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233680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141605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9" w:lineRule="exact"/>
        <w:rPr>
          <w:sz w:val="24"/>
          <w:szCs w:val="24"/>
          <w:color w:val="auto"/>
        </w:rPr>
      </w:pPr>
    </w:p>
    <w:p>
      <w:pPr>
        <w:ind w:left="320" w:hanging="20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the fiscal year ended December 31, 2020</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or</w:t>
      </w:r>
    </w:p>
    <w:p>
      <w:pPr>
        <w:spacing w:after="0" w:line="95" w:lineRule="exact"/>
        <w:rPr>
          <w:sz w:val="24"/>
          <w:szCs w:val="24"/>
          <w:color w:val="auto"/>
        </w:rPr>
      </w:pPr>
    </w:p>
    <w:p>
      <w:pPr>
        <w:ind w:left="320" w:hanging="204"/>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1" w:lineRule="exact"/>
        <w:rPr>
          <w:sz w:val="24"/>
          <w:szCs w:val="24"/>
          <w:color w:val="auto"/>
        </w:rPr>
      </w:pPr>
    </w:p>
    <w:p>
      <w:pPr>
        <w:ind w:left="372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3749040</wp:posOffset>
            </wp:positionH>
            <wp:positionV relativeFrom="paragraph">
              <wp:posOffset>-7620</wp:posOffset>
            </wp:positionV>
            <wp:extent cx="1031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1240" cy="8890"/>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color w:val="auto"/>
        </w:rPr>
        <w:t>000-10140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134620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CVB FINANCIAL CORP.</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4400" w:type="dxa"/>
            <w:vAlign w:val="bottom"/>
            <w:gridSpan w:val="3"/>
          </w:tcPr>
          <w:p>
            <w:pPr>
              <w:jc w:val="center"/>
              <w:ind w:left="1077"/>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95-3629339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400" w:type="dxa"/>
            <w:vAlign w:val="bottom"/>
            <w:gridSpan w:val="3"/>
          </w:tcPr>
          <w:p>
            <w:pPr>
              <w:jc w:val="center"/>
              <w:ind w:left="1077"/>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left="60"/>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400" w:type="dxa"/>
            <w:vAlign w:val="bottom"/>
            <w:gridSpan w:val="3"/>
          </w:tcPr>
          <w:p>
            <w:pPr>
              <w:jc w:val="center"/>
              <w:ind w:left="1077"/>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3"/>
          </w:tcPr>
          <w:p>
            <w:pPr>
              <w:jc w:val="center"/>
              <w:ind w:right="195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98"/>
        </w:trPr>
        <w:tc>
          <w:tcPr>
            <w:tcW w:w="4400" w:type="dxa"/>
            <w:vAlign w:val="bottom"/>
            <w:gridSpan w:val="3"/>
          </w:tcPr>
          <w:p>
            <w:pPr>
              <w:jc w:val="center"/>
              <w:ind w:left="1077"/>
              <w:spacing w:after="0"/>
              <w:rPr>
                <w:sz w:val="20"/>
                <w:szCs w:val="20"/>
                <w:color w:val="auto"/>
              </w:rPr>
            </w:pPr>
            <w:r>
              <w:rPr>
                <w:rFonts w:ascii="Times New Roman" w:cs="Times New Roman" w:eastAsia="Times New Roman" w:hAnsi="Times New Roman"/>
                <w:sz w:val="18"/>
                <w:szCs w:val="18"/>
                <w:b w:val="1"/>
                <w:bCs w:val="1"/>
                <w:color w:val="auto"/>
                <w:w w:val="99"/>
              </w:rPr>
              <w:t>701 N. Haven Avenue, Suite 350</w:t>
            </w:r>
          </w:p>
        </w:tc>
        <w:tc>
          <w:tcPr>
            <w:tcW w:w="2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91764</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00" w:type="dxa"/>
            <w:vAlign w:val="bottom"/>
            <w:gridSpan w:val="3"/>
          </w:tcPr>
          <w:p>
            <w:pPr>
              <w:jc w:val="center"/>
              <w:ind w:left="1077"/>
              <w:spacing w:after="0"/>
              <w:rPr>
                <w:sz w:val="20"/>
                <w:szCs w:val="20"/>
                <w:color w:val="auto"/>
              </w:rPr>
            </w:pPr>
            <w:r>
              <w:rPr>
                <w:rFonts w:ascii="Times New Roman" w:cs="Times New Roman" w:eastAsia="Times New Roman" w:hAnsi="Times New Roman"/>
                <w:sz w:val="18"/>
                <w:szCs w:val="18"/>
                <w:b w:val="1"/>
                <w:bCs w:val="1"/>
                <w:color w:val="auto"/>
                <w:w w:val="99"/>
              </w:rPr>
              <w:t>Ontario, California</w:t>
            </w:r>
          </w:p>
        </w:tc>
        <w:tc>
          <w:tcPr>
            <w:tcW w:w="2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00" w:type="dxa"/>
            <w:vAlign w:val="bottom"/>
            <w:gridSpan w:val="3"/>
          </w:tcPr>
          <w:p>
            <w:pPr>
              <w:jc w:val="center"/>
              <w:ind w:left="10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4"/>
                <w:szCs w:val="14"/>
                <w:color w:val="auto"/>
              </w:rPr>
              <w:t>(Zip Code)</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8220" w:type="dxa"/>
            <w:vAlign w:val="bottom"/>
            <w:gridSpan w:val="8"/>
          </w:tcPr>
          <w:p>
            <w:pPr>
              <w:jc w:val="center"/>
              <w:ind w:left="2697"/>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(909) 980-4030</w:t>
            </w: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00" w:type="dxa"/>
            <w:vAlign w:val="bottom"/>
            <w:gridSpan w:val="7"/>
          </w:tcPr>
          <w:p>
            <w:pPr>
              <w:jc w:val="center"/>
              <w:ind w:left="3237"/>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4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330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320" w:type="dxa"/>
            <w:vAlign w:val="bottom"/>
            <w:gridSpan w:val="3"/>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CVBF</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3"/>
          </w:tcPr>
          <w:p>
            <w:pPr>
              <w:jc w:val="center"/>
              <w:ind w:right="139"/>
              <w:spacing w:after="0"/>
              <w:rPr>
                <w:sz w:val="20"/>
                <w:szCs w:val="20"/>
                <w:color w:val="auto"/>
              </w:rPr>
            </w:pPr>
            <w:r>
              <w:rPr>
                <w:rFonts w:ascii="Times New Roman" w:cs="Times New Roman" w:eastAsia="Times New Roman" w:hAnsi="Times New Roman"/>
                <w:sz w:val="18"/>
                <w:szCs w:val="18"/>
                <w:color w:val="auto"/>
                <w:w w:val="99"/>
              </w:rPr>
              <w:t>NASDAQ Stock Market, LLC</w:t>
            </w:r>
          </w:p>
        </w:tc>
        <w:tc>
          <w:tcPr>
            <w:tcW w:w="0" w:type="dxa"/>
            <w:vAlign w:val="bottom"/>
          </w:tcPr>
          <w:p>
            <w:pPr>
              <w:spacing w:after="0"/>
              <w:rPr>
                <w:sz w:val="1"/>
                <w:szCs w:val="1"/>
                <w:color w:val="auto"/>
              </w:rPr>
            </w:pPr>
          </w:p>
        </w:tc>
      </w:tr>
      <w:tr>
        <w:trPr>
          <w:trHeight w:val="306"/>
        </w:trPr>
        <w:tc>
          <w:tcPr>
            <w:tcW w:w="7700" w:type="dxa"/>
            <w:vAlign w:val="bottom"/>
            <w:gridSpan w:val="7"/>
          </w:tcPr>
          <w:p>
            <w:pPr>
              <w:jc w:val="center"/>
              <w:ind w:left="3237"/>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gridSpan w:val="3"/>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600" w:type="dxa"/>
            <w:vAlign w:val="bottom"/>
            <w:gridSpan w:val="4"/>
          </w:tcPr>
          <w:p>
            <w:pPr>
              <w:spacing w:after="0"/>
              <w:rPr>
                <w:sz w:val="17"/>
                <w:szCs w:val="17"/>
                <w:color w:val="auto"/>
              </w:rPr>
            </w:pPr>
          </w:p>
        </w:tc>
        <w:tc>
          <w:tcPr>
            <w:tcW w:w="620" w:type="dxa"/>
            <w:vAlign w:val="bottom"/>
            <w:vMerge w:val="restart"/>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180" w:type="dxa"/>
            <w:vAlign w:val="bottom"/>
            <w:vMerge w:val="restart"/>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8220" w:type="dxa"/>
            <w:vAlign w:val="bottom"/>
            <w:gridSpan w:val="8"/>
          </w:tcPr>
          <w:p>
            <w:pPr>
              <w:ind w:left="44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vMerge w:val="continue"/>
          </w:tcPr>
          <w:p>
            <w:pPr>
              <w:spacing w:after="0"/>
              <w:rPr>
                <w:sz w:val="24"/>
                <w:szCs w:val="24"/>
                <w:color w:val="auto"/>
              </w:rPr>
            </w:pPr>
          </w:p>
        </w:tc>
        <w:tc>
          <w:tcPr>
            <w:tcW w:w="2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20" w:type="dxa"/>
            <w:vAlign w:val="bottom"/>
            <w:gridSpan w:val="8"/>
          </w:tcPr>
          <w:p>
            <w:pPr>
              <w:ind w:left="44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2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18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both"/>
        <w:ind w:left="120" w:right="40" w:firstLine="44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jc w:val="both"/>
        <w:ind w:left="120" w:right="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left="120" w:right="12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0" w:lineRule="exact"/>
        <w:rPr>
          <w:sz w:val="24"/>
          <w:szCs w:val="24"/>
          <w:color w:val="auto"/>
        </w:rPr>
      </w:pPr>
    </w:p>
    <w:tbl>
      <w:tblPr>
        <w:tblLayout w:type="fixed"/>
        <w:tblInd w:w="12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4"/>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4"/>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82" w:lineRule="exact"/>
        <w:rPr>
          <w:sz w:val="24"/>
          <w:szCs w:val="24"/>
          <w:color w:val="auto"/>
        </w:rPr>
      </w:pPr>
    </w:p>
    <w:p>
      <w:pPr>
        <w:ind w:left="120" w:right="180" w:firstLine="44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83" w:lineRule="exact"/>
        <w:rPr>
          <w:sz w:val="24"/>
          <w:szCs w:val="24"/>
          <w:color w:val="auto"/>
        </w:rPr>
      </w:pPr>
    </w:p>
    <w:p>
      <w:pPr>
        <w:ind w:left="120" w:right="4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60"/>
        <w:spacing w:after="0" w:line="184" w:lineRule="exact"/>
        <w:tabs>
          <w:tab w:leader="none" w:pos="7380" w:val="left"/>
          <w:tab w:leader="none" w:pos="80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As of June 30, 2020, the aggregate market value of the common stock held by non-affiliates of the registrant was approximately $2,400,051,983.</w:t>
      </w:r>
    </w:p>
    <w:p>
      <w:pPr>
        <w:spacing w:after="0" w:line="1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Number of shares of common stock of the registrant outstanding as of February 12, 2021: 135,873,607.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149225</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48"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tc>
        <w:tc>
          <w:tcPr>
            <w:tcW w:w="3560" w:type="dxa"/>
            <w:vAlign w:val="bottom"/>
          </w:tcPr>
          <w:p>
            <w:pPr>
              <w:ind w:left="2340"/>
              <w:spacing w:after="0"/>
              <w:rPr>
                <w:sz w:val="20"/>
                <w:szCs w:val="20"/>
                <w:color w:val="auto"/>
              </w:rPr>
            </w:pPr>
            <w:r>
              <w:rPr>
                <w:rFonts w:ascii="Times New Roman" w:cs="Times New Roman" w:eastAsia="Times New Roman" w:hAnsi="Times New Roman"/>
                <w:sz w:val="16"/>
                <w:szCs w:val="16"/>
                <w:b w:val="1"/>
                <w:bCs w:val="1"/>
                <w:color w:val="auto"/>
              </w:rPr>
              <w:t>PART OF</w:t>
            </w: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Definitive Proxy Statement for the Annual Meeting of Stockholders which will be filed</w:t>
            </w:r>
          </w:p>
        </w:tc>
        <w:tc>
          <w:tcPr>
            <w:tcW w:w="3560" w:type="dxa"/>
            <w:vAlign w:val="bottom"/>
          </w:tcPr>
          <w:p>
            <w:pPr>
              <w:spacing w:after="0"/>
              <w:rPr>
                <w:sz w:val="17"/>
                <w:szCs w:val="17"/>
                <w:color w:val="auto"/>
              </w:rPr>
            </w:pPr>
          </w:p>
        </w:tc>
      </w:tr>
      <w:tr>
        <w:trPr>
          <w:trHeight w:val="224"/>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within 120 days of the fiscal year ended December 31, 2020</w:t>
            </w:r>
          </w:p>
        </w:tc>
        <w:tc>
          <w:tcPr>
            <w:tcW w:w="356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Part III of Form 10-K</w:t>
            </w:r>
          </w:p>
        </w:tc>
      </w:tr>
      <w:tr>
        <w:trPr>
          <w:trHeight w:val="222"/>
        </w:trPr>
        <w:tc>
          <w:tcPr>
            <w:tcW w:w="74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40"/>
          </w:cols>
          <w:pgMar w:left="320" w:top="226" w:right="439" w:bottom="46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0640" w:type="dxa"/>
            <w:vAlign w:val="bottom"/>
            <w:gridSpan w:val="6"/>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440" w:type="dxa"/>
            <w:vAlign w:val="bottom"/>
          </w:tcPr>
          <w:p>
            <w:pPr>
              <w:spacing w:after="0"/>
              <w:rPr>
                <w:sz w:val="20"/>
                <w:szCs w:val="20"/>
                <w:color w:val="auto"/>
              </w:rPr>
            </w:pPr>
          </w:p>
        </w:tc>
      </w:tr>
      <w:tr>
        <w:trPr>
          <w:trHeight w:val="513"/>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3"/>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8"/>
              </w:rPr>
              <w:t>CVB FINANCIAL CORP.</w:t>
            </w:r>
          </w:p>
        </w:tc>
        <w:tc>
          <w:tcPr>
            <w:tcW w:w="440" w:type="dxa"/>
            <w:vAlign w:val="bottom"/>
          </w:tcPr>
          <w:p>
            <w:pPr>
              <w:spacing w:after="0"/>
              <w:rPr>
                <w:sz w:val="24"/>
                <w:szCs w:val="24"/>
                <w:color w:val="auto"/>
              </w:rPr>
            </w:pPr>
          </w:p>
        </w:tc>
      </w:tr>
      <w:tr>
        <w:trPr>
          <w:trHeight w:val="405"/>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160" w:type="dxa"/>
            <w:vAlign w:val="bottom"/>
            <w:gridSpan w:val="4"/>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2020 ANNUAL REPORT ON FORM 10-K</w:t>
            </w:r>
          </w:p>
        </w:tc>
        <w:tc>
          <w:tcPr>
            <w:tcW w:w="440" w:type="dxa"/>
            <w:vAlign w:val="bottom"/>
          </w:tcPr>
          <w:p>
            <w:pPr>
              <w:spacing w:after="0"/>
              <w:rPr>
                <w:sz w:val="24"/>
                <w:szCs w:val="24"/>
                <w:color w:val="auto"/>
              </w:rPr>
            </w:pPr>
          </w:p>
        </w:tc>
      </w:tr>
      <w:tr>
        <w:trPr>
          <w:trHeight w:val="391"/>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3"/>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4"/>
                <w:szCs w:val="24"/>
                <w:color w:val="auto"/>
              </w:rPr>
            </w:pPr>
          </w:p>
        </w:tc>
      </w:tr>
      <w:tr>
        <w:trPr>
          <w:trHeight w:val="581"/>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3"/>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440" w:type="dxa"/>
            <w:vAlign w:val="bottom"/>
          </w:tcPr>
          <w:p>
            <w:pPr>
              <w:spacing w:after="0"/>
              <w:rPr>
                <w:sz w:val="24"/>
                <w:szCs w:val="24"/>
                <w:color w:val="auto"/>
              </w:rPr>
            </w:pPr>
          </w:p>
        </w:tc>
      </w:tr>
      <w:tr>
        <w:trPr>
          <w:trHeight w:val="319"/>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BUSINESS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1B.</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UNRESOLVED STAFF COMMENTS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PROPERTIES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92"/>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3"/>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440" w:type="dxa"/>
            <w:vAlign w:val="bottom"/>
          </w:tcPr>
          <w:p>
            <w:pPr>
              <w:spacing w:after="0"/>
              <w:rPr>
                <w:sz w:val="24"/>
                <w:szCs w:val="24"/>
                <w:color w:val="auto"/>
              </w:rPr>
            </w:pPr>
          </w:p>
        </w:tc>
      </w:tr>
      <w:tr>
        <w:trPr>
          <w:trHeight w:val="297"/>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8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MARKET FOR THE REGISTRANT’S COMMON EQUITY, RELATED STOCKHOLDER MATTERS AND ISSUER</w:t>
              </w:r>
            </w:hyperlink>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1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PURCHASES OF EQUITY SECURITIES</w:t>
              </w:r>
            </w:hyperlink>
          </w:p>
        </w:tc>
        <w:tc>
          <w:tcPr>
            <w:tcW w:w="624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18"/>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SELECTED FINANCIAL DATA</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7.</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00" w:type="dxa"/>
            <w:vAlign w:val="bottom"/>
          </w:tcPr>
          <w:p>
            <w:pPr>
              <w:spacing w:after="0"/>
              <w:rPr>
                <w:sz w:val="18"/>
                <w:szCs w:val="18"/>
                <w:color w:val="auto"/>
              </w:rPr>
            </w:pP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CRITICAL ACCOUNTING POLICIES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00" w:type="dxa"/>
            <w:vAlign w:val="bottom"/>
          </w:tcPr>
          <w:p>
            <w:pPr>
              <w:spacing w:after="0"/>
              <w:rPr>
                <w:sz w:val="18"/>
                <w:szCs w:val="18"/>
                <w:color w:val="auto"/>
              </w:rPr>
            </w:pP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OVERVIEW</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00" w:type="dxa"/>
            <w:vAlign w:val="bottom"/>
          </w:tcPr>
          <w:p>
            <w:pPr>
              <w:spacing w:after="0"/>
              <w:rPr>
                <w:sz w:val="18"/>
                <w:szCs w:val="18"/>
                <w:color w:val="auto"/>
              </w:rPr>
            </w:pP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ANALYSIS OF THE RESULTS OF OPERATIONS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00" w:type="dxa"/>
            <w:vAlign w:val="bottom"/>
          </w:tcPr>
          <w:p>
            <w:pPr>
              <w:spacing w:after="0"/>
              <w:rPr>
                <w:sz w:val="18"/>
                <w:szCs w:val="18"/>
                <w:color w:val="auto"/>
              </w:rPr>
            </w:pP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ANALYSIS OF FINANCIAL CONDITION</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00" w:type="dxa"/>
            <w:vAlign w:val="bottom"/>
          </w:tcPr>
          <w:p>
            <w:pPr>
              <w:spacing w:after="0"/>
              <w:rPr>
                <w:sz w:val="18"/>
                <w:szCs w:val="18"/>
                <w:color w:val="auto"/>
              </w:rPr>
            </w:pP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RISK MANAGEMENT</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7A.</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8.</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FINANCIAL STATEMENTS AND SUPPLEMENTARY DATA</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9.</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9A.</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9B.</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91"/>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3"/>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40" w:type="dxa"/>
            <w:vAlign w:val="bottom"/>
          </w:tcPr>
          <w:p>
            <w:pPr>
              <w:spacing w:after="0"/>
              <w:rPr>
                <w:sz w:val="24"/>
                <w:szCs w:val="24"/>
                <w:color w:val="auto"/>
              </w:rPr>
            </w:pPr>
          </w:p>
        </w:tc>
      </w:tr>
      <w:tr>
        <w:trPr>
          <w:trHeight w:val="414"/>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10.</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DIRECTORS, EXECUTIVE OFFICERS AND CORPORATE GOVERNANCE</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11.</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EXECUTIVE COMPENSATION</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94"/>
        </w:trPr>
        <w:tc>
          <w:tcPr>
            <w:tcW w:w="130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12.</w:t>
            </w:r>
          </w:p>
        </w:tc>
        <w:tc>
          <w:tcPr>
            <w:tcW w:w="802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SECURITY OWNERSHIP OF CERTAIN BENEFICIAL OWNERS AND MANAGEMENT AND RELATED</w:t>
              </w:r>
            </w:hyperlink>
          </w:p>
        </w:tc>
        <w:tc>
          <w:tcPr>
            <w:tcW w:w="132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9340" w:type="dxa"/>
            <w:vAlign w:val="bottom"/>
            <w:gridSpan w:val="5"/>
          </w:tcPr>
          <w:p>
            <w:pPr>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STOCKHOLDER MATTERS</w:t>
              </w:r>
            </w:hyperlink>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13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8"/>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13.</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14.</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PRINCIPAL ACCOUNTING FEES AND SERVICES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405"/>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3"/>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440" w:type="dxa"/>
            <w:vAlign w:val="bottom"/>
          </w:tcPr>
          <w:p>
            <w:pPr>
              <w:spacing w:after="0"/>
              <w:rPr>
                <w:sz w:val="24"/>
                <w:szCs w:val="24"/>
                <w:color w:val="auto"/>
              </w:rPr>
            </w:pPr>
          </w:p>
        </w:tc>
      </w:tr>
      <w:tr>
        <w:trPr>
          <w:trHeight w:val="414"/>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15.</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EXHIBITS AND FINANCIAL STATEMENT SCHEDULES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16.</w:t>
            </w:r>
          </w:p>
        </w:tc>
        <w:tc>
          <w:tcPr>
            <w:tcW w:w="9340" w:type="dxa"/>
            <w:vAlign w:val="bottom"/>
            <w:gridSpan w:val="5"/>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FORM 10-K SUMMARY</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1300" w:type="dxa"/>
            <w:vAlign w:val="bottom"/>
          </w:tcPr>
          <w:p>
            <w:pPr>
              <w:ind w:left="200"/>
              <w:spacing w:after="0"/>
              <w:rPr>
                <w:rFonts w:ascii="Times New Roman" w:cs="Times New Roman" w:eastAsia="Times New Roman" w:hAnsi="Times New Roman"/>
                <w:sz w:val="18"/>
                <w:szCs w:val="18"/>
                <w:u w:val="single" w:color="auto"/>
                <w:color w:val="0000EE"/>
                <w:w w:val="96"/>
              </w:rPr>
            </w:pPr>
            <w:hyperlink w:anchor="page99">
              <w:r>
                <w:rPr>
                  <w:rFonts w:ascii="Times New Roman" w:cs="Times New Roman" w:eastAsia="Times New Roman" w:hAnsi="Times New Roman"/>
                  <w:sz w:val="18"/>
                  <w:szCs w:val="18"/>
                  <w:u w:val="single" w:color="auto"/>
                  <w:color w:val="0000EE"/>
                  <w:w w:val="96"/>
                </w:rPr>
                <w:t>SIGNATURES</w:t>
              </w:r>
            </w:hyperlink>
          </w:p>
        </w:tc>
        <w:tc>
          <w:tcPr>
            <w:tcW w:w="2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65"/>
        </w:trPr>
        <w:tc>
          <w:tcPr>
            <w:tcW w:w="1300" w:type="dxa"/>
            <w:vAlign w:val="bottom"/>
          </w:tcPr>
          <w:p>
            <w:pPr>
              <w:spacing w:after="0"/>
              <w:rPr>
                <w:sz w:val="24"/>
                <w:szCs w:val="24"/>
                <w:color w:val="auto"/>
              </w:rPr>
            </w:pPr>
          </w:p>
        </w:tc>
        <w:tc>
          <w:tcPr>
            <w:tcW w:w="80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88"/>
              </w:rPr>
              <w:t>1</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00"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i w:val="1"/>
          <w:iCs w:val="1"/>
          <w:color w:val="auto"/>
        </w:rPr>
        <w:t>Certain matters set forth in this Annual Report on Form 10-K (including the exhibits hereto) constitute forward-looking statements within the meaning of the Private Securities Litigation Reform Act of 1995, including forward-looking statements relating to the Company’s current business plans, financial performance, expectations and our future financial position and operating results.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These forward-looking statements are subject to risks and uncertainties that could cause actual results, performance and/or achievements to differ materially from those projected. These risks and uncertainties include, but are not limited to the following:</w:t>
      </w:r>
    </w:p>
    <w:p>
      <w:pPr>
        <w:spacing w:after="0" w:line="183" w:lineRule="exact"/>
        <w:rPr>
          <w:sz w:val="20"/>
          <w:szCs w:val="20"/>
          <w:color w:val="auto"/>
        </w:rPr>
      </w:pPr>
    </w:p>
    <w:p>
      <w:pPr>
        <w:ind w:left="540" w:right="160" w:hanging="424"/>
        <w:spacing w:after="0" w:line="262"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local, regional, national and international economic and market conditions, political events and public health developments and the impact they may have on us, our customers and our assets and liabilities;</w:t>
      </w:r>
    </w:p>
    <w:p>
      <w:pPr>
        <w:ind w:left="540" w:hanging="424"/>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deposits and other sources of funding or liquidity;</w:t>
      </w:r>
    </w:p>
    <w:p>
      <w:pPr>
        <w:spacing w:after="0" w:line="9" w:lineRule="exact"/>
        <w:rPr>
          <w:rFonts w:ascii="Times New Roman" w:cs="Times New Roman" w:eastAsia="Times New Roman" w:hAnsi="Times New Roman"/>
          <w:sz w:val="18"/>
          <w:szCs w:val="18"/>
          <w:i w:val="1"/>
          <w:iCs w:val="1"/>
          <w:color w:val="auto"/>
        </w:rPr>
      </w:pPr>
    </w:p>
    <w:p>
      <w:pPr>
        <w:ind w:left="540" w:right="160" w:hanging="424"/>
        <w:spacing w:after="0" w:line="250"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and demand for commercial or residential real estate and periodic deterioration in real estate prices and/or values in California or other states where we lend;</w:t>
      </w:r>
    </w:p>
    <w:p>
      <w:pPr>
        <w:ind w:left="540" w:hanging="424"/>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sharp or prolonged slowdown or decline in real estate construction, sales or leasing activities;</w:t>
      </w:r>
    </w:p>
    <w:p>
      <w:pPr>
        <w:spacing w:after="0" w:line="9"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the financial performance and/or condition of our borrowers, depositors, key vendors or counterparties;</w:t>
      </w:r>
    </w:p>
    <w:p>
      <w:pPr>
        <w:spacing w:after="0" w:line="9"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our levels of delinquent loans, nonperforming assets, allowance for credit losses and charge-offs;</w:t>
      </w:r>
    </w:p>
    <w:p>
      <w:pPr>
        <w:spacing w:after="0" w:line="9" w:lineRule="exact"/>
        <w:rPr>
          <w:rFonts w:ascii="Times New Roman" w:cs="Times New Roman" w:eastAsia="Times New Roman" w:hAnsi="Times New Roman"/>
          <w:sz w:val="18"/>
          <w:szCs w:val="18"/>
          <w:i w:val="1"/>
          <w:iCs w:val="1"/>
          <w:color w:val="auto"/>
        </w:rPr>
      </w:pPr>
    </w:p>
    <w:p>
      <w:pPr>
        <w:ind w:left="540" w:hanging="424"/>
        <w:spacing w:after="0" w:line="250"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or effects of mergers, acquisitions or dispositions we may make, whether we are able to obtain any required governmental approvals in connection with any such mergers, acquisitions or dispositions, and/or our ability to realize the contemplated financial or business benefits or cost savings associated with any such mergers, acquisitions or dispositions;</w:t>
      </w:r>
    </w:p>
    <w:p>
      <w:pPr>
        <w:spacing w:after="0" w:line="1" w:lineRule="exact"/>
        <w:rPr>
          <w:rFonts w:ascii="Times New Roman" w:cs="Times New Roman" w:eastAsia="Times New Roman" w:hAnsi="Times New Roman"/>
          <w:sz w:val="18"/>
          <w:szCs w:val="18"/>
          <w:i w:val="1"/>
          <w:iCs w:val="1"/>
          <w:color w:val="auto"/>
        </w:rPr>
      </w:pPr>
    </w:p>
    <w:p>
      <w:pPr>
        <w:ind w:left="540" w:right="180" w:hanging="424"/>
        <w:spacing w:after="0" w:line="250"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new laws, regulations and/or government programs, including those laws, regulations and programs enacted by federal, state or local governments in the geographic jurisdictions in which we do business in response to the current national emergency declared in connection with the COVID-19 pandemic;</w:t>
      </w:r>
    </w:p>
    <w:p>
      <w:pPr>
        <w:spacing w:after="0" w:line="1" w:lineRule="exact"/>
        <w:rPr>
          <w:rFonts w:ascii="Times New Roman" w:cs="Times New Roman" w:eastAsia="Times New Roman" w:hAnsi="Times New Roman"/>
          <w:sz w:val="18"/>
          <w:szCs w:val="18"/>
          <w:i w:val="1"/>
          <w:iCs w:val="1"/>
          <w:color w:val="auto"/>
        </w:rPr>
      </w:pPr>
    </w:p>
    <w:p>
      <w:pPr>
        <w:ind w:left="540" w:right="380" w:hanging="424"/>
        <w:spacing w:after="0" w:line="250"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the federal CARES Act, the Consolidated Appropriations Act, and the significant additional lending activities undertaken by the Company in connection with the Small Business Administration’s Paycheck Protection Program enacted and extended under those statutes, including risks to the Company with respect to the uncertain application by the Small Business Administration of new borrower and loan eligibility, forgiveness and audit criteria;</w:t>
      </w:r>
    </w:p>
    <w:p>
      <w:pPr>
        <w:spacing w:after="0" w:line="1" w:lineRule="exact"/>
        <w:rPr>
          <w:rFonts w:ascii="Times New Roman" w:cs="Times New Roman" w:eastAsia="Times New Roman" w:hAnsi="Times New Roman"/>
          <w:sz w:val="18"/>
          <w:szCs w:val="18"/>
          <w:i w:val="1"/>
          <w:iCs w:val="1"/>
          <w:color w:val="auto"/>
        </w:rPr>
      </w:pPr>
    </w:p>
    <w:p>
      <w:pPr>
        <w:jc w:val="both"/>
        <w:ind w:left="540" w:right="80" w:hanging="424"/>
        <w:spacing w:after="0" w:line="265" w:lineRule="auto"/>
        <w:tabs>
          <w:tab w:leader="none" w:pos="540"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effects of the Company’s participation in one or more of the lending programs established by the Federal Reserve in 2020, including the Main Street New Loan Facility, the Main Street Priority Loan Facility and the Nonprofit Organization New Loan Facility, and the impact of any related actions or decisions by the Federal Reserve Bank of Boston and its special purpose vehicle established pursuant to such lending programs;</w:t>
      </w:r>
    </w:p>
    <w:p>
      <w:pPr>
        <w:ind w:left="540" w:right="380" w:hanging="424"/>
        <w:spacing w:after="0" w:line="250"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changes in other pertinent laws, regulations and applicable judicial decisions (including laws, regulations and judicial decisions concerning financial reforms, taxes, bank capital levels, allowance for credit losses, consumer, commercial or secured lending, securities and securities trading and hedging, bank operations, compliance, fair lending, the Community Reinvestment Act, employment, executive compensation, insurance, cybersecurity, vendor management and information security technology) with which we and our subsidiaries must comply or believe we should comply or which may otherwise impact us;</w:t>
      </w:r>
    </w:p>
    <w:p>
      <w:pPr>
        <w:spacing w:after="0" w:line="1" w:lineRule="exact"/>
        <w:rPr>
          <w:rFonts w:ascii="Times New Roman" w:cs="Times New Roman" w:eastAsia="Times New Roman" w:hAnsi="Times New Roman"/>
          <w:sz w:val="18"/>
          <w:szCs w:val="18"/>
          <w:i w:val="1"/>
          <w:iCs w:val="1"/>
          <w:color w:val="auto"/>
        </w:rPr>
      </w:pPr>
    </w:p>
    <w:p>
      <w:pPr>
        <w:ind w:left="540" w:right="380" w:hanging="424"/>
        <w:spacing w:after="0" w:line="250"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estimates of future reserve requirements and minimum capital requirements based upon the periodic review thereof under relevant regulatory and accounting standards, including changes in the Basel Committee framework establishing capital standards for bank credit, operations and market risks;</w:t>
      </w:r>
    </w:p>
    <w:p>
      <w:pPr>
        <w:spacing w:after="0" w:line="1" w:lineRule="exact"/>
        <w:rPr>
          <w:rFonts w:ascii="Times New Roman" w:cs="Times New Roman" w:eastAsia="Times New Roman" w:hAnsi="Times New Roman"/>
          <w:sz w:val="18"/>
          <w:szCs w:val="18"/>
          <w:i w:val="1"/>
          <w:iCs w:val="1"/>
          <w:color w:val="auto"/>
        </w:rPr>
      </w:pPr>
    </w:p>
    <w:p>
      <w:pPr>
        <w:ind w:left="540" w:right="120" w:hanging="424"/>
        <w:spacing w:after="0" w:line="260"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accuracy of the assumptions and estimates and the absence of technical error in implementation or calibration of models used to estimate the fair value of financial instruments or currently expected credit losses or delinquencies;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sensitivity of our assets and liabilities to changes in market interest rates, or our current allowance for credit losses;</w:t>
      </w:r>
    </w:p>
    <w:p>
      <w:pPr>
        <w:spacing w:after="0" w:line="29"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inflation, changes in market interest rates, securities market and monetary fluctuations;</w:t>
      </w:r>
    </w:p>
    <w:p>
      <w:pPr>
        <w:spacing w:after="0" w:line="9" w:lineRule="exact"/>
        <w:rPr>
          <w:rFonts w:ascii="Times New Roman" w:cs="Times New Roman" w:eastAsia="Times New Roman" w:hAnsi="Times New Roman"/>
          <w:sz w:val="18"/>
          <w:szCs w:val="18"/>
          <w:i w:val="1"/>
          <w:iCs w:val="1"/>
          <w:color w:val="auto"/>
        </w:rPr>
      </w:pPr>
    </w:p>
    <w:p>
      <w:pPr>
        <w:ind w:left="540" w:right="6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government-established interest rates, reference rates or monetary policies, including the possible imposition of negative interest rates on bank reserves;</w:t>
      </w:r>
    </w:p>
    <w:p>
      <w:pPr>
        <w:ind w:left="54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the anticipated phase-out of the London Interbank Offered Rate (LIBOR) on interest rate indexes specified in certain of our customer loan agreements and our interest rate swap arrangements, including any economic and compliance effects related to the expected change from LIBOR to an alternative reference rate;</w:t>
      </w:r>
    </w:p>
    <w:p>
      <w:pPr>
        <w:spacing w:after="0" w:line="1"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the amount, cost and availability of deposit insurance;</w:t>
      </w:r>
    </w:p>
    <w:p>
      <w:pPr>
        <w:spacing w:after="0" w:line="9" w:lineRule="exact"/>
        <w:rPr>
          <w:rFonts w:ascii="Times New Roman" w:cs="Times New Roman" w:eastAsia="Times New Roman" w:hAnsi="Times New Roman"/>
          <w:sz w:val="18"/>
          <w:szCs w:val="18"/>
          <w:i w:val="1"/>
          <w:iCs w:val="1"/>
          <w:color w:val="auto"/>
        </w:rPr>
      </w:pPr>
    </w:p>
    <w:p>
      <w:pPr>
        <w:ind w:left="540" w:right="42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disruptions in the infrastructure that supports our business and the communities where we are located, which are concentrated in California, involving or related to public health, physical site access and/or communications facilities;</w:t>
      </w:r>
    </w:p>
    <w:p>
      <w:pPr>
        <w:ind w:left="540" w:hanging="424"/>
        <w:spacing w:after="0"/>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cyber incidents, attacks, infiltrations, exfiltrations, or theft or loss of Company or customer or employee data or money;</w:t>
      </w:r>
    </w:p>
    <w:p>
      <w:pPr>
        <w:spacing w:after="0" w:line="9" w:lineRule="exact"/>
        <w:rPr>
          <w:rFonts w:ascii="Times New Roman" w:cs="Times New Roman" w:eastAsia="Times New Roman" w:hAnsi="Times New Roman"/>
          <w:sz w:val="18"/>
          <w:szCs w:val="18"/>
          <w:i w:val="1"/>
          <w:iCs w:val="1"/>
          <w:color w:val="auto"/>
        </w:rPr>
      </w:pPr>
    </w:p>
    <w:p>
      <w:pPr>
        <w:ind w:left="540" w:right="4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political developments, uncertainties or instability, catastrophic events, acts of war or terrorism, or natural disasters, such as earthquakes, drought, the effects of pandemic diseases, climate changes or extreme weather events, that may affect electrical, environmental, computer servers, and communications or other services, computer services or facilities we use, or that may affect our customers, employees or third parties with whom we conduct business;</w:t>
      </w:r>
    </w:p>
    <w:p>
      <w:pPr>
        <w:spacing w:after="0" w:line="1" w:lineRule="exact"/>
        <w:rPr>
          <w:rFonts w:ascii="Times New Roman" w:cs="Times New Roman" w:eastAsia="Times New Roman" w:hAnsi="Times New Roman"/>
          <w:sz w:val="18"/>
          <w:szCs w:val="18"/>
          <w:i w:val="1"/>
          <w:iCs w:val="1"/>
          <w:color w:val="auto"/>
        </w:rPr>
      </w:pPr>
    </w:p>
    <w:p>
      <w:pPr>
        <w:ind w:left="540" w:right="14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timely development and implementation of new banking products and services and the perceived overall value of these products and services by customers and potential customers;</w:t>
      </w:r>
    </w:p>
    <w:p>
      <w:pPr>
        <w:ind w:left="540" w:right="22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Company’s relationships with and reliance upon outside vendors with respect to certain of the Company’s key internal and external systems, applications and controls;</w:t>
      </w:r>
    </w:p>
    <w:p>
      <w:pPr>
        <w:ind w:left="540" w:hanging="424"/>
        <w:spacing w:after="0"/>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commercial or consumer spending, borrowing and savings preferences or behaviors;</w:t>
      </w:r>
    </w:p>
    <w:p>
      <w:pPr>
        <w:spacing w:after="0" w:line="9" w:lineRule="exact"/>
        <w:rPr>
          <w:rFonts w:ascii="Times New Roman" w:cs="Times New Roman" w:eastAsia="Times New Roman" w:hAnsi="Times New Roman"/>
          <w:sz w:val="18"/>
          <w:szCs w:val="18"/>
          <w:i w:val="1"/>
          <w:iCs w:val="1"/>
          <w:color w:val="auto"/>
        </w:rPr>
      </w:pPr>
    </w:p>
    <w:p>
      <w:pPr>
        <w:ind w:left="540" w:right="28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technological changes and the expanding use of technology in banking and financial services (including the adoption of mobile banking, funds transfer applications, electronic marketplaces for loans, block-chain technology and other banking products, systems or services);</w:t>
      </w:r>
    </w:p>
    <w:p>
      <w:pPr>
        <w:ind w:left="540" w:hanging="424"/>
        <w:spacing w:after="0"/>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retain and increase market share, to retain and grow customers and to control expenses;</w:t>
      </w:r>
    </w:p>
    <w:p>
      <w:pPr>
        <w:spacing w:after="0" w:line="9"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the competitive environment among banks and other financial services and technology providers;</w:t>
      </w:r>
    </w:p>
    <w:p>
      <w:pPr>
        <w:spacing w:after="0" w:line="9" w:lineRule="exact"/>
        <w:rPr>
          <w:rFonts w:ascii="Times New Roman" w:cs="Times New Roman" w:eastAsia="Times New Roman" w:hAnsi="Times New Roman"/>
          <w:sz w:val="18"/>
          <w:szCs w:val="18"/>
          <w:i w:val="1"/>
          <w:iCs w:val="1"/>
          <w:color w:val="auto"/>
        </w:rPr>
      </w:pPr>
    </w:p>
    <w:p>
      <w:pPr>
        <w:ind w:left="540" w:right="4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and innovation with respect to financial products and services by banks, financial institutions and non-traditional providers including retail businesses and technology companies;</w:t>
      </w:r>
    </w:p>
    <w:p>
      <w:pPr>
        <w:ind w:left="540" w:right="42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volatility in the credit and equity markets and its effect on the general economy or local or regional business conditions or on the Company’s capital, assets, liabilities, or customers;</w:t>
      </w:r>
    </w:p>
    <w:p>
      <w:pPr>
        <w:ind w:left="540" w:right="12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the price of the Company’s common stock or other securities, and the resulting impact on the Company’s ability to raise capital or make acquisitions;</w:t>
      </w:r>
    </w:p>
    <w:p>
      <w:pPr>
        <w:ind w:left="540" w:right="44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changes in accounting policies and practices, as may be adopted from time-to-time by our regulatory agencies, as well as by the Public Company Accounting Oversight Board, the Financial Accounting Standards Board and other accounting standard setters;</w:t>
      </w:r>
    </w:p>
    <w:p>
      <w:pPr>
        <w:ind w:left="540" w:right="20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our organization, management, compensation and benefit plans, and our ability to recruit, retain, expand or contract our workforce, management team, key executive positions and/or our board of directors;</w:t>
      </w:r>
    </w:p>
    <w:p>
      <w:pPr>
        <w:ind w:left="540" w:right="6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identify suitable and qualified replacements for any of our executive officers who may leave their employment with us, including our Chief Executive Officer, or to fill any key employment vacancies;</w:t>
      </w:r>
    </w:p>
    <w:p>
      <w:pPr>
        <w:ind w:left="540" w:right="10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and effects of legal, compliance and regulatory actions, changes and developments, including the initiation and resolution of legal proceedings (including any securities, lender liability, bank operations, financial product or service, data privacy, health and safety, consumer or employee class action litigation);</w:t>
      </w:r>
    </w:p>
    <w:p>
      <w:pPr>
        <w:spacing w:after="0" w:line="1"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regulatory or other governmental inquiries or investigations, and/or the results of regulatory examinations or reviews;</w:t>
      </w:r>
    </w:p>
    <w:p>
      <w:pPr>
        <w:spacing w:after="0" w:line="9" w:lineRule="exact"/>
        <w:rPr>
          <w:rFonts w:ascii="Times New Roman" w:cs="Times New Roman" w:eastAsia="Times New Roman" w:hAnsi="Times New Roman"/>
          <w:sz w:val="18"/>
          <w:szCs w:val="18"/>
          <w:i w:val="1"/>
          <w:iCs w:val="1"/>
          <w:color w:val="auto"/>
        </w:rPr>
      </w:pPr>
    </w:p>
    <w:p>
      <w:pPr>
        <w:ind w:left="540" w:right="40" w:hanging="424"/>
        <w:spacing w:after="0" w:line="250"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ongoing relations with our various federal and state regulators, including the SEC, Federal Reserve Board, FDIC and California Department of Financial Protection and Innovation (DFPI);</w:t>
      </w:r>
    </w:p>
    <w:p>
      <w:pPr>
        <w:ind w:left="540" w:hanging="424"/>
        <w:spacing w:after="0"/>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success at managing the risks involved in the foregoing items; and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40" w:hanging="424"/>
        <w:spacing w:after="0" w:line="284" w:lineRule="auto"/>
        <w:tabs>
          <w:tab w:leader="none" w:pos="5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other factors set forth in the Company’s public reports, including our Annual Report on Form 10-K for the year ended December 31, 2020, and particularly the discussion of risk factors within this document.</w:t>
      </w:r>
    </w:p>
    <w:p>
      <w:pPr>
        <w:spacing w:after="0" w:line="239" w:lineRule="exact"/>
        <w:rPr>
          <w:sz w:val="20"/>
          <w:szCs w:val="20"/>
          <w:color w:val="auto"/>
        </w:rPr>
      </w:pPr>
    </w:p>
    <w:p>
      <w:pPr>
        <w:ind w:left="120" w:right="40" w:firstLine="551"/>
        <w:spacing w:after="0" w:line="258" w:lineRule="auto"/>
        <w:rPr>
          <w:sz w:val="20"/>
          <w:szCs w:val="20"/>
          <w:color w:val="auto"/>
        </w:rPr>
      </w:pPr>
      <w:r>
        <w:rPr>
          <w:rFonts w:ascii="Times New Roman" w:cs="Times New Roman" w:eastAsia="Times New Roman" w:hAnsi="Times New Roman"/>
          <w:sz w:val="18"/>
          <w:szCs w:val="18"/>
          <w:i w:val="1"/>
          <w:iCs w:val="1"/>
          <w:color w:val="auto"/>
        </w:rPr>
        <w:t>Among other risks, the ongoing COVID-19 pandemic may significantly affect the banking industry, the health and safety of the Company’s employees, and the Company’s business prospects. The ultimate impact on our business and financial results will depend on future developments, which are highly uncertain and cannot be predicted, including the scope and duration of the pandemic, the impact on the economy, our customers, our employees and our business partners, the safety, effectiveness, timely distribution and acceptance of vaccines developed to mitigate the pandemic, and actions taken by governmental authorities in response to the pandemic.</w:t>
      </w:r>
    </w:p>
    <w:p>
      <w:pPr>
        <w:spacing w:after="0" w:line="143" w:lineRule="exact"/>
        <w:rPr>
          <w:sz w:val="20"/>
          <w:szCs w:val="20"/>
          <w:color w:val="auto"/>
        </w:rPr>
      </w:pPr>
    </w:p>
    <w:p>
      <w:pPr>
        <w:ind w:left="120" w:right="80"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82"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CVB Financial Corp.</w:t>
      </w:r>
    </w:p>
    <w:p>
      <w:pPr>
        <w:spacing w:after="0" w:line="189" w:lineRule="exact"/>
        <w:rPr>
          <w:sz w:val="20"/>
          <w:szCs w:val="20"/>
          <w:color w:val="auto"/>
        </w:rPr>
      </w:pPr>
    </w:p>
    <w:p>
      <w:pPr>
        <w:ind w:left="120" w:firstLine="551"/>
        <w:spacing w:after="0" w:line="255" w:lineRule="auto"/>
        <w:rPr>
          <w:sz w:val="20"/>
          <w:szCs w:val="20"/>
          <w:color w:val="auto"/>
        </w:rPr>
      </w:pPr>
      <w:r>
        <w:rPr>
          <w:rFonts w:ascii="Times New Roman" w:cs="Times New Roman" w:eastAsia="Times New Roman" w:hAnsi="Times New Roman"/>
          <w:sz w:val="18"/>
          <w:szCs w:val="18"/>
          <w:color w:val="auto"/>
        </w:rPr>
        <w:t>CVB Financial Corp. (referred to herein on an unconsolidated basis as “CVB” and on a consolidated basis as “we”, “our” or the “Company”) is a bank holding company incorporated in California on April 27, 1981 and registered with the Board of Governors of the Federal Reserve System (“Federal Reserve”) under the Bank Holding Company Act of 1956, as amended (the “Bank Holding Company Act”). The Company commenced business on December 30, 1981 when, pursuant to a reorganization, it acquired all of the voting stock of Chino Valley Bank. On March 29, 1996, Chino Valley Bank changed its name to Citizens Business Bank (“CBB” or the “Bank”). The Bank is our principal asset. The Company also has one inactive subsidiary, Chino Valley Bancorp. The Company is also the common stockholder of CVB Statutory Trust III. CVB Statutory Trust III was created in January 2006 to issue trust preferred securities in order to raise capital for the Company.</w:t>
      </w:r>
    </w:p>
    <w:p>
      <w:pPr>
        <w:spacing w:after="0" w:line="148" w:lineRule="exact"/>
        <w:rPr>
          <w:sz w:val="20"/>
          <w:szCs w:val="20"/>
          <w:color w:val="auto"/>
        </w:rPr>
      </w:pPr>
    </w:p>
    <w:p>
      <w:pPr>
        <w:ind w:left="120" w:right="60" w:firstLine="551"/>
        <w:spacing w:after="0" w:line="256" w:lineRule="auto"/>
        <w:rPr>
          <w:sz w:val="20"/>
          <w:szCs w:val="20"/>
          <w:color w:val="auto"/>
        </w:rPr>
      </w:pPr>
      <w:r>
        <w:rPr>
          <w:rFonts w:ascii="Times New Roman" w:cs="Times New Roman" w:eastAsia="Times New Roman" w:hAnsi="Times New Roman"/>
          <w:sz w:val="18"/>
          <w:szCs w:val="18"/>
          <w:color w:val="auto"/>
        </w:rPr>
        <w:t xml:space="preserve">CVB’s principal business is to serve as a holding company for the Bank and for other banking or banking related subsidiaries, which the Company may establish or acquire. CVB has not engaged in any other material activities to date. As a legal entity separate and distinct from its subsidiaries, CVB’s principal source of funds is, and will continue to be, dividends paid by and other funds advanced from the Bank and capital raised directly by CVB. Legal limitations are imposed on the amount of dividends that may be paid and loans that may be made by the Bank to CVB. See “Item 1. </w:t>
      </w:r>
      <w:r>
        <w:rPr>
          <w:rFonts w:ascii="Times New Roman" w:cs="Times New Roman" w:eastAsia="Times New Roman" w:hAnsi="Times New Roman"/>
          <w:sz w:val="18"/>
          <w:szCs w:val="18"/>
          <w:i w:val="1"/>
          <w:iCs w:val="1"/>
          <w:color w:val="auto"/>
        </w:rPr>
        <w:t>Business — Regulation and Supervision — Dividends</w:t>
      </w:r>
      <w:r>
        <w:rPr>
          <w:rFonts w:ascii="Times New Roman" w:cs="Times New Roman" w:eastAsia="Times New Roman" w:hAnsi="Times New Roman"/>
          <w:sz w:val="18"/>
          <w:szCs w:val="18"/>
          <w:color w:val="auto"/>
        </w:rPr>
        <w:t>.” As of December 31, 2020, the Company had $14.42 billion in total consolidated assets, $8.26 billion in net loans, $11.74 billion in deposits, and $2.01 billion in shareholders’ equity.</w:t>
      </w:r>
    </w:p>
    <w:p>
      <w:pPr>
        <w:spacing w:after="0" w:line="160" w:lineRule="exact"/>
        <w:rPr>
          <w:sz w:val="20"/>
          <w:szCs w:val="20"/>
          <w:color w:val="auto"/>
        </w:rPr>
      </w:pPr>
    </w:p>
    <w:p>
      <w:pPr>
        <w:ind w:left="120" w:right="40" w:firstLine="551"/>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CVB and the Bank are located at 701 North Haven Avenue, Suite 350, Ontario, California. Our phone number is (909) 980-4030.</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Citizens Business Bank</w:t>
      </w:r>
    </w:p>
    <w:p>
      <w:pPr>
        <w:spacing w:after="0" w:line="189" w:lineRule="exact"/>
        <w:rPr>
          <w:sz w:val="20"/>
          <w:szCs w:val="20"/>
          <w:color w:val="auto"/>
        </w:rPr>
      </w:pPr>
    </w:p>
    <w:p>
      <w:pPr>
        <w:ind w:left="120" w:right="160" w:firstLine="551"/>
        <w:spacing w:after="0" w:line="266" w:lineRule="auto"/>
        <w:rPr>
          <w:sz w:val="20"/>
          <w:szCs w:val="20"/>
          <w:color w:val="auto"/>
        </w:rPr>
      </w:pPr>
      <w:r>
        <w:rPr>
          <w:rFonts w:ascii="Times New Roman" w:cs="Times New Roman" w:eastAsia="Times New Roman" w:hAnsi="Times New Roman"/>
          <w:sz w:val="18"/>
          <w:szCs w:val="18"/>
          <w:color w:val="auto"/>
        </w:rPr>
        <w:t>The Bank commenced operations as a California state-chartered bank on August 9, 1974. The Bank’s deposit accounts are insured under the Federal Deposit Insurance Act up to applicable limits. The Bank is not a member of the Federal Reserve System. At December 31, 2020, the Bank had $14.41 billion in assets, $8.26 billion in net loans, $11.79 billion in deposits, and $1.99 billion in total equity.</w:t>
      </w:r>
    </w:p>
    <w:p>
      <w:pPr>
        <w:spacing w:after="0" w:line="149" w:lineRule="exact"/>
        <w:rPr>
          <w:sz w:val="20"/>
          <w:szCs w:val="20"/>
          <w:color w:val="auto"/>
        </w:rPr>
      </w:pPr>
    </w:p>
    <w:p>
      <w:pPr>
        <w:ind w:left="120" w:right="20" w:firstLine="551"/>
        <w:spacing w:after="0" w:line="266" w:lineRule="auto"/>
        <w:rPr>
          <w:sz w:val="20"/>
          <w:szCs w:val="20"/>
          <w:color w:val="auto"/>
        </w:rPr>
      </w:pPr>
      <w:r>
        <w:rPr>
          <w:rFonts w:ascii="Times New Roman" w:cs="Times New Roman" w:eastAsia="Times New Roman" w:hAnsi="Times New Roman"/>
          <w:sz w:val="18"/>
          <w:szCs w:val="18"/>
          <w:color w:val="auto"/>
        </w:rPr>
        <w:t>As of December 31, 2020, the Bank had 57 Banking Centers (“Centers”) located in the Inland Empire, Los Angeles County, Orange County, San Diego County, Ventura County, Santa Barbara County, and the Central Valley area of California. We also have one loan production office in Modesto, California</w:t>
      </w:r>
    </w:p>
    <w:p>
      <w:pPr>
        <w:spacing w:after="0" w:line="135" w:lineRule="exact"/>
        <w:rPr>
          <w:sz w:val="20"/>
          <w:szCs w:val="20"/>
          <w:color w:val="auto"/>
        </w:rPr>
      </w:pPr>
    </w:p>
    <w:p>
      <w:pPr>
        <w:ind w:left="120" w:right="440" w:firstLine="551"/>
        <w:spacing w:after="0" w:line="282" w:lineRule="auto"/>
        <w:rPr>
          <w:sz w:val="20"/>
          <w:szCs w:val="20"/>
          <w:color w:val="auto"/>
        </w:rPr>
      </w:pPr>
      <w:r>
        <w:rPr>
          <w:rFonts w:ascii="Times New Roman" w:cs="Times New Roman" w:eastAsia="Times New Roman" w:hAnsi="Times New Roman"/>
          <w:sz w:val="18"/>
          <w:szCs w:val="18"/>
          <w:color w:val="auto"/>
        </w:rPr>
        <w:t>We also have three trust offices located in Ontario, Newport Beach and Pasadena. These offices serve as sales offices for the Bank’s wealth management, trust and investment products.</w:t>
      </w:r>
    </w:p>
    <w:p>
      <w:pPr>
        <w:spacing w:after="0" w:line="121" w:lineRule="exact"/>
        <w:rPr>
          <w:sz w:val="20"/>
          <w:szCs w:val="20"/>
          <w:color w:val="auto"/>
        </w:rPr>
      </w:pPr>
    </w:p>
    <w:p>
      <w:pPr>
        <w:jc w:val="both"/>
        <w:ind w:left="120" w:right="220" w:firstLine="551"/>
        <w:spacing w:after="0" w:line="266" w:lineRule="auto"/>
        <w:rPr>
          <w:sz w:val="20"/>
          <w:szCs w:val="20"/>
          <w:color w:val="auto"/>
        </w:rPr>
      </w:pPr>
      <w:r>
        <w:rPr>
          <w:rFonts w:ascii="Times New Roman" w:cs="Times New Roman" w:eastAsia="Times New Roman" w:hAnsi="Times New Roman"/>
          <w:sz w:val="18"/>
          <w:szCs w:val="18"/>
          <w:color w:val="auto"/>
        </w:rPr>
        <w:t>Through our network of Centers, we emphasize personalized service combined with a wide range of banking and trust services for businesses, professionals and individuals located in the service areas of our Centers. Although we focus the marketing of our services to small-and medium-sized businesses, a wide range of banking, investment and trust services are made available to the markets we serve.</w:t>
      </w:r>
    </w:p>
    <w:p>
      <w:pPr>
        <w:spacing w:after="0" w:line="149" w:lineRule="exact"/>
        <w:rPr>
          <w:sz w:val="20"/>
          <w:szCs w:val="20"/>
          <w:color w:val="auto"/>
        </w:rPr>
      </w:pPr>
    </w:p>
    <w:p>
      <w:pPr>
        <w:ind w:left="120" w:right="400" w:firstLine="551"/>
        <w:spacing w:after="0" w:line="266" w:lineRule="auto"/>
        <w:rPr>
          <w:sz w:val="20"/>
          <w:szCs w:val="20"/>
          <w:color w:val="auto"/>
        </w:rPr>
      </w:pPr>
      <w:r>
        <w:rPr>
          <w:rFonts w:ascii="Times New Roman" w:cs="Times New Roman" w:eastAsia="Times New Roman" w:hAnsi="Times New Roman"/>
          <w:sz w:val="18"/>
          <w:szCs w:val="18"/>
          <w:color w:val="auto"/>
        </w:rPr>
        <w:t>We offer a wide range of bank deposit instruments. These include checking, savings, money market and time certificates of deposit for both business and personal accounts, municipalities and districts, and specialized deposit products for title and escrow. We also serve as a federal tax depository for our business customers.</w:t>
      </w:r>
    </w:p>
    <w:p>
      <w:pPr>
        <w:spacing w:after="0" w:line="135" w:lineRule="exact"/>
        <w:rPr>
          <w:sz w:val="20"/>
          <w:szCs w:val="20"/>
          <w:color w:val="auto"/>
        </w:rPr>
      </w:pPr>
    </w:p>
    <w:p>
      <w:pPr>
        <w:jc w:val="both"/>
        <w:ind w:left="120" w:right="180" w:firstLine="551"/>
        <w:spacing w:after="0" w:line="266" w:lineRule="auto"/>
        <w:rPr>
          <w:sz w:val="20"/>
          <w:szCs w:val="20"/>
          <w:color w:val="auto"/>
        </w:rPr>
      </w:pPr>
      <w:r>
        <w:rPr>
          <w:rFonts w:ascii="Times New Roman" w:cs="Times New Roman" w:eastAsia="Times New Roman" w:hAnsi="Times New Roman"/>
          <w:sz w:val="18"/>
          <w:szCs w:val="18"/>
          <w:color w:val="auto"/>
        </w:rPr>
        <w:t>We provide a full complement of lending products, including commercial, agribusiness, consumer, SBA loans, real estate loans and equipment and vehicle leasing. Commercial products include lines of credit and other working capital financing, accounts receivable lending and letters of credit. Agribusiness products are loans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finance the operating needs of wholesale dairy farm operations, cattle feeders, livestock raisers, and farmers. We provide bank qualified lease financing for municipal governments. Commercial real estate and construction loans are secured by a range of property types and include both owner-occupied and investor owned properties. We also offer borrowers the ability to enter into interest rate swaps. Financing products for consumers include automobile leasing and financing, lines of credit, credit cards, home mortgages, and home equity loans and lines of credit.</w:t>
      </w:r>
    </w:p>
    <w:p>
      <w:pPr>
        <w:spacing w:after="0" w:line="153" w:lineRule="exact"/>
        <w:rPr>
          <w:sz w:val="20"/>
          <w:szCs w:val="20"/>
          <w:color w:val="auto"/>
        </w:rPr>
      </w:pPr>
    </w:p>
    <w:p>
      <w:pPr>
        <w:ind w:left="120" w:right="80" w:firstLine="551"/>
        <w:spacing w:after="0" w:line="258" w:lineRule="auto"/>
        <w:rPr>
          <w:sz w:val="20"/>
          <w:szCs w:val="20"/>
          <w:color w:val="auto"/>
        </w:rPr>
      </w:pPr>
      <w:r>
        <w:rPr>
          <w:rFonts w:ascii="Times New Roman" w:cs="Times New Roman" w:eastAsia="Times New Roman" w:hAnsi="Times New Roman"/>
          <w:sz w:val="18"/>
          <w:szCs w:val="18"/>
          <w:color w:val="auto"/>
        </w:rPr>
        <w:t>We also offer a wide range of specialized services designed for the needs of our commercial customers. These services include treasury management systems for monitoring and managing cash flow, a merchant card processing program, armored pick-up and delivery, payroll services, remote deposit capture, electronic funds transfers, domestic and international wires and automated clearinghouse, and on-line account access. We make available investment products offered by other providers to our customers, including mutual funds, a full array of fixed income vehicles and a program to diversify our customers’ funds in federally insured time certificates of deposit of other institutions.</w:t>
      </w:r>
    </w:p>
    <w:p>
      <w:pPr>
        <w:spacing w:after="0" w:line="143" w:lineRule="exact"/>
        <w:rPr>
          <w:sz w:val="20"/>
          <w:szCs w:val="20"/>
          <w:color w:val="auto"/>
        </w:rPr>
      </w:pPr>
    </w:p>
    <w:p>
      <w:pPr>
        <w:ind w:left="120" w:right="260" w:firstLine="551"/>
        <w:spacing w:after="0" w:line="282" w:lineRule="auto"/>
        <w:rPr>
          <w:sz w:val="20"/>
          <w:szCs w:val="20"/>
          <w:color w:val="auto"/>
        </w:rPr>
      </w:pPr>
      <w:r>
        <w:rPr>
          <w:rFonts w:ascii="Times New Roman" w:cs="Times New Roman" w:eastAsia="Times New Roman" w:hAnsi="Times New Roman"/>
          <w:sz w:val="18"/>
          <w:szCs w:val="18"/>
          <w:color w:val="auto"/>
        </w:rPr>
        <w:t>In addition, we offer a wide range of financial services and trust services through our CitizensTrust division. These services include fiduciary services, mutual funds, annuities, 401(k) plans and individual investment accounts.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00" w:lineRule="exact"/>
        <w:rPr>
          <w:sz w:val="20"/>
          <w:szCs w:val="20"/>
          <w:color w:val="auto"/>
        </w:rPr>
      </w:pPr>
    </w:p>
    <w:p>
      <w:pPr>
        <w:ind w:left="120" w:right="340" w:firstLine="551"/>
        <w:spacing w:after="0" w:line="267" w:lineRule="auto"/>
        <w:rPr>
          <w:sz w:val="20"/>
          <w:szCs w:val="20"/>
          <w:color w:val="auto"/>
        </w:rPr>
      </w:pPr>
      <w:r>
        <w:rPr>
          <w:rFonts w:ascii="Times New Roman" w:cs="Times New Roman" w:eastAsia="Times New Roman" w:hAnsi="Times New Roman"/>
          <w:sz w:val="18"/>
          <w:szCs w:val="18"/>
          <w:color w:val="auto"/>
        </w:rPr>
        <w:t xml:space="preserve">We are a community bank with one reportable operating segment. See the sections captioned “Business Segments” in Item 7.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and Note 3 —</w:t>
      </w:r>
      <w:r>
        <w:rPr>
          <w:rFonts w:ascii="Times New Roman" w:cs="Times New Roman" w:eastAsia="Times New Roman" w:hAnsi="Times New Roman"/>
          <w:sz w:val="18"/>
          <w:szCs w:val="18"/>
          <w:i w:val="1"/>
          <w:iCs w:val="1"/>
          <w:color w:val="auto"/>
        </w:rPr>
        <w:t xml:space="preserve"> Summary of Significant Accounting Policies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Business Segments </w:t>
      </w:r>
      <w:r>
        <w:rPr>
          <w:rFonts w:ascii="Times New Roman" w:cs="Times New Roman" w:eastAsia="Times New Roman" w:hAnsi="Times New Roman"/>
          <w:sz w:val="18"/>
          <w:szCs w:val="18"/>
          <w:color w:val="auto"/>
        </w:rPr>
        <w:t>of the notes to consolidated financial statements.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ind w:left="120" w:right="80" w:firstLine="551"/>
        <w:spacing w:after="0" w:line="258" w:lineRule="auto"/>
        <w:rPr>
          <w:sz w:val="20"/>
          <w:szCs w:val="20"/>
          <w:color w:val="auto"/>
        </w:rPr>
      </w:pPr>
      <w:r>
        <w:rPr>
          <w:rFonts w:ascii="Times New Roman" w:cs="Times New Roman" w:eastAsia="Times New Roman" w:hAnsi="Times New Roman"/>
          <w:sz w:val="18"/>
          <w:szCs w:val="18"/>
          <w:color w:val="auto"/>
        </w:rPr>
        <w:t>We employed 1,052 associates as of December 31, 2020. This was a 3% decrease from December 31, 2019. Our Code of Personal and Business Conduct and Ethics (“Code”) addresses both business and social relationships that may present legal and ethical concerns and also sets forth a code of conduct to guide the members of the Board of Directors and associates. Our associates acknowledge annually they have read and understood their responsibility to conduct business in accordance with the highest ethical standards in order to merit and maintain the confidence and trust of our customers and the public in general.</w:t>
      </w:r>
    </w:p>
    <w:p>
      <w:pPr>
        <w:spacing w:after="0" w:line="156" w:lineRule="exact"/>
        <w:rPr>
          <w:sz w:val="20"/>
          <w:szCs w:val="20"/>
          <w:color w:val="auto"/>
        </w:rPr>
      </w:pPr>
    </w:p>
    <w:p>
      <w:pPr>
        <w:ind w:left="120" w:right="320" w:firstLine="551"/>
        <w:spacing w:after="0" w:line="282" w:lineRule="auto"/>
        <w:rPr>
          <w:sz w:val="20"/>
          <w:szCs w:val="20"/>
          <w:color w:val="auto"/>
        </w:rPr>
      </w:pPr>
      <w:r>
        <w:rPr>
          <w:rFonts w:ascii="Times New Roman" w:cs="Times New Roman" w:eastAsia="Times New Roman" w:hAnsi="Times New Roman"/>
          <w:sz w:val="18"/>
          <w:szCs w:val="18"/>
          <w:color w:val="auto"/>
        </w:rPr>
        <w:t>The Company promotes Five Core Values that we believe provides a continuing commitment and direction to our business activities and our underlying culture. These core values are fundamental to the Company’s performance and strategy.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Five Core Values are:</w:t>
      </w:r>
    </w:p>
    <w:p>
      <w:pPr>
        <w:spacing w:after="0" w:line="185" w:lineRule="exact"/>
        <w:rPr>
          <w:sz w:val="20"/>
          <w:szCs w:val="20"/>
          <w:color w:val="auto"/>
        </w:rPr>
      </w:pPr>
    </w:p>
    <w:p>
      <w:pPr>
        <w:ind w:left="1080" w:hanging="193"/>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Strength;</w:t>
      </w:r>
    </w:p>
    <w:p>
      <w:pPr>
        <w:spacing w:after="0" w:line="27" w:lineRule="exact"/>
        <w:rPr>
          <w:rFonts w:ascii="Times New Roman" w:cs="Times New Roman" w:eastAsia="Times New Roman" w:hAnsi="Times New Roman"/>
          <w:sz w:val="18"/>
          <w:szCs w:val="18"/>
          <w:color w:val="auto"/>
        </w:rPr>
      </w:pPr>
    </w:p>
    <w:p>
      <w:pPr>
        <w:ind w:left="1080" w:hanging="193"/>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People;</w:t>
      </w:r>
    </w:p>
    <w:p>
      <w:pPr>
        <w:spacing w:after="0" w:line="9" w:lineRule="exact"/>
        <w:rPr>
          <w:rFonts w:ascii="Times New Roman" w:cs="Times New Roman" w:eastAsia="Times New Roman" w:hAnsi="Times New Roman"/>
          <w:sz w:val="18"/>
          <w:szCs w:val="18"/>
          <w:color w:val="auto"/>
        </w:rPr>
      </w:pPr>
    </w:p>
    <w:p>
      <w:pPr>
        <w:ind w:left="1080" w:hanging="193"/>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Focus;</w:t>
      </w:r>
    </w:p>
    <w:p>
      <w:pPr>
        <w:spacing w:after="0" w:line="9" w:lineRule="exact"/>
        <w:rPr>
          <w:rFonts w:ascii="Times New Roman" w:cs="Times New Roman" w:eastAsia="Times New Roman" w:hAnsi="Times New Roman"/>
          <w:sz w:val="18"/>
          <w:szCs w:val="18"/>
          <w:color w:val="auto"/>
        </w:rPr>
      </w:pPr>
    </w:p>
    <w:p>
      <w:pPr>
        <w:ind w:left="1080" w:hanging="193"/>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Operation; and</w:t>
      </w:r>
    </w:p>
    <w:p>
      <w:pPr>
        <w:spacing w:after="0" w:line="9" w:lineRule="exact"/>
        <w:rPr>
          <w:rFonts w:ascii="Times New Roman" w:cs="Times New Roman" w:eastAsia="Times New Roman" w:hAnsi="Times New Roman"/>
          <w:sz w:val="18"/>
          <w:szCs w:val="18"/>
          <w:color w:val="auto"/>
        </w:rPr>
      </w:pPr>
    </w:p>
    <w:p>
      <w:pPr>
        <w:ind w:left="1080" w:hanging="193"/>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Fun.</w:t>
      </w:r>
    </w:p>
    <w:p>
      <w:pPr>
        <w:spacing w:after="0" w:line="180" w:lineRule="exact"/>
        <w:rPr>
          <w:sz w:val="20"/>
          <w:szCs w:val="20"/>
          <w:color w:val="auto"/>
        </w:rPr>
      </w:pPr>
    </w:p>
    <w:p>
      <w:pPr>
        <w:ind w:left="120" w:firstLine="551"/>
        <w:spacing w:after="0" w:line="261" w:lineRule="auto"/>
        <w:rPr>
          <w:sz w:val="20"/>
          <w:szCs w:val="20"/>
          <w:color w:val="auto"/>
        </w:rPr>
      </w:pPr>
      <w:r>
        <w:rPr>
          <w:rFonts w:ascii="Times New Roman" w:cs="Times New Roman" w:eastAsia="Times New Roman" w:hAnsi="Times New Roman"/>
          <w:sz w:val="18"/>
          <w:szCs w:val="18"/>
          <w:color w:val="auto"/>
        </w:rPr>
        <w:t>The Company’s Citizens Experience Service Awards and Recognition Program resulted in 302 nominations of associates who were recognized for exemplifying our Five Core Values in 2020. In addition, the Company has a long held tradition of an annual awards program that recognizes outstanding job performance. In 2020, we held a virtual awards ceremony that recognized 33 associates, who stood out for their commitment to our high standards of performance.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82" w:right="4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551"/>
        <w:spacing w:after="0" w:line="254" w:lineRule="auto"/>
        <w:rPr>
          <w:sz w:val="20"/>
          <w:szCs w:val="20"/>
          <w:color w:val="auto"/>
        </w:rPr>
      </w:pPr>
      <w:r>
        <w:rPr>
          <w:rFonts w:ascii="Times New Roman" w:cs="Times New Roman" w:eastAsia="Times New Roman" w:hAnsi="Times New Roman"/>
          <w:sz w:val="18"/>
          <w:szCs w:val="18"/>
          <w:color w:val="auto"/>
        </w:rPr>
        <w:t>The Company is committed to supporting the physical and financial wellness of our associates and their families. We offer a comprehensive set of health insurance and retirement benefits, as well as wellness programs and resources. As of December 2020, 88% of our associates were enrolled in our medical insurance plans and 43% of our associates participated in at least one wellness activity during 2020. The Company makes an annual 401(k) retirement contribution to all eligible associates, which includes a profit sharing component. For 2020, the combined Company 401(k) contribution was 5% of associate’s eligible salary. In addition, 93% of our associates made individual participant contributions to the 401(k) plan during 2020. During 2020, with oversight by the Company’s Business Continuity Committee, we took numerous actions to promote the health and safety of our associates during the COVID-19 pandemic. These actions included certain individual protocols such as required facial coverings, social distancing, daily temperature taking and virus testing. We also enhanced the daily cleaning of our workspaces and provided greater opportunities for our associates to work remotely where possible.</w:t>
      </w:r>
    </w:p>
    <w:p>
      <w:pPr>
        <w:spacing w:after="0" w:line="161" w:lineRule="exact"/>
        <w:rPr>
          <w:sz w:val="20"/>
          <w:szCs w:val="20"/>
          <w:color w:val="auto"/>
        </w:rPr>
      </w:pPr>
    </w:p>
    <w:p>
      <w:pPr>
        <w:ind w:left="120" w:right="60" w:firstLine="551"/>
        <w:spacing w:after="0" w:line="258" w:lineRule="auto"/>
        <w:rPr>
          <w:sz w:val="20"/>
          <w:szCs w:val="20"/>
          <w:color w:val="auto"/>
        </w:rPr>
      </w:pPr>
      <w:r>
        <w:rPr>
          <w:rFonts w:ascii="Times New Roman" w:cs="Times New Roman" w:eastAsia="Times New Roman" w:hAnsi="Times New Roman"/>
          <w:sz w:val="18"/>
          <w:szCs w:val="18"/>
          <w:color w:val="auto"/>
        </w:rPr>
        <w:t>Recruiting, training and development, and retention of key associates is vital to the Company’s strategy and success. The Company promotes leadership and associate development through various programs, including succession planning, top talent program, and leadership essentials training. At December 31, 2020, we had approximately 140 positions within the Company designated as “leadership” positions. This represents approximately 13% of our total associates. The average tenure at the Company among our leadership group at the end of 2020 was 10 years. In 2020, turnover among our leadership group was less than 10% and during the year we promoted 6 associates and hired 5 new associates into our leadership group.</w:t>
      </w:r>
    </w:p>
    <w:p>
      <w:pPr>
        <w:spacing w:after="0" w:line="143" w:lineRule="exact"/>
        <w:rPr>
          <w:sz w:val="20"/>
          <w:szCs w:val="20"/>
          <w:color w:val="auto"/>
        </w:rPr>
      </w:pPr>
    </w:p>
    <w:p>
      <w:pPr>
        <w:ind w:left="120" w:firstLine="551"/>
        <w:spacing w:after="0" w:line="254" w:lineRule="auto"/>
        <w:rPr>
          <w:sz w:val="20"/>
          <w:szCs w:val="20"/>
          <w:color w:val="auto"/>
        </w:rPr>
      </w:pPr>
      <w:r>
        <w:rPr>
          <w:rFonts w:ascii="Times New Roman" w:cs="Times New Roman" w:eastAsia="Times New Roman" w:hAnsi="Times New Roman"/>
          <w:sz w:val="18"/>
          <w:szCs w:val="18"/>
          <w:color w:val="auto"/>
        </w:rPr>
        <w:t>The Company’s Diversity and Inclusion Program is designed to invest in the professional development of our associates and values an inclusive and diverse workplace. We strive to reward talent, with a commitment to equal opportunity. Oversight is provided by the Company’s Diversity and Inclusion Committee, which is guided by our Diversity and Inclusion Policy. The Policy provides a framework which we use to create and strengthen our diversity policies and practices, including our organizational commitment to diversity, positive workforce and employment practices, sound procurement and business practices, and practices to promote transparency of organizational diversity and inclusion. The Diversity and Inclusion Committee is co-chaired by our Chief Operations Officer and Human Resources Director and includes our Chief Financial Officer, Chief Risk Officer, and General Counsel. We monitor progress in enhancing diversity throughout our organization, including the percentage of our total associates who are female and racially or ethnically diverse. Our Human Resources Director provides updates on our progress to the Board of Directors on a regular basis. The following represents the Company’s diversity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131445</wp:posOffset>
            </wp:positionV>
            <wp:extent cx="5160645" cy="213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06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40% of our Board of Directors are female or ethnically diverse.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82" w:right="5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551"/>
        <w:spacing w:after="0" w:line="270" w:lineRule="auto"/>
        <w:rPr>
          <w:sz w:val="20"/>
          <w:szCs w:val="20"/>
          <w:color w:val="auto"/>
        </w:rPr>
      </w:pPr>
      <w:r>
        <w:rPr>
          <w:rFonts w:ascii="Times New Roman" w:cs="Times New Roman" w:eastAsia="Times New Roman" w:hAnsi="Times New Roman"/>
          <w:sz w:val="17"/>
          <w:szCs w:val="17"/>
          <w:color w:val="auto"/>
        </w:rPr>
        <w:t>The Board of Directors oversees executive compensation, as well as the Company’s compensation and benefit plans, through the Board’s Compensation Committee. The Management Compensation Compliance Committee, under the direction of the Compensation Committee, identifies, assesses, and manages exposure to and compliance with applicable compensation laws, regulations, and other related issues. In general, the Management Compensation Compliance Committee is responsible for ensuring that the Company has designed and implemented risk management processes that</w:t>
      </w:r>
    </w:p>
    <w:p>
      <w:pPr>
        <w:spacing w:after="0" w:line="3" w:lineRule="exact"/>
        <w:rPr>
          <w:sz w:val="20"/>
          <w:szCs w:val="20"/>
          <w:color w:val="auto"/>
        </w:rPr>
      </w:pPr>
    </w:p>
    <w:p>
      <w:pPr>
        <w:ind w:left="120" w:right="60" w:hanging="4"/>
        <w:spacing w:after="0" w:line="253" w:lineRule="auto"/>
        <w:tabs>
          <w:tab w:leader="none" w:pos="3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nature of inherent risks in compensation programs; (2) are consistent with the Company’s strategic plan; and (3) foster a culture of risk-awareness and risk-adjusted decision making throughout the Company. All of our associates are eligible for incentive compensation awards. For 2020, 92% of our associates earned an incentive bonus. In addition, we paid all eligible associates a “Thank You” Award in July of 2020, which totaled approximately $1.1 million. This award was in recognition of our associates commitments and efforts as essential workers to support our customers and communities during the pandemic.</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left="120" w:right="120" w:firstLine="551"/>
        <w:spacing w:after="0" w:line="254" w:lineRule="auto"/>
        <w:rPr>
          <w:sz w:val="20"/>
          <w:szCs w:val="20"/>
          <w:color w:val="auto"/>
        </w:rPr>
      </w:pPr>
      <w:r>
        <w:rPr>
          <w:rFonts w:ascii="Times New Roman" w:cs="Times New Roman" w:eastAsia="Times New Roman" w:hAnsi="Times New Roman"/>
          <w:sz w:val="18"/>
          <w:szCs w:val="18"/>
          <w:color w:val="auto"/>
        </w:rPr>
        <w:t>The banking and financial services business is highly competitive. The competitive environment faced by banks is a result primarily of changes in laws and regulations, changes in technology and product delivery systems, and the ongoing consolidation among insured financial institutions. We compete for loans, deposits, and customers with other commercial banks, savings and loan associations, savings banks, securities and brokerage companies, mortgage companies, insurance companies, finance companies, blockchain and cryptocurrency companies, money market funds, credit unions, and other nonbank financial service providers, including online banks and “peer-to-peer” or “marketplace” payment processors, FinTech companies, lenders and other small business and consumer lenders. Many competitors are much larger in total assets and capitalization, have greater access to capital markets and/or offer a broader range of financial products and services. Additionally, some smaller competitors, including non-bank entities, may be more nimble and responsive to customer preferences or requirements.</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Economic Conditions/Government Policies</w:t>
      </w:r>
    </w:p>
    <w:p>
      <w:pPr>
        <w:spacing w:after="0" w:line="202" w:lineRule="exact"/>
        <w:rPr>
          <w:sz w:val="20"/>
          <w:szCs w:val="20"/>
          <w:color w:val="auto"/>
        </w:rPr>
      </w:pPr>
    </w:p>
    <w:p>
      <w:pPr>
        <w:ind w:left="120" w:right="60" w:firstLine="551"/>
        <w:spacing w:after="0" w:line="256" w:lineRule="auto"/>
        <w:rPr>
          <w:sz w:val="20"/>
          <w:szCs w:val="20"/>
          <w:color w:val="auto"/>
        </w:rPr>
      </w:pPr>
      <w:r>
        <w:rPr>
          <w:rFonts w:ascii="Times New Roman" w:cs="Times New Roman" w:eastAsia="Times New Roman" w:hAnsi="Times New Roman"/>
          <w:sz w:val="18"/>
          <w:szCs w:val="18"/>
          <w:color w:val="auto"/>
        </w:rPr>
        <w:t>Our profitability, like most financial institutions, is primarily dependent on interest rate spreads and noninterest income. In general, the difference between the interest rates paid by the Bank on interest-bearing liabilities, such as deposits and other borrowings, and the interest rates received by the Bank on interest-earning assets, such as loans extended to customers and securities held in the investment portfolio, will comprise the major portion of our earnings. These rates are highly sensitive to many factors that are beyond our control, such as inflation, recession and unemployment, government monetary and other policies, and the impact which future changes in domestic and foreign economic conditions might have on us cannot be predicted.</w:t>
      </w:r>
    </w:p>
    <w:p>
      <w:pPr>
        <w:spacing w:after="0" w:line="147" w:lineRule="exact"/>
        <w:rPr>
          <w:sz w:val="20"/>
          <w:szCs w:val="20"/>
          <w:color w:val="auto"/>
        </w:rPr>
      </w:pPr>
    </w:p>
    <w:p>
      <w:pPr>
        <w:jc w:val="both"/>
        <w:ind w:left="120" w:right="160" w:firstLine="551"/>
        <w:spacing w:after="0" w:line="261" w:lineRule="auto"/>
        <w:rPr>
          <w:sz w:val="20"/>
          <w:szCs w:val="20"/>
          <w:color w:val="auto"/>
        </w:rPr>
      </w:pPr>
      <w:r>
        <w:rPr>
          <w:rFonts w:ascii="Times New Roman" w:cs="Times New Roman" w:eastAsia="Times New Roman" w:hAnsi="Times New Roman"/>
          <w:sz w:val="18"/>
          <w:szCs w:val="18"/>
          <w:color w:val="auto"/>
        </w:rPr>
        <w:t>Opportunity for banks to earn fees and other noninterest income have also been limited by restrictions imposed by the Dodd-Frank Wall Street Reform and Consumer Protection Act (“Dodd-Frank”) and other government regulations. As the following sections indicate, the impact of current and future changes in government laws and regulations on our ability to maintain current levels of fees and other noninterest income could be material and cannot be predicted.</w:t>
      </w:r>
    </w:p>
    <w:p>
      <w:pPr>
        <w:spacing w:after="0" w:line="139" w:lineRule="exact"/>
        <w:rPr>
          <w:sz w:val="20"/>
          <w:szCs w:val="20"/>
          <w:color w:val="auto"/>
        </w:rPr>
      </w:pPr>
    </w:p>
    <w:p>
      <w:pPr>
        <w:ind w:left="120" w:right="20" w:firstLine="551"/>
        <w:spacing w:after="0" w:line="254" w:lineRule="auto"/>
        <w:rPr>
          <w:sz w:val="20"/>
          <w:szCs w:val="20"/>
          <w:color w:val="auto"/>
        </w:rPr>
      </w:pPr>
      <w:r>
        <w:rPr>
          <w:rFonts w:ascii="Times New Roman" w:cs="Times New Roman" w:eastAsia="Times New Roman" w:hAnsi="Times New Roman"/>
          <w:sz w:val="18"/>
          <w:szCs w:val="18"/>
          <w:color w:val="auto"/>
        </w:rPr>
        <w:t>Our business is also influenced by the monetary and fiscal policies of the federal government and the policies of regulatory agencies, particularly the Federal Reserve. The Federal Reserve implements national monetary policies (with objectives such as curbing inflation, increasing employment and combating recession) through its open-market operations in U.S. Government securities by buying and selling treasury and mortgage-backed securities, by adjusting the required level of reserves for depository institutions subject to its reserve requirements, and by varying the target federal funds and discount rates applicable to borrowings by depository institutions. The actions of the Federal Reserve in these areas influence the growth and performance of bank loans, investments, and deposits and also affect interest earned on interest-earning assets and paid on interest-bearing liabilities. In recent years, the impact of the Federal Reserve’s actions and policies have tended to assume even greater importance and impact on the lending and securities markets, and these actions and policies are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continuing to evolve and change based on political and economic events and incoming data. Government fiscal and budgetary policies, including deficit spending, can also have a significant impact on the capital markets and interest rates. The nature and impact of any future changes in monetary and fiscal policies on us cannot be predicted.</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and Supervision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left="120" w:right="100" w:firstLine="551"/>
        <w:spacing w:after="0" w:line="255" w:lineRule="auto"/>
        <w:rPr>
          <w:sz w:val="20"/>
          <w:szCs w:val="20"/>
          <w:color w:val="auto"/>
        </w:rPr>
      </w:pPr>
      <w:r>
        <w:rPr>
          <w:rFonts w:ascii="Times New Roman" w:cs="Times New Roman" w:eastAsia="Times New Roman" w:hAnsi="Times New Roman"/>
          <w:sz w:val="18"/>
          <w:szCs w:val="18"/>
          <w:color w:val="auto"/>
        </w:rPr>
        <w:t>The Bank is subject to significant regulation and restrictions under federal and state laws and regulatory agencies. These regulations and restrictions are intended primarily for the protection of depositors and the Federal Deposit Insurance Corporation (“FDIC”) Deposit Insurance Fund (“DIF”) and for the protection of borrowers, and secondarily for the stability of the U.S. banking system. The following discussion of statutes and regulations is a summary and does not purport to be complete nor does it address all applicable statutes and regulations. This discussion is qualified in its entirety by reference to the statutes and regulations referred to in this discussion. From time to time, federal and state legislation is enacted and implemented by regulations which may have the effect of materially increasing the cost of doing business, limiting or expanding permissible activities, or affecting the competitive balance between banks and other financial services providers.</w:t>
      </w:r>
    </w:p>
    <w:p>
      <w:pPr>
        <w:spacing w:after="0" w:line="162" w:lineRule="exact"/>
        <w:rPr>
          <w:sz w:val="20"/>
          <w:szCs w:val="20"/>
          <w:color w:val="auto"/>
        </w:rPr>
      </w:pPr>
    </w:p>
    <w:p>
      <w:pPr>
        <w:ind w:left="120" w:right="40" w:firstLine="551"/>
        <w:spacing w:after="0" w:line="261" w:lineRule="auto"/>
        <w:rPr>
          <w:sz w:val="20"/>
          <w:szCs w:val="20"/>
          <w:color w:val="auto"/>
        </w:rPr>
      </w:pPr>
      <w:r>
        <w:rPr>
          <w:rFonts w:ascii="Times New Roman" w:cs="Times New Roman" w:eastAsia="Times New Roman" w:hAnsi="Times New Roman"/>
          <w:sz w:val="18"/>
          <w:szCs w:val="18"/>
          <w:color w:val="auto"/>
        </w:rPr>
        <w:t>We cannot predict whether or when other legislation or new regulations may be enacted, and if enacted, the effect that new legislation or any implemented regulations and supervisory policies would have on our financial condition and results of operations. Such developments may further alter the structure, regulation, and competitive relationship among financial institutions, may limit the types or pricing of the products and services we offer, and may subject us to increased regulation, disclosure, and reporting requirements.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Legislation and Regulatory Developments</w:t>
      </w:r>
    </w:p>
    <w:p>
      <w:pPr>
        <w:spacing w:after="0" w:line="189" w:lineRule="exact"/>
        <w:rPr>
          <w:sz w:val="20"/>
          <w:szCs w:val="20"/>
          <w:color w:val="auto"/>
        </w:rPr>
      </w:pPr>
    </w:p>
    <w:p>
      <w:pPr>
        <w:ind w:left="120" w:right="20" w:firstLine="551"/>
        <w:spacing w:after="0" w:line="254" w:lineRule="auto"/>
        <w:rPr>
          <w:sz w:val="20"/>
          <w:szCs w:val="20"/>
          <w:color w:val="auto"/>
        </w:rPr>
      </w:pPr>
      <w:r>
        <w:rPr>
          <w:rFonts w:ascii="Times New Roman" w:cs="Times New Roman" w:eastAsia="Times New Roman" w:hAnsi="Times New Roman"/>
          <w:sz w:val="18"/>
          <w:szCs w:val="18"/>
          <w:color w:val="auto"/>
        </w:rPr>
        <w:t>The federal banking agencies continue to implement the remaining requirements in the Dodd-Frank Act as well as promulgating other regulations and guidelines intended to assure the financial strength and safety and soundness of banks and the stability of the U.S. banking system. On February 3, 2017 President Trump issued an executive order identifying certain “core principles” for the administration’s financial services regulatory policy and directing the Secretary of the Treasury, in consultation with the heads of other financial regulatory agencies, to evaluate how the current regulatory framework promotes or inhibits the principles and what actions have been, and are being, taken to promote the principles. In response to the executive order, on June 12, 2017, October 6, 2017, October 26, 2017 and July 31, 2018, respectively, the United States Department of the Treasury issued four reports recommending a number of comprehensive changes in the current regulatory system for U.S. depository institutions, the U.S. capital markets and the U.S. asset management and insurance industries, around the following principles:</w:t>
      </w:r>
    </w:p>
    <w:p>
      <w:pPr>
        <w:spacing w:after="0" w:line="192" w:lineRule="exact"/>
        <w:rPr>
          <w:sz w:val="20"/>
          <w:szCs w:val="20"/>
          <w:color w:val="auto"/>
        </w:rPr>
      </w:pPr>
    </w:p>
    <w:p>
      <w:pPr>
        <w:ind w:left="10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regulatory efficiency and effectiveness by critically evaluating mandates and regulatory fragmentation, overlap, and duplication across regulatory agencies;</w:t>
      </w: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the financial system to help support the U.S. economy;</w:t>
      </w:r>
    </w:p>
    <w:p>
      <w:pPr>
        <w:spacing w:after="0" w:line="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regulatory burden by decreasing unnecessary complexity;</w:t>
      </w:r>
    </w:p>
    <w:p>
      <w:pPr>
        <w:spacing w:after="0" w:line="9" w:lineRule="exact"/>
        <w:rPr>
          <w:rFonts w:ascii="Times New Roman" w:cs="Times New Roman" w:eastAsia="Times New Roman" w:hAnsi="Times New Roman"/>
          <w:sz w:val="18"/>
          <w:szCs w:val="18"/>
          <w:color w:val="auto"/>
        </w:rPr>
      </w:pPr>
    </w:p>
    <w:p>
      <w:pPr>
        <w:ind w:left="1080" w:right="540" w:hanging="424"/>
        <w:spacing w:after="0" w:line="250"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Tailoring the regulatory approach based on size and complexity of regulated firms and requiring greater regulatory cooperation and coordination among financial regulators;</w:t>
      </w: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regulations to support market liquidity, investment, and lending in the U.S. economy; and</w:t>
      </w:r>
    </w:p>
    <w:p>
      <w:pPr>
        <w:spacing w:after="0" w:line="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regulatory landscape that better supports nonbank financial institutions, embraces financial technology and fosters innovation.</w:t>
      </w:r>
    </w:p>
    <w:p>
      <w:pPr>
        <w:spacing w:after="0" w:line="288" w:lineRule="exact"/>
        <w:rPr>
          <w:sz w:val="20"/>
          <w:szCs w:val="20"/>
          <w:color w:val="auto"/>
        </w:rPr>
      </w:pPr>
    </w:p>
    <w:p>
      <w:pPr>
        <w:ind w:left="120" w:right="680" w:firstLine="551"/>
        <w:spacing w:after="0" w:line="312" w:lineRule="auto"/>
        <w:rPr>
          <w:sz w:val="20"/>
          <w:szCs w:val="20"/>
          <w:color w:val="auto"/>
        </w:rPr>
      </w:pPr>
      <w:r>
        <w:rPr>
          <w:rFonts w:ascii="Times New Roman" w:cs="Times New Roman" w:eastAsia="Times New Roman" w:hAnsi="Times New Roman"/>
          <w:sz w:val="17"/>
          <w:szCs w:val="17"/>
          <w:color w:val="auto"/>
        </w:rPr>
        <w:t>The scope and breadth of regulatory changes that will be implemented in response to the President’s executive order have not yet been determined. The scope and breath of regulatory changes that will occur as a result of the election of President Biden have yet to be determined.</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82" w:right="4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Adequacy Requirements</w:t>
      </w:r>
    </w:p>
    <w:p>
      <w:pPr>
        <w:spacing w:after="0" w:line="202"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Bank holding companies and banks are subject to similar regulatory capital requirements administered by state and federal banking agencies. The current capital rule changes (the “Current Capital Rules”) adopted by the federal bank regulatory agencies, which were fully effective on January 1, 2015, have been fully phased in. The risk-based capital guidelines for bank holding companies, and additionally for banks, require capital ratios that vary based on the perceived degree of risk associated with a banking organization’s operations, both for transactions reported on the balance sheet as assets, such as loans, and for those recorded as off-balance sheet items, such as commitments, letters of credit and recourse arrangements. The risk-based capital ratio is determined by classifying assets and certain off-balance sheet financial instruments into weighted categories, with higher levels of capital being required for those categories perceived as representing greater risks, and with the applicable ratios calculated by dividing qualifying capital by total risk-adjusted assets and off-balance sheet items. Capital amounts and classifications are also subject to qualitative judgments by regulators about components, risk weighting and other factors. Bank holding companies and banks engaged in significant trading activity may also be subject to the market risk capital guidelines and be required to incorporate additional market and interest rate risk components into their risk-based capital standards. Bank holding companies are also required to act as a source of financial strength to their subsidiary banks. Under this policy, the Company must commit resources to support the Bank even when the Company may not be in a financial position to provide it.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Regulatory Capital and Risk-weighted Assets</w:t>
      </w:r>
    </w:p>
    <w:p>
      <w:pPr>
        <w:spacing w:after="0" w:line="187" w:lineRule="exact"/>
        <w:rPr>
          <w:sz w:val="20"/>
          <w:szCs w:val="20"/>
          <w:color w:val="auto"/>
        </w:rPr>
      </w:pPr>
    </w:p>
    <w:p>
      <w:pPr>
        <w:ind w:left="120" w:right="40" w:firstLine="551"/>
        <w:spacing w:after="0" w:line="258" w:lineRule="auto"/>
        <w:rPr>
          <w:sz w:val="20"/>
          <w:szCs w:val="20"/>
          <w:color w:val="auto"/>
        </w:rPr>
      </w:pPr>
      <w:r>
        <w:rPr>
          <w:rFonts w:ascii="Times New Roman" w:cs="Times New Roman" w:eastAsia="Times New Roman" w:hAnsi="Times New Roman"/>
          <w:sz w:val="18"/>
          <w:szCs w:val="18"/>
          <w:color w:val="auto"/>
        </w:rPr>
        <w:t>The Federal Reserve monitors our capital adequacy on a consolidated basis, and the FDIC and the California Department of Financial Protection and Innovation (“DFPI”) monitor the capital adequacy of our Bank. These rules implement the Basel III international regulatory capital standards in the United States, as well as certain provisions of the Dodd-Frank Act. These quantitative calculations are minimums, and the Federal Reserve, FDIC or DFPI may determine that a banking organization, based on its size, complexity or risk profile, must maintain a higher level of capital in order to operate in a safe and sound manner.</w:t>
      </w:r>
    </w:p>
    <w:p>
      <w:pPr>
        <w:spacing w:after="0" w:line="156" w:lineRule="exact"/>
        <w:rPr>
          <w:sz w:val="20"/>
          <w:szCs w:val="20"/>
          <w:color w:val="auto"/>
        </w:rPr>
      </w:pPr>
    </w:p>
    <w:p>
      <w:pPr>
        <w:ind w:left="120" w:right="20" w:firstLine="551"/>
        <w:spacing w:after="0" w:line="266" w:lineRule="auto"/>
        <w:rPr>
          <w:sz w:val="20"/>
          <w:szCs w:val="20"/>
          <w:color w:val="auto"/>
        </w:rPr>
      </w:pPr>
      <w:r>
        <w:rPr>
          <w:rFonts w:ascii="Times New Roman" w:cs="Times New Roman" w:eastAsia="Times New Roman" w:hAnsi="Times New Roman"/>
          <w:sz w:val="18"/>
          <w:szCs w:val="18"/>
          <w:color w:val="auto"/>
        </w:rPr>
        <w:t>Under the Basel III Capital Rules, the Company’s and the Bank’s assets, exposures and certain off-balance sheet items are subject to risk weights used to determine the institutions’ risk-weighted assets. These risk-weighted assets are used to calculate the following minimum capital ratios for the Company and the Bank:</w:t>
      </w:r>
    </w:p>
    <w:p>
      <w:pPr>
        <w:spacing w:after="0" w:line="172" w:lineRule="exact"/>
        <w:rPr>
          <w:sz w:val="20"/>
          <w:szCs w:val="20"/>
          <w:color w:val="auto"/>
        </w:rPr>
      </w:pPr>
    </w:p>
    <w:p>
      <w:pPr>
        <w:ind w:left="1080" w:right="180" w:hanging="424"/>
        <w:spacing w:after="0" w:line="263"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Tier 1 Leverage Ratio</w:t>
      </w:r>
      <w:r>
        <w:rPr>
          <w:rFonts w:ascii="Times New Roman" w:cs="Times New Roman" w:eastAsia="Times New Roman" w:hAnsi="Times New Roman"/>
          <w:sz w:val="18"/>
          <w:szCs w:val="18"/>
          <w:color w:val="auto"/>
        </w:rPr>
        <w:t>, equal to the ratio of Tier 1 capital to quarterly average assets (net of goodwill, certain other intangible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other deductions).</w:t>
      </w:r>
    </w:p>
    <w:p>
      <w:pPr>
        <w:ind w:left="1080" w:hanging="424"/>
        <w:spacing w:after="0" w:line="25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CET1 Risk-Based Capital Ratio</w:t>
      </w:r>
      <w:r>
        <w:rPr>
          <w:rFonts w:ascii="Times New Roman" w:cs="Times New Roman" w:eastAsia="Times New Roman" w:hAnsi="Times New Roman"/>
          <w:sz w:val="18"/>
          <w:szCs w:val="18"/>
          <w:color w:val="auto"/>
        </w:rPr>
        <w:t>, equal to the ratio of CET1 capital to risk-weighted assets. CET1 capital primarily includes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equity subject to certain regulatory adjustments and deductions, including with respect to goodwill, intangible assets and certain deferred tax assets. Certain of these adjustments and deductions were subject to phase-in periods that began on January 1, 2015 and ended on January 1, 2018. The last phase of the Basel III Capital Rules’ transition provisions relating to capital deductions for mortgage servicing assets, certain deferred tax assets and investments in the capital instruments of unconsolidated financial institutions, and the recognition of minority interests in regulatory capital was delayed for certain bank holding companies and banks, including us and the Bank, but a revised rule was finalized in July 2019 that was effective in April 2020. Hybrid securities, such as trust preferred securities, generally are excluded from being counted as Tier 1 capital. However, for bank holding companies like us that have less than $15 billion in total consolidated assets, certain trust preferred securities were grandfathered in as a component of Tier 1 capital. In addition, because we are not an advanced approach banking organization, we were permitted to make a one-time permanent election to exclude accumulated other comprehensive income items from regulatory capital. We made this election in order to avoid significant variations in our levels of capital depending upon the impact of interest rate fluctuations on the fair value of our Bank’s available-for-sale securities portfolio.</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right="20" w:hanging="424"/>
        <w:spacing w:after="0" w:line="263"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Tier 1 Risk-Based Capital Ratio</w:t>
      </w:r>
      <w:r>
        <w:rPr>
          <w:rFonts w:ascii="Times New Roman" w:cs="Times New Roman" w:eastAsia="Times New Roman" w:hAnsi="Times New Roman"/>
          <w:sz w:val="18"/>
          <w:szCs w:val="18"/>
          <w:color w:val="auto"/>
        </w:rPr>
        <w:t>, equal to the ratio of Tier 1 capital to risk-weighted assets. Tier 1 capital is primarily comprised of CET1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perpetual preferred stock and certain qualifying capital instruments.</w:t>
      </w:r>
    </w:p>
    <w:p>
      <w:pPr>
        <w:ind w:left="1080" w:right="320" w:hanging="424"/>
        <w:spacing w:after="0" w:line="25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Risk-Based Capital Ratio</w:t>
      </w:r>
      <w:r>
        <w:rPr>
          <w:rFonts w:ascii="Times New Roman" w:cs="Times New Roman" w:eastAsia="Times New Roman" w:hAnsi="Times New Roman"/>
          <w:sz w:val="18"/>
          <w:szCs w:val="18"/>
          <w:color w:val="auto"/>
        </w:rPr>
        <w:t>, equal to the ratio of total capital, including CET1 capital, Tier 1 capital and Tier 2 capital, to risk-weighted assets. Tier 2 capital primarily includes qualifying subordinated debt and qualifying allowance for credit losses. Tier 2 capital also includes, among other things, certain trust preferred securities.</w:t>
      </w:r>
    </w:p>
    <w:p>
      <w:pPr>
        <w:spacing w:after="0" w:line="267" w:lineRule="exact"/>
        <w:rPr>
          <w:sz w:val="20"/>
          <w:szCs w:val="20"/>
          <w:color w:val="auto"/>
        </w:rPr>
      </w:pPr>
    </w:p>
    <w:p>
      <w:pPr>
        <w:ind w:left="120" w:right="40" w:firstLine="551"/>
        <w:spacing w:after="0" w:line="256" w:lineRule="auto"/>
        <w:rPr>
          <w:sz w:val="20"/>
          <w:szCs w:val="20"/>
          <w:color w:val="auto"/>
        </w:rPr>
      </w:pPr>
      <w:r>
        <w:rPr>
          <w:rFonts w:ascii="Times New Roman" w:cs="Times New Roman" w:eastAsia="Times New Roman" w:hAnsi="Times New Roman"/>
          <w:sz w:val="18"/>
          <w:szCs w:val="18"/>
          <w:color w:val="auto"/>
        </w:rPr>
        <w:t>The total minimum regulatory capital ratios and well-capitalized minimum ratios are reflected in the charts below. For purposes of the Federal Reserve’s Regulation Y, including determining whether a bank holding company meets the requirements to be a financial holding company, bank holding companies, such as the Company, must maintain a Tier 1 Risk-Based Capital Ratio of 6.0% or greater and a Total Risk-Based Capital Ratio of 10.0% or greater. The Federal Reserve may require bank holding companies, including the Company, to maintain capital ratios substantially in excess of mandated minimum levels, depending upon general economic conditions and a bank holding company’s particular condition, risk profile and growth plans.</w:t>
      </w:r>
    </w:p>
    <w:p>
      <w:pPr>
        <w:spacing w:after="0" w:line="147" w:lineRule="exact"/>
        <w:rPr>
          <w:sz w:val="20"/>
          <w:szCs w:val="20"/>
          <w:color w:val="auto"/>
        </w:rPr>
      </w:pPr>
    </w:p>
    <w:p>
      <w:pPr>
        <w:ind w:left="120" w:right="20" w:firstLine="551"/>
        <w:spacing w:after="0" w:line="261" w:lineRule="auto"/>
        <w:rPr>
          <w:sz w:val="20"/>
          <w:szCs w:val="20"/>
          <w:color w:val="auto"/>
        </w:rPr>
      </w:pPr>
      <w:r>
        <w:rPr>
          <w:rFonts w:ascii="Times New Roman" w:cs="Times New Roman" w:eastAsia="Times New Roman" w:hAnsi="Times New Roman"/>
          <w:sz w:val="18"/>
          <w:szCs w:val="18"/>
          <w:color w:val="auto"/>
        </w:rPr>
        <w:t>Failure to be well-capitalized or to meet minimum capital requirements could result in certain mandatory and possible additional discretionary actions by regulators that, if undertaken, could have a material adverse effect on our operations or financial condition. Failure to be well-capitalized or to meet minimum capital requirements could also result in restrictions on the Company’s or the Bank’s ability to pay dividends or otherwise distribute capital or to receive regulatory approval of applications.</w:t>
      </w:r>
    </w:p>
    <w:p>
      <w:pPr>
        <w:spacing w:after="0" w:line="139" w:lineRule="exact"/>
        <w:rPr>
          <w:sz w:val="20"/>
          <w:szCs w:val="20"/>
          <w:color w:val="auto"/>
        </w:rPr>
      </w:pPr>
    </w:p>
    <w:p>
      <w:pPr>
        <w:ind w:left="120" w:right="140" w:firstLine="551"/>
        <w:spacing w:after="0" w:line="258" w:lineRule="auto"/>
        <w:rPr>
          <w:sz w:val="20"/>
          <w:szCs w:val="20"/>
          <w:color w:val="auto"/>
        </w:rPr>
      </w:pPr>
      <w:r>
        <w:rPr>
          <w:rFonts w:ascii="Times New Roman" w:cs="Times New Roman" w:eastAsia="Times New Roman" w:hAnsi="Times New Roman"/>
          <w:sz w:val="18"/>
          <w:szCs w:val="18"/>
          <w:color w:val="auto"/>
        </w:rPr>
        <w:t>In addition to meeting the minimum capital requirements, under the Basel III Capital Rules, the Company and the Bank must also maintain the required Capital Conservation Buffer to avoid becoming subject to restrictions on capital distributions and certain discretionary bonus payments to management. The Capital Conservation Buffer is calculated as a ratio of CET1 capital to risk-weighted assets, and it effectively increases the required minimum risk-based capital ratios. The Capital Conservation Buffer requirement was phased in over a three-year period that began on January 1, 2016. The phase-in period ended on January 1, 2019, and the Capital Conservation Buffer is now at its fully phased-in level of 2.5%.</w:t>
      </w:r>
    </w:p>
    <w:p>
      <w:pPr>
        <w:spacing w:after="0" w:line="156" w:lineRule="exact"/>
        <w:rPr>
          <w:sz w:val="20"/>
          <w:szCs w:val="20"/>
          <w:color w:val="auto"/>
        </w:rPr>
      </w:pPr>
    </w:p>
    <w:p>
      <w:pPr>
        <w:ind w:left="120" w:right="400" w:firstLine="551"/>
        <w:spacing w:after="0" w:line="282" w:lineRule="auto"/>
        <w:rPr>
          <w:sz w:val="20"/>
          <w:szCs w:val="20"/>
          <w:color w:val="auto"/>
        </w:rPr>
      </w:pPr>
      <w:r>
        <w:rPr>
          <w:rFonts w:ascii="Times New Roman" w:cs="Times New Roman" w:eastAsia="Times New Roman" w:hAnsi="Times New Roman"/>
          <w:sz w:val="18"/>
          <w:szCs w:val="18"/>
          <w:color w:val="auto"/>
        </w:rPr>
        <w:t>The Tier 1 Leverage Ratio is not impacted by the Capital Conservation Buffer, and a banking institution may be considered well-capitalized while remaining out of compliance with the Capital Conservation Buffer.</w:t>
      </w:r>
    </w:p>
    <w:p>
      <w:pPr>
        <w:spacing w:after="0" w:line="121" w:lineRule="exact"/>
        <w:rPr>
          <w:sz w:val="20"/>
          <w:szCs w:val="20"/>
          <w:color w:val="auto"/>
        </w:rPr>
      </w:pPr>
    </w:p>
    <w:p>
      <w:pPr>
        <w:ind w:left="120" w:right="260" w:firstLine="551"/>
        <w:spacing w:after="0" w:line="282" w:lineRule="auto"/>
        <w:rPr>
          <w:sz w:val="20"/>
          <w:szCs w:val="20"/>
          <w:color w:val="auto"/>
        </w:rPr>
      </w:pPr>
      <w:r>
        <w:rPr>
          <w:rFonts w:ascii="Times New Roman" w:cs="Times New Roman" w:eastAsia="Times New Roman" w:hAnsi="Times New Roman"/>
          <w:sz w:val="18"/>
          <w:szCs w:val="18"/>
          <w:color w:val="auto"/>
        </w:rPr>
        <w:t>The table below summarizes the capital requirements that the Company and the Bank must satisfy to avoid limitations on capital distributions and certain discretionary bonus payments (i.e., the required minimum capital ratios plus the Capital Conservation Buffer):</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Minimum Basel III Regulatory</w:t>
            </w:r>
          </w:p>
        </w:tc>
      </w:tr>
      <w:tr>
        <w:trPr>
          <w:trHeight w:val="203"/>
        </w:trPr>
        <w:tc>
          <w:tcPr>
            <w:tcW w:w="8660" w:type="dxa"/>
            <w:vAlign w:val="bottom"/>
          </w:tcPr>
          <w:p>
            <w:pPr>
              <w:spacing w:after="0"/>
              <w:rPr>
                <w:sz w:val="17"/>
                <w:szCs w:val="17"/>
                <w:color w:val="auto"/>
              </w:rPr>
            </w:pP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 Ratio Plus Capital</w:t>
            </w:r>
          </w:p>
        </w:tc>
      </w:tr>
      <w:tr>
        <w:trPr>
          <w:trHeight w:val="212"/>
        </w:trPr>
        <w:tc>
          <w:tcPr>
            <w:tcW w:w="866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Conservation Buffer</w:t>
            </w:r>
          </w:p>
        </w:tc>
      </w:tr>
      <w:tr>
        <w:trPr>
          <w:trHeight w:val="202"/>
        </w:trPr>
        <w:tc>
          <w:tcPr>
            <w:tcW w:w="8660" w:type="dxa"/>
            <w:vAlign w:val="bottom"/>
            <w:tcBorders>
              <w:bottom w:val="single" w:sz="8" w:color="CCEEFF"/>
            </w:tcBorders>
          </w:tcPr>
          <w:p>
            <w:pPr>
              <w:spacing w:after="0"/>
              <w:rPr>
                <w:sz w:val="17"/>
                <w:szCs w:val="17"/>
                <w:color w:val="auto"/>
              </w:rPr>
            </w:pPr>
          </w:p>
        </w:tc>
        <w:tc>
          <w:tcPr>
            <w:tcW w:w="2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Effective January 1, 2019</w:t>
            </w:r>
          </w:p>
        </w:tc>
        <w:tc>
          <w:tcPr>
            <w:tcW w:w="220" w:type="dxa"/>
            <w:vAlign w:val="bottom"/>
            <w:tcBorders>
              <w:bottom w:val="single" w:sz="8" w:color="CCEEFF"/>
            </w:tcBorders>
          </w:tcPr>
          <w:p>
            <w:pPr>
              <w:spacing w:after="0"/>
              <w:rPr>
                <w:sz w:val="17"/>
                <w:szCs w:val="17"/>
                <w:color w:val="auto"/>
              </w:rPr>
            </w:pPr>
          </w:p>
        </w:tc>
      </w:tr>
      <w:tr>
        <w:trPr>
          <w:trHeight w:val="209"/>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CET1 risk-based capital ratio</w:t>
            </w:r>
          </w:p>
        </w:tc>
        <w:tc>
          <w:tcPr>
            <w:tcW w:w="2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Tier 1 risk-based capital ratio</w:t>
            </w:r>
          </w:p>
        </w:tc>
        <w:tc>
          <w:tcPr>
            <w:tcW w:w="2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risk-based capital ratio</w:t>
            </w:r>
          </w:p>
        </w:tc>
        <w:tc>
          <w:tcPr>
            <w:tcW w:w="2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57" w:lineRule="exact"/>
        <w:rPr>
          <w:sz w:val="20"/>
          <w:szCs w:val="20"/>
          <w:color w:val="auto"/>
        </w:rPr>
      </w:pPr>
    </w:p>
    <w:p>
      <w:pPr>
        <w:ind w:left="120" w:right="180" w:firstLine="551"/>
        <w:spacing w:after="0" w:line="312" w:lineRule="auto"/>
        <w:rPr>
          <w:sz w:val="20"/>
          <w:szCs w:val="20"/>
          <w:color w:val="auto"/>
        </w:rPr>
      </w:pPr>
      <w:r>
        <w:rPr>
          <w:rFonts w:ascii="Times New Roman" w:cs="Times New Roman" w:eastAsia="Times New Roman" w:hAnsi="Times New Roman"/>
          <w:sz w:val="17"/>
          <w:szCs w:val="17"/>
          <w:color w:val="auto"/>
        </w:rPr>
        <w:t xml:space="preserve">As of December 31, 2020 the Company and the Bank are well-capitalized for regulatory purposes. For a tabular presentation of the Company’s and Bank’s capital ratios as of December 31, 2020, see Note 18 — </w:t>
      </w:r>
      <w:r>
        <w:rPr>
          <w:rFonts w:ascii="Times New Roman" w:cs="Times New Roman" w:eastAsia="Times New Roman" w:hAnsi="Times New Roman"/>
          <w:sz w:val="17"/>
          <w:szCs w:val="17"/>
          <w:i w:val="1"/>
          <w:iCs w:val="1"/>
          <w:color w:val="auto"/>
        </w:rPr>
        <w:t>Regulatory Matters</w:t>
      </w:r>
      <w:r>
        <w:rPr>
          <w:rFonts w:ascii="Times New Roman" w:cs="Times New Roman" w:eastAsia="Times New Roman" w:hAnsi="Times New Roman"/>
          <w:sz w:val="17"/>
          <w:szCs w:val="17"/>
          <w:color w:val="auto"/>
        </w:rPr>
        <w:t xml:space="preserve"> of the notes to the consolidated financial statements.</w:t>
      </w:r>
    </w:p>
    <w:p>
      <w:pPr>
        <w:spacing w:after="0" w:line="113" w:lineRule="exact"/>
        <w:rPr>
          <w:sz w:val="20"/>
          <w:szCs w:val="20"/>
          <w:color w:val="auto"/>
        </w:rPr>
      </w:pPr>
    </w:p>
    <w:p>
      <w:pPr>
        <w:jc w:val="both"/>
        <w:ind w:left="120" w:right="240" w:firstLine="551"/>
        <w:spacing w:after="0" w:line="266" w:lineRule="auto"/>
        <w:rPr>
          <w:sz w:val="20"/>
          <w:szCs w:val="20"/>
          <w:color w:val="auto"/>
        </w:rPr>
      </w:pPr>
      <w:r>
        <w:rPr>
          <w:rFonts w:ascii="Times New Roman" w:cs="Times New Roman" w:eastAsia="Times New Roman" w:hAnsi="Times New Roman"/>
          <w:sz w:val="18"/>
          <w:szCs w:val="18"/>
          <w:color w:val="auto"/>
        </w:rPr>
        <w:t>In December 2017, the Basel Committee published standards that it described as the finalization of the Basel III post-crisis regulatory reforms (the standards are commonly referred to as “Basel IV”). Among other things, these standards revise the Basel Committee’s standardized approach for credit risk (including by recalibrating risk weights and introducing new capital requirements for certain “unconditionally cancellable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commitments,” such as unused credit card lines of credit) and provides a new standardized approach for operational risk capital. Under the Basel framework, these standards will generally be effective on January 1, 2023, with an aggregate output floor phasing in through January 1, 2028. Under the current U.S. capital rules, operational risk capital requirements and a capital floor apply only to advanced approaches institutions, and not to the Company and the Bank. The impact of Basel IV on us will depend on the manner in which it is implemented by the federal bank regulators.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Prompt Corrective Action Provisions</w:t>
      </w:r>
    </w:p>
    <w:p>
      <w:pPr>
        <w:spacing w:after="0" w:line="187" w:lineRule="exact"/>
        <w:rPr>
          <w:sz w:val="20"/>
          <w:szCs w:val="20"/>
          <w:color w:val="auto"/>
        </w:rPr>
      </w:pPr>
    </w:p>
    <w:p>
      <w:pPr>
        <w:ind w:left="120" w:right="80" w:firstLine="551"/>
        <w:spacing w:after="0" w:line="254" w:lineRule="auto"/>
        <w:rPr>
          <w:sz w:val="20"/>
          <w:szCs w:val="20"/>
          <w:color w:val="auto"/>
        </w:rPr>
      </w:pPr>
      <w:r>
        <w:rPr>
          <w:rFonts w:ascii="Times New Roman" w:cs="Times New Roman" w:eastAsia="Times New Roman" w:hAnsi="Times New Roman"/>
          <w:sz w:val="18"/>
          <w:szCs w:val="18"/>
          <w:color w:val="auto"/>
        </w:rPr>
        <w:t>The Federal Deposit Insurance Act requires the federal bank regulatory agencies to take “prompt corrective action” with respect to a depository institution if that institution does not meet certain capital adequacy standards, including requiring the prompt submission of an acceptable capital restoration plan. Depending on the bank’s capital ratios, the agencies’ regulations define five categories in which an insured depository institution will be placed: well-capitalized, adequately capitalized, undercapitalized, significantly undercapitalized, and critically undercapitalized. At each successive lower capital category, an insured bank is subject to more restrictions, including restrictions on the bank’s activities, operational practices or the ability to pay dividends or executive bonuses. Based upon its capital levels, a bank that is classified as well-capitalized, adequately capitalized, or undercapitalized may be treated as though it were in the next lower capital category if the appropriate federal banking agency, after notice and opportunity for hearing, determines that an unsafe or unsound condition, or an unsafe or unsound practice, warrants such treatment.</w:t>
      </w:r>
    </w:p>
    <w:p>
      <w:pPr>
        <w:spacing w:after="0" w:line="151" w:lineRule="exact"/>
        <w:rPr>
          <w:sz w:val="20"/>
          <w:szCs w:val="20"/>
          <w:color w:val="auto"/>
        </w:rPr>
      </w:pPr>
    </w:p>
    <w:p>
      <w:pPr>
        <w:ind w:left="120" w:right="180" w:firstLine="551"/>
        <w:spacing w:after="0" w:line="266" w:lineRule="auto"/>
        <w:rPr>
          <w:sz w:val="20"/>
          <w:szCs w:val="20"/>
          <w:color w:val="auto"/>
        </w:rPr>
      </w:pPr>
      <w:r>
        <w:rPr>
          <w:rFonts w:ascii="Times New Roman" w:cs="Times New Roman" w:eastAsia="Times New Roman" w:hAnsi="Times New Roman"/>
          <w:sz w:val="18"/>
          <w:szCs w:val="18"/>
          <w:color w:val="auto"/>
        </w:rPr>
        <w:t>The prompt corrective action standards were changed to conform with the New Capital Rules. Under the new standards, in order to be considered well-capitalized, the bank will be required to meet the new common equity Tier 1 ratio of 6.5%, an increased Tier 1 ratio of 8% (increased from 6%), a total capital ratio of 10% (unchanged) and a leverage ratio of 5% (unchanged).</w:t>
      </w:r>
    </w:p>
    <w:p>
      <w:pPr>
        <w:spacing w:after="0" w:line="149" w:lineRule="exact"/>
        <w:rPr>
          <w:sz w:val="20"/>
          <w:szCs w:val="20"/>
          <w:color w:val="auto"/>
        </w:rPr>
      </w:pPr>
    </w:p>
    <w:p>
      <w:pPr>
        <w:ind w:left="120" w:right="240" w:firstLine="551"/>
        <w:spacing w:after="0" w:line="266" w:lineRule="auto"/>
        <w:rPr>
          <w:sz w:val="20"/>
          <w:szCs w:val="20"/>
          <w:color w:val="auto"/>
        </w:rPr>
      </w:pPr>
      <w:r>
        <w:rPr>
          <w:rFonts w:ascii="Times New Roman" w:cs="Times New Roman" w:eastAsia="Times New Roman" w:hAnsi="Times New Roman"/>
          <w:sz w:val="18"/>
          <w:szCs w:val="18"/>
          <w:color w:val="auto"/>
        </w:rPr>
        <w:t>The federal banking agencies also may require banks and bank holding companies subject to enforcement actions to maintain capital ratios in excess of the minimum ratios otherwise required to be deemed well capitalized, in which case institutions may no longer be deemed to be well capitalized and may therefore be subject to certain restrictions such as taking brokered deposits.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Coronavirus Aid, Relief, and Economic Security Act (CARES Act)</w:t>
      </w:r>
    </w:p>
    <w:p>
      <w:pPr>
        <w:spacing w:after="0" w:line="189"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the CARES Act was signed into law on March 27, 2020 to provide national emergency economic relief measures. Many of the CARES Act’s programs are dependent upon the direct involvement of U.S. financial institutions, such as the Company and the Bank, and have been implemented through rules and guidance adopted by federal departments and agencies, including the U.S. Department of Treasury, the Federal Reserve and other federal banking agencies, including those with direct supervisory jurisdiction over the Company and the Bank. Furthermore, as the on-going COVID-19 pandemic evolves, federal regulatory authorities continue to issue additional guidance with respect to the implementation, lifecycle, and eligibility requirements for the various CARES Act programs as well as industry-specific recovery procedures for COVID-19. On December 21, 2020, Congress passed, and on December 27, 2020 President Trump signed, a $900 billion aid package which provides additional funds for the PPP and extends the time of the PPP to March 31, 2021. This legislation also permits second PPP loans to certain entities which are subject to forgiveness subject to meeting certain required criteria. In addition, it is possible that Congress will enact supplementary COVID-19 response legislation, including amendments to the CARES Act or new bills comparable in scope to the CARES Act. The Company continues to assess the impact of the CARES Act and other statues, regulations and supervisory guidance related to the COVID-19 pandemic.</w:t>
      </w:r>
    </w:p>
    <w:p>
      <w:pPr>
        <w:spacing w:after="0" w:line="163" w:lineRule="exact"/>
        <w:rPr>
          <w:sz w:val="20"/>
          <w:szCs w:val="20"/>
          <w:color w:val="auto"/>
        </w:rPr>
      </w:pPr>
    </w:p>
    <w:p>
      <w:pPr>
        <w:ind w:left="120" w:right="120" w:firstLine="5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Paycheck Protection Program. </w:t>
      </w:r>
      <w:r>
        <w:rPr>
          <w:rFonts w:ascii="Times New Roman" w:cs="Times New Roman" w:eastAsia="Times New Roman" w:hAnsi="Times New Roman"/>
          <w:sz w:val="18"/>
          <w:szCs w:val="18"/>
          <w:color w:val="auto"/>
        </w:rPr>
        <w:t>The CARES Act amended the SBA’s loan program, in which the Bank participates, to create a guaranteed,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loan program, the PPP, to fund operational costs of eligible businesses, organizations and self-employed persons during COVID-19. In June 2020, the Paycheck Protection Program Flexibility Act was enacted, which among other things, gave borrowers additional time and flexibility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82" w:right="4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use PPP loan proceeds. Further, on January 13, 2021, the SBA reopened the PPP for Second Draw loans to small businesses and non-profit organizations that did receive a loan through the initial PPP phase. At least $25 billion has been set aside for Second Draw PPP loans to eligible borrowers with a maximum of 10 employees or for loans of $250,000 or less to eligible borrowers in low or moderate income neighborhoods. Generally speaking, businesses with more than 300 employees and/or less than a 25% reduction in gross receipts between comparable quarters in 2019 and 2020 are not eligible for Second Draw loans. Further, maximum loan amounts have been increased for accommodation and food service businesses.</w:t>
      </w:r>
    </w:p>
    <w:p>
      <w:pPr>
        <w:spacing w:after="0" w:line="139" w:lineRule="exact"/>
        <w:rPr>
          <w:sz w:val="20"/>
          <w:szCs w:val="20"/>
          <w:color w:val="auto"/>
        </w:rPr>
      </w:pPr>
    </w:p>
    <w:p>
      <w:pPr>
        <w:ind w:left="120" w:right="140" w:firstLine="5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Troubled Debt Restructuring and Loan Modifications for Affected Borrowers. </w:t>
      </w:r>
      <w:r>
        <w:rPr>
          <w:rFonts w:ascii="Times New Roman" w:cs="Times New Roman" w:eastAsia="Times New Roman" w:hAnsi="Times New Roman"/>
          <w:sz w:val="18"/>
          <w:szCs w:val="18"/>
          <w:color w:val="auto"/>
        </w:rPr>
        <w:t>The CARES Act permits banks to suspend requirements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GAAP for loan modifications to borrowers affected by COVID-19 that would otherwise be characterized as TDRs and suspend any determination related thereto if (i) the loan modification is made between March 1, 2020 and the earlier of December 31, 2020 or 60 days after the end of the COVID-19 emergency declaration and (ii) the applicable loan was not more than 30 days past due as of December 31, 2019. The federal banking agencies also issued guidance to encourage banks to make loan modifications for borrowers affected by COVID-19 and to assure banks that they will not be criticized by examiners for doing so. The Company applied this guidance to qualifying loan modifications. See Note 6 — </w:t>
      </w:r>
      <w:r>
        <w:rPr>
          <w:rFonts w:ascii="Times New Roman" w:cs="Times New Roman" w:eastAsia="Times New Roman" w:hAnsi="Times New Roman"/>
          <w:sz w:val="18"/>
          <w:szCs w:val="18"/>
          <w:i w:val="1"/>
          <w:iCs w:val="1"/>
          <w:color w:val="auto"/>
        </w:rPr>
        <w:t>Loans and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Finance Receivables and Allowance for Credit Losses </w:t>
      </w:r>
      <w:r>
        <w:rPr>
          <w:rFonts w:ascii="Times New Roman" w:cs="Times New Roman" w:eastAsia="Times New Roman" w:hAnsi="Times New Roman"/>
          <w:sz w:val="18"/>
          <w:szCs w:val="18"/>
          <w:color w:val="auto"/>
        </w:rPr>
        <w:t>of the Notes to the consolidated financial statements included in this report, which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II, Item 8 “Financial Statements and Supplementary Data” of this Annual Report on Form 10-K for further information about the COVID-19-related loan modifications completed by the Company.</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Federal Reserve Programs and Other Recent Initiatives Related to COVID-19</w:t>
      </w:r>
    </w:p>
    <w:p>
      <w:pPr>
        <w:spacing w:after="0" w:line="187" w:lineRule="exact"/>
        <w:rPr>
          <w:sz w:val="20"/>
          <w:szCs w:val="20"/>
          <w:color w:val="auto"/>
        </w:rPr>
      </w:pPr>
    </w:p>
    <w:p>
      <w:pPr>
        <w:ind w:left="120" w:firstLine="5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Main Street Lending Program. </w:t>
      </w:r>
      <w:r>
        <w:rPr>
          <w:rFonts w:ascii="Times New Roman" w:cs="Times New Roman" w:eastAsia="Times New Roman" w:hAnsi="Times New Roman"/>
          <w:sz w:val="18"/>
          <w:szCs w:val="18"/>
          <w:color w:val="auto"/>
        </w:rPr>
        <w:t>The CARES Act encouraged the Federal Reserve, in coordination with the Secretary of the Treasury, to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implement various programs to help midsize businesses, nonprofits, and municipalities. On April 9, 2020, the Federal Reserve proposed the creation of the Main Street Lending Program (“MSLP”) to implement certain of these recommendations. On June 15, 2020, the Federal Reserve Bank of Boston opened the MSLP for lender registration. The MSLP supports lending to small and medium-sized businesses that were in sound financial condition before the onset of the COVID-19 pandemic. The MSLP operates through five facilities: the Main Street New Loan Facility, the Main Street Priority Loan Facility, the Main Street Expanded Loan Facility, the Nonprofit Organization New Loan Facility, and the Nonprofit Organization Expanded Loan Facility. On July 28, 2020, the Federal Reserve announced it was extending the MSLP through December 31, 2020. The MSLP originally was scheduled to expire on or around September 30, 2020. The MSLP ceased issuing commitment letters under the condition-of-funding model as of December 23, 2020. No loans submitted under the condition-of-funding model can be purchased by the MSLP unless a commitment letter is issued on or before December 23, 2020.</w:t>
      </w:r>
    </w:p>
    <w:p>
      <w:pPr>
        <w:spacing w:after="0" w:line="158"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Temporary Regulatory Capital Relief related to Impact of CECL. </w:t>
      </w:r>
      <w:r>
        <w:rPr>
          <w:rFonts w:ascii="Times New Roman" w:cs="Times New Roman" w:eastAsia="Times New Roman" w:hAnsi="Times New Roman"/>
          <w:sz w:val="18"/>
          <w:szCs w:val="18"/>
          <w:color w:val="auto"/>
        </w:rPr>
        <w:t>Concurrent with enactment of the CARES Act, federal banking agencies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interim final rule that delays the estimated impact on regulatory capital resulting from the adoption of CECL. The interim final rule provides banking organizations that implement CECL before the end of 2020 the option to delay for two years the estimated impact of CECL on regulatory capital relative to regulatory capital determined under the prior incurred loss methodology, followed by a three-year transition period to phase out the aggregate amount of capital benefit provided during the initial two-year delay. The federal banking agencies have since issued a final rule that makes certain technical changes to the interim final rule. The changes in the final rule apply only to those banking organizations that elect the CECL transition relief provided under the rule. The Company did not elect this option.</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Volcker Rule</w:t>
      </w:r>
    </w:p>
    <w:p>
      <w:pPr>
        <w:spacing w:after="0" w:line="187" w:lineRule="exact"/>
        <w:rPr>
          <w:sz w:val="20"/>
          <w:szCs w:val="20"/>
          <w:color w:val="auto"/>
        </w:rPr>
      </w:pPr>
    </w:p>
    <w:p>
      <w:pPr>
        <w:ind w:left="120" w:right="100" w:firstLine="551"/>
        <w:spacing w:after="0" w:line="261" w:lineRule="auto"/>
        <w:rPr>
          <w:sz w:val="20"/>
          <w:szCs w:val="20"/>
          <w:color w:val="auto"/>
        </w:rPr>
      </w:pPr>
      <w:r>
        <w:rPr>
          <w:rFonts w:ascii="Times New Roman" w:cs="Times New Roman" w:eastAsia="Times New Roman" w:hAnsi="Times New Roman"/>
          <w:sz w:val="18"/>
          <w:szCs w:val="18"/>
          <w:color w:val="auto"/>
        </w:rPr>
        <w:t>In December 2013, the federal bank regulatory agencies adopted final rules that implement a part of the Dodd-Frank Act commonly referred to as the “Volcker Rule.” Under these rules and subject to certain exceptions, banking entities are restricted from engaging in activities that are considered proprietary trading and from sponsoring or investing in certain entities, including hedge or private equity funds that are considered “covered funds.” These rules became effective on April 1, 2014, although certain provisions are subject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delayed effectiveness under rules promulgated by the FRB. The Company and the Bank held no investment positions at December 31, 2020 which were subject to the final rule. Therefore, while these new rules may require us to conduct certain internal analysis and reporting to ensure continued compliance, they did not require any material changes in our operations or business.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Brokered Deposits</w:t>
      </w:r>
    </w:p>
    <w:p>
      <w:pPr>
        <w:spacing w:after="0" w:line="189" w:lineRule="exact"/>
        <w:rPr>
          <w:sz w:val="20"/>
          <w:szCs w:val="20"/>
          <w:color w:val="auto"/>
        </w:rPr>
      </w:pPr>
    </w:p>
    <w:p>
      <w:pPr>
        <w:ind w:left="120" w:right="20" w:firstLine="551"/>
        <w:spacing w:after="0" w:line="255" w:lineRule="auto"/>
        <w:rPr>
          <w:sz w:val="20"/>
          <w:szCs w:val="20"/>
          <w:color w:val="auto"/>
        </w:rPr>
      </w:pPr>
      <w:r>
        <w:rPr>
          <w:rFonts w:ascii="Times New Roman" w:cs="Times New Roman" w:eastAsia="Times New Roman" w:hAnsi="Times New Roman"/>
          <w:sz w:val="18"/>
          <w:szCs w:val="18"/>
          <w:color w:val="auto"/>
        </w:rPr>
        <w:t>The FDIC limits the ability to accept brokered deposits to those insured depository institutions that are well capitalized. Institutions that are less than well capitalized cannot accept, renew or roll over any brokered deposit unless they have applied for and been granted a waiver by the FDIC. The FDIC has defined the “national rate” for all interest-bearing deposits held by less-than-well-capitalized institutions as “a simple average of rates paid by all insured depository institutions and branches for which data are available” and has stated that its presumption is that this national rate is the prevailing rate in any market. As such, institutions that are less than well capitalized that are permitted to accept, renew or rollover brokered deposits via FDIC waiver generally may not pay an interest rate in excess of the national rate plus 75 basis points on such brokered deposits. As of December 31, 2020, the Bank categorized $32.2 million, or 0.27% of its deposit liabilities, as brokered deposits.</w:t>
      </w:r>
    </w:p>
    <w:p>
      <w:pPr>
        <w:spacing w:after="0" w:line="148" w:lineRule="exact"/>
        <w:rPr>
          <w:sz w:val="20"/>
          <w:szCs w:val="20"/>
          <w:color w:val="auto"/>
        </w:rPr>
      </w:pPr>
    </w:p>
    <w:p>
      <w:pPr>
        <w:ind w:left="120" w:right="100" w:firstLine="551"/>
        <w:spacing w:after="0" w:line="253" w:lineRule="auto"/>
        <w:rPr>
          <w:sz w:val="20"/>
          <w:szCs w:val="20"/>
          <w:color w:val="auto"/>
        </w:rPr>
      </w:pPr>
      <w:r>
        <w:rPr>
          <w:rFonts w:ascii="Times New Roman" w:cs="Times New Roman" w:eastAsia="Times New Roman" w:hAnsi="Times New Roman"/>
          <w:sz w:val="18"/>
          <w:szCs w:val="18"/>
          <w:color w:val="auto"/>
        </w:rPr>
        <w:t>The FDIC has previously published industry guidance in the form of Frequently Asked Questions with respect to the categorization of deposit liabilities as brokered deposits. The FDIC published a proposed rule to modify the “national rate” definition that would apply to insured depository institutions that are less than well-capitalized in August 2019. In addition, in December 2019 and in connection with the Regulatory Relief Act, the FDIC published proposed revisions to its regulations relating to the brokered deposits restrictions. Specifically, the FDIC proposed to (i) revise the definition of the “facilitation” prong of the “deposit broker” definition; (ii) provide that a wholly-owned operating subsidiary be eligible for the insured depository institution exception to the deposit broker definition under certain circumstances; and (iii) amend the “primary purpose” exception. On December 15, 2020, the FDIC released a final rule, effective April 1, 2021 (with full compliance by January 1, 2022), which may encourage the update of certain bank services. The changes introduced by the final rule include, among other things, (i) adding definitions of “engaged in the business of placing deposits” and “engaged in the business of facilitating the placement of deposits,” (ii) establishing certain designated business exceptions that would automatically meet the “primary purpose” exception from the deposit broker definition (Designated Business Exceptions), and (iii) formalizing an application process for the “primary purpose” exception for parties that do not qualify for the Designated Business Exceptions. The Company does not believe the final rule will have a material effect on its brokered deposits.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Bank Holding Company Regulation</w:t>
      </w:r>
    </w:p>
    <w:p>
      <w:pPr>
        <w:spacing w:after="0" w:line="189" w:lineRule="exact"/>
        <w:rPr>
          <w:sz w:val="20"/>
          <w:szCs w:val="20"/>
          <w:color w:val="auto"/>
        </w:rPr>
      </w:pPr>
    </w:p>
    <w:p>
      <w:pPr>
        <w:ind w:left="120" w:right="260" w:firstLine="551"/>
        <w:spacing w:after="0" w:line="266" w:lineRule="auto"/>
        <w:rPr>
          <w:sz w:val="20"/>
          <w:szCs w:val="20"/>
          <w:color w:val="auto"/>
        </w:rPr>
      </w:pPr>
      <w:r>
        <w:rPr>
          <w:rFonts w:ascii="Times New Roman" w:cs="Times New Roman" w:eastAsia="Times New Roman" w:hAnsi="Times New Roman"/>
          <w:sz w:val="18"/>
          <w:szCs w:val="18"/>
          <w:color w:val="auto"/>
        </w:rPr>
        <w:t>Bank holding companies and their subsidiaries are subject to significant regulation and restrictions by Federal and State laws and regulatory agencies, which may affect the cost of doing business, and may limit permissible activities and expansion or impact the competitive balance between banks and other financial services providers.</w:t>
      </w:r>
    </w:p>
    <w:p>
      <w:pPr>
        <w:spacing w:after="0" w:line="135" w:lineRule="exact"/>
        <w:rPr>
          <w:sz w:val="20"/>
          <w:szCs w:val="20"/>
          <w:color w:val="auto"/>
        </w:rPr>
      </w:pPr>
    </w:p>
    <w:p>
      <w:pPr>
        <w:ind w:left="120" w:firstLine="551"/>
        <w:spacing w:after="0" w:line="282" w:lineRule="auto"/>
        <w:rPr>
          <w:sz w:val="20"/>
          <w:szCs w:val="20"/>
          <w:color w:val="auto"/>
        </w:rPr>
      </w:pPr>
      <w:r>
        <w:rPr>
          <w:rFonts w:ascii="Times New Roman" w:cs="Times New Roman" w:eastAsia="Times New Roman" w:hAnsi="Times New Roman"/>
          <w:sz w:val="18"/>
          <w:szCs w:val="18"/>
          <w:color w:val="auto"/>
        </w:rPr>
        <w:t>A wide range of requirements and restrictions are contained in both federal and state banking laws, which together with implementing regulatory authority:</w:t>
      </w:r>
    </w:p>
    <w:p>
      <w:pPr>
        <w:spacing w:after="0" w:line="162"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periodic reports and such additional reports of information as the Federal Reserve may require;</w:t>
      </w:r>
    </w:p>
    <w:p>
      <w:pPr>
        <w:spacing w:after="0" w:line="2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bank holding companies to meet or exceed increased levels of capital (See “Capital Adequacy Requirements”);</w:t>
      </w:r>
    </w:p>
    <w:p>
      <w:pPr>
        <w:spacing w:after="0" w:line="9" w:lineRule="exact"/>
        <w:rPr>
          <w:rFonts w:ascii="Times New Roman" w:cs="Times New Roman" w:eastAsia="Times New Roman" w:hAnsi="Times New Roman"/>
          <w:sz w:val="18"/>
          <w:szCs w:val="18"/>
          <w:color w:val="auto"/>
        </w:rPr>
      </w:pPr>
    </w:p>
    <w:p>
      <w:pPr>
        <w:ind w:left="1080" w:right="160" w:hanging="424"/>
        <w:spacing w:after="0" w:line="250"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bank holding companies serve as a source of financial and managerial strength to subsidiary banks and commit resources as necessary to support each subsidiary bank;</w:t>
      </w:r>
    </w:p>
    <w:p>
      <w:pPr>
        <w:ind w:left="1080" w:right="340" w:hanging="424"/>
        <w:spacing w:after="0" w:line="253"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of dividends payable to shareholders and restrict the ability of bank holding companies to obtain dividends or other distributions from their subsidiary banks. The Company’s ability to pay dividends on both its common and preferred stock is subject to legal and regulatory restrictions. Substantially all of CVB’s funds to pay dividends or to pay principal and interest on our debt obligations are derived from dividends paid by the Bank;</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40" w:hanging="424"/>
        <w:spacing w:after="0" w:line="25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bank holding company to terminate an activity or terminate control of or liquidate or divest certain subsidiaries, affiliates or investments if the Federal Reserve believes the activity or the control of the subsidiary or affiliate constitutes a significant risk to the financial safety, soundness or stability of any bank subsidiary;</w:t>
      </w:r>
    </w:p>
    <w:p>
      <w:pPr>
        <w:spacing w:after="0" w:line="1" w:lineRule="exact"/>
        <w:rPr>
          <w:rFonts w:ascii="Times New Roman" w:cs="Times New Roman" w:eastAsia="Times New Roman" w:hAnsi="Times New Roman"/>
          <w:sz w:val="18"/>
          <w:szCs w:val="18"/>
          <w:color w:val="auto"/>
        </w:rPr>
      </w:pPr>
    </w:p>
    <w:p>
      <w:pPr>
        <w:ind w:left="1080" w:hanging="424"/>
        <w:spacing w:after="0" w:line="250"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prior approval of senior executive officer or director changes and prohibit golden parachute payments, including change in control agreements, or new employment agreements with such payment terms, which are contingent upon termination if an institution is in “troubled condition”;</w:t>
      </w:r>
    </w:p>
    <w:p>
      <w:pPr>
        <w:spacing w:after="0" w:line="1" w:lineRule="exact"/>
        <w:rPr>
          <w:rFonts w:ascii="Times New Roman" w:cs="Times New Roman" w:eastAsia="Times New Roman" w:hAnsi="Times New Roman"/>
          <w:sz w:val="18"/>
          <w:szCs w:val="18"/>
          <w:color w:val="auto"/>
        </w:rPr>
      </w:pPr>
    </w:p>
    <w:p>
      <w:pPr>
        <w:ind w:left="1080" w:right="40" w:hanging="424"/>
        <w:spacing w:after="0" w:line="250"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provisions of certain bank holding company debt, including the authority to impose interest ceilings and reserve requirements on such debt and require prior approval to purchase or redeem securities in certain situations;</w:t>
      </w:r>
    </w:p>
    <w:p>
      <w:pPr>
        <w:ind w:left="1080" w:right="100" w:hanging="424"/>
        <w:spacing w:after="0" w:line="250"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prior approval for the acquisition of 5% or more of the voting stock of a bank or bank holding company by bank holding companies or other acquisitions and mergers with banks and consider certain competitive, management, financial, anti-money-laundering compliance, potential impact on U.S. financial stability or other factors in granting these approvals, in addition to similar California or other state banking agency approvals which may also be required; and</w:t>
      </w:r>
    </w:p>
    <w:p>
      <w:pPr>
        <w:spacing w:after="0" w:line="1" w:lineRule="exact"/>
        <w:rPr>
          <w:rFonts w:ascii="Times New Roman" w:cs="Times New Roman" w:eastAsia="Times New Roman" w:hAnsi="Times New Roman"/>
          <w:sz w:val="18"/>
          <w:szCs w:val="18"/>
          <w:color w:val="auto"/>
        </w:rPr>
      </w:pPr>
    </w:p>
    <w:p>
      <w:pPr>
        <w:ind w:left="1080" w:hanging="424"/>
        <w:spacing w:after="0" w:line="260"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prior notice and/or prior approval of the acquisition of control of a bank or a bank holding company by a shareholder or individuals acting in concert with ownership or control of certain percentage thresholds of the voting stock being a presumption of control.</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Bank Control</w:t>
      </w:r>
    </w:p>
    <w:p>
      <w:pPr>
        <w:spacing w:after="0" w:line="187"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Federal law and regulation set forth the types of transactions that require prior notice under the Change in Bank Control Act (“CIBCA”). Pursuant to CIBCA and Regulation Y, any person (acting directly or indirectly) that seeks to acquire control of a bank or its holding company must provide prior notice to the Federal Reserve. A “person” includes an individual, bank, corporation, partnership, trust, association, joint venture, pool, syndicate, sole proprietorship, unincorporated organization, or any other form of entity. A person acquires “control” of a banking organization whenever the person acquires ownership, control, or the power to vote 25 percent or more of any class of voting securities of the institution. The applicable regulations also provide for certain other “rebuttable” presumptions of control.</w:t>
      </w:r>
    </w:p>
    <w:p>
      <w:pPr>
        <w:spacing w:after="0" w:line="147" w:lineRule="exact"/>
        <w:rPr>
          <w:sz w:val="20"/>
          <w:szCs w:val="20"/>
          <w:color w:val="auto"/>
        </w:rPr>
      </w:pPr>
    </w:p>
    <w:p>
      <w:pPr>
        <w:ind w:left="120" w:right="40" w:firstLine="551"/>
        <w:spacing w:after="0" w:line="258" w:lineRule="auto"/>
        <w:rPr>
          <w:sz w:val="20"/>
          <w:szCs w:val="20"/>
          <w:color w:val="auto"/>
        </w:rPr>
      </w:pPr>
      <w:r>
        <w:rPr>
          <w:rFonts w:ascii="Times New Roman" w:cs="Times New Roman" w:eastAsia="Times New Roman" w:hAnsi="Times New Roman"/>
          <w:sz w:val="18"/>
          <w:szCs w:val="18"/>
          <w:color w:val="auto"/>
        </w:rPr>
        <w:t>In April 2020, the Federal Reserve adopted a final rule to revise its regulations related to determinations of whether a company has the ability to exercise a controlling influence over another company for purposes of the BHCA. The final rule expands and codifies the presumptions for use in such determinations. By codifying the presumptions, the final rule provides greater transparency on the types of relationships that the Federal Reserve generally views as supporting a facts-and-circumstances determination that one company controls another company. The Federal Reserve’s final rule applies to questions of control under the BHCA, but does not extend to CIBCA or applicable provisions of California law.</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Restrictions on the Company’s Activities</w:t>
      </w:r>
    </w:p>
    <w:p>
      <w:pPr>
        <w:spacing w:after="0" w:line="187" w:lineRule="exact"/>
        <w:rPr>
          <w:sz w:val="20"/>
          <w:szCs w:val="20"/>
          <w:color w:val="auto"/>
        </w:rPr>
      </w:pPr>
    </w:p>
    <w:p>
      <w:pPr>
        <w:ind w:left="120" w:right="100" w:firstLine="551"/>
        <w:spacing w:after="0" w:line="254" w:lineRule="auto"/>
        <w:rPr>
          <w:sz w:val="20"/>
          <w:szCs w:val="20"/>
          <w:color w:val="auto"/>
        </w:rPr>
      </w:pPr>
      <w:r>
        <w:rPr>
          <w:rFonts w:ascii="Times New Roman" w:cs="Times New Roman" w:eastAsia="Times New Roman" w:hAnsi="Times New Roman"/>
          <w:sz w:val="18"/>
          <w:szCs w:val="18"/>
          <w:color w:val="auto"/>
        </w:rPr>
        <w:t>Subject to prior notice or Federal Reserve approval, bank holding companies may generally engage in, or acquire shares of companies engaged in, activities determined by the Federal Reserve to be so closely related to banking or managing or controlling banks as to be a proper incident thereto. Bank holding companies which elect and retain “financial holding company” status pursuant to the Gramm-Leach-Bliley Act of 1999 (“GLBA”) may engage in these nonbanking activities and broader securities, insurance, merchant banking and other activities that are determined to be “financial in nature” or are incidental or complementary to activities that are financial in nature without prior Federal Reserve approval. Pursuant to GLBA and Dodd-Frank, in order to elect and retain financial holding company status, a bank holding company and all depository institution subsidiaries of a bank holding company must be considered well capitalized and well managed, and, except in limited circumstances, depository subsidiaries must be in satisfactory compliance with the Community Reinvestment Act (“CRA”), which requires banks to help meet the credit needs of the communities in which they operate. Failure to sustain compliance with these requirements or correct any non-compliance within a fixed time period could lead to</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82" w:right="4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divestiture of subsidiary banks or require all activities to conform to those permissible for a bank holding company. CVB has not elected financial holding company status and neither CVB nor the Bank has engaged in any activities determined by the Federal Reserve to be financial in nature or incidental or complementary to activities that are financial in nature.</w:t>
      </w:r>
    </w:p>
    <w:p>
      <w:pPr>
        <w:spacing w:after="0" w:line="149" w:lineRule="exact"/>
        <w:rPr>
          <w:sz w:val="20"/>
          <w:szCs w:val="20"/>
          <w:color w:val="auto"/>
        </w:rPr>
      </w:pPr>
    </w:p>
    <w:p>
      <w:pPr>
        <w:jc w:val="both"/>
        <w:ind w:left="120" w:right="500" w:firstLine="551"/>
        <w:spacing w:after="0" w:line="266" w:lineRule="auto"/>
        <w:rPr>
          <w:sz w:val="20"/>
          <w:szCs w:val="20"/>
          <w:color w:val="auto"/>
        </w:rPr>
      </w:pPr>
      <w:r>
        <w:rPr>
          <w:rFonts w:ascii="Times New Roman" w:cs="Times New Roman" w:eastAsia="Times New Roman" w:hAnsi="Times New Roman"/>
          <w:sz w:val="18"/>
          <w:szCs w:val="18"/>
          <w:color w:val="auto"/>
        </w:rPr>
        <w:t>CVB is also a bank holding company within the meaning of Section 3700 of the California Financial Code. Therefore, CVB and any of its subsidiaries are subject to examination by, and may be required to file reports with, the California DFPI. DFPI approvals may also be required for certain mergers and acquisitions.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Securities Exchange Act of 1934</w:t>
      </w:r>
    </w:p>
    <w:p>
      <w:pPr>
        <w:spacing w:after="0" w:line="187" w:lineRule="exact"/>
        <w:rPr>
          <w:sz w:val="20"/>
          <w:szCs w:val="20"/>
          <w:color w:val="auto"/>
        </w:rPr>
      </w:pPr>
    </w:p>
    <w:p>
      <w:pPr>
        <w:ind w:left="120" w:firstLine="551"/>
        <w:spacing w:after="0" w:line="266" w:lineRule="auto"/>
        <w:rPr>
          <w:sz w:val="20"/>
          <w:szCs w:val="20"/>
          <w:color w:val="auto"/>
        </w:rPr>
      </w:pPr>
      <w:r>
        <w:rPr>
          <w:rFonts w:ascii="Times New Roman" w:cs="Times New Roman" w:eastAsia="Times New Roman" w:hAnsi="Times New Roman"/>
          <w:sz w:val="18"/>
          <w:szCs w:val="18"/>
          <w:color w:val="auto"/>
        </w:rPr>
        <w:t>CVB’s common stock is publicly held and listed on the NASDAQ Stock Market (“NASDAQ”), and CVB is subject to the periodic reporting, information, proxy solicitation, insider trading, corporate governance and other requirements and restrictions of the Securities Exchange Act of 1934 and the regulations of the Securities and Exchange Commission (“SEC”) promulgated thereunder as well as listing requirements of NASDAQ.</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Sarbanes-Oxley Act</w:t>
      </w:r>
    </w:p>
    <w:p>
      <w:pPr>
        <w:spacing w:after="0" w:line="187" w:lineRule="exact"/>
        <w:rPr>
          <w:sz w:val="20"/>
          <w:szCs w:val="20"/>
          <w:color w:val="auto"/>
        </w:rPr>
      </w:pPr>
    </w:p>
    <w:p>
      <w:pPr>
        <w:ind w:left="120" w:right="440" w:firstLine="551"/>
        <w:spacing w:after="0" w:line="266" w:lineRule="auto"/>
        <w:rPr>
          <w:sz w:val="20"/>
          <w:szCs w:val="20"/>
          <w:color w:val="auto"/>
        </w:rPr>
      </w:pPr>
      <w:r>
        <w:rPr>
          <w:rFonts w:ascii="Times New Roman" w:cs="Times New Roman" w:eastAsia="Times New Roman" w:hAnsi="Times New Roman"/>
          <w:sz w:val="18"/>
          <w:szCs w:val="18"/>
          <w:color w:val="auto"/>
        </w:rPr>
        <w:t>The Company is subject to the accounting oversight and corporate governance requirements of the Sarbanes-Oxley Act of 2002, including, among other things, required executive certification of financial presentations, requirements for board audit committees and their members, and disclosure of controls and procedures and internal control over financial reporting.</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Bank Regulation</w:t>
      </w:r>
    </w:p>
    <w:p>
      <w:pPr>
        <w:spacing w:after="0" w:line="202" w:lineRule="exact"/>
        <w:rPr>
          <w:sz w:val="20"/>
          <w:szCs w:val="20"/>
          <w:color w:val="auto"/>
        </w:rPr>
      </w:pPr>
    </w:p>
    <w:p>
      <w:pPr>
        <w:ind w:left="120" w:right="40" w:firstLine="551"/>
        <w:spacing w:after="0" w:line="253" w:lineRule="auto"/>
        <w:rPr>
          <w:sz w:val="20"/>
          <w:szCs w:val="20"/>
          <w:color w:val="auto"/>
        </w:rPr>
      </w:pPr>
      <w:r>
        <w:rPr>
          <w:rFonts w:ascii="Times New Roman" w:cs="Times New Roman" w:eastAsia="Times New Roman" w:hAnsi="Times New Roman"/>
          <w:sz w:val="18"/>
          <w:szCs w:val="18"/>
          <w:color w:val="auto"/>
        </w:rPr>
        <w:t>As a California commercial bank whose deposits are insured by the FDIC, the Bank is subject to regulation, supervision, and regular examination by the DFPI and by the FDIC, as the Bank’s primary Federal regulator, and must additionally comply with certain applicable regulations of the Federal Reserve. Specific federal and state laws and regulations which are applicable to banks regulate, among other things, the scope of their business, their investments, their reserves against deposits, the timing of the availability of deposited funds, their activities relating to dividends, investments, loans, the nature and amount of and collateral for certain loans, servicing and foreclosing on loans, borrowings, capital requirements, certain check-clearing activities, branching, and mergers and acquisitions. California banks are also subject to statutes and regulations including Federal Reserve Regulation O and Federal Reserve Act Sections 23A and 23B and Regulation W, which restrict or limit loans or extensions of credit to “insiders”, including officers, directors, and principal shareholders, and loans or extension of credit by banks to affiliates or purchases of assets from affiliates, including parent bank holding companies, except pursuant to certain exceptions and only on terms and conditions at least as favorable to those prevailing for comparable transactions with unaffiliated parties. Failure to comply with applicable bank regulation or adverse results from any examinations of the Bank could affect the cost of doing business, and may limit or impede otherwise permissible activities and expansion activities by the Bank.</w:t>
      </w:r>
    </w:p>
    <w:p>
      <w:pPr>
        <w:spacing w:after="0" w:line="149" w:lineRule="exact"/>
        <w:rPr>
          <w:sz w:val="20"/>
          <w:szCs w:val="20"/>
          <w:color w:val="auto"/>
        </w:rPr>
      </w:pPr>
    </w:p>
    <w:p>
      <w:pPr>
        <w:ind w:left="120" w:right="100" w:firstLine="551"/>
        <w:spacing w:after="0" w:line="256" w:lineRule="auto"/>
        <w:rPr>
          <w:sz w:val="20"/>
          <w:szCs w:val="20"/>
          <w:color w:val="auto"/>
        </w:rPr>
      </w:pPr>
      <w:r>
        <w:rPr>
          <w:rFonts w:ascii="Times New Roman" w:cs="Times New Roman" w:eastAsia="Times New Roman" w:hAnsi="Times New Roman"/>
          <w:sz w:val="18"/>
          <w:szCs w:val="18"/>
          <w:color w:val="auto"/>
        </w:rPr>
        <w:t>Pursuant to the Federal Deposit Insurance Act (“FDI Act”) and the California Financial Code, California state chartered commercial banks may generally engage in any activity permissible for national banks. Therefore, the Bank may form subsidiaries to engage in the many so-called “closely related to banking” or “nonbanking” activities commonly conducted by national banks in operating subsidiaries or in subsidiaries of bank holding companies. Further, California banks may conduct certain “financial” activities permitted under GLBA in a “financial subsidiary” to the same extent as may a national bank, provided the bank is and remains “well-capitalized,” “well-managed” and in satisfactory compliance with the CRA. The Bank currently has no financial subsidiaries.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FDIC and DFPI Enforcement Authority</w:t>
      </w:r>
    </w:p>
    <w:p>
      <w:pPr>
        <w:spacing w:after="0" w:line="200" w:lineRule="exact"/>
        <w:rPr>
          <w:sz w:val="20"/>
          <w:szCs w:val="20"/>
          <w:color w:val="auto"/>
        </w:rPr>
      </w:pPr>
    </w:p>
    <w:p>
      <w:pPr>
        <w:ind w:left="120" w:right="140" w:firstLine="551"/>
        <w:spacing w:after="0" w:line="282" w:lineRule="auto"/>
        <w:rPr>
          <w:sz w:val="20"/>
          <w:szCs w:val="20"/>
          <w:color w:val="auto"/>
        </w:rPr>
      </w:pPr>
      <w:r>
        <w:rPr>
          <w:rFonts w:ascii="Times New Roman" w:cs="Times New Roman" w:eastAsia="Times New Roman" w:hAnsi="Times New Roman"/>
          <w:sz w:val="18"/>
          <w:szCs w:val="18"/>
          <w:color w:val="auto"/>
        </w:rPr>
        <w:t>The federal and California regulatory structure gives the bank regulatory agencies extensive discretion in connection with their supervisory and enforcement activities and examination policies, including policies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respect to the classification of assets and the establishment of appropriate loan loss reserves for regulatory purposes. The regulatory agencies have adopted guidelines to assist in identifying and addressing potential safety and soundness concerns before an institution’s capital becomes impaired. The guidelines establish operational and managerial standards generally relating to: (1) internal controls, information systems, and internal audit systems;</w:t>
      </w:r>
    </w:p>
    <w:p>
      <w:pPr>
        <w:spacing w:after="0" w:line="2" w:lineRule="exact"/>
        <w:rPr>
          <w:sz w:val="20"/>
          <w:szCs w:val="20"/>
          <w:color w:val="auto"/>
        </w:rPr>
      </w:pPr>
    </w:p>
    <w:p>
      <w:pPr>
        <w:ind w:left="120" w:hanging="4"/>
        <w:spacing w:after="0" w:line="252"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documentation; (3) credit underwriting; (4) interest-rate exposure; (5) asset growth and asset quality; and (6) compensation, fees, and benefits. Further, the regulatory agencies have adopted safety and soundness guidelines for asset quality and for evaluating and monitoring earnings to ensure that earnings are sufficient for the maintenance of adequate capital and reserves. If, as a result of an examination, the DFPI or the FDIC should determine that the financial condition, capital resources, asset quality, earnings prospects, management, liquidity, or other aspects of the Bank’s operations are unsatisfactory or that the Bank or its management is violating or has violated any law or regulation, the DFPI and the FDIC, and separately the FDIC as insurer of the Bank’s deposits, have residual authority to:</w:t>
      </w:r>
    </w:p>
    <w:p>
      <w:pPr>
        <w:spacing w:after="0" w:line="18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affirmative action to correct any conditions resulting from any violation or practice;</w:t>
      </w:r>
    </w:p>
    <w:p>
      <w:pPr>
        <w:spacing w:after="0" w:line="27" w:lineRule="exact"/>
        <w:rPr>
          <w:rFonts w:ascii="Times New Roman" w:cs="Times New Roman" w:eastAsia="Times New Roman" w:hAnsi="Times New Roman"/>
          <w:sz w:val="18"/>
          <w:szCs w:val="18"/>
          <w:color w:val="auto"/>
        </w:rPr>
      </w:pPr>
    </w:p>
    <w:p>
      <w:pPr>
        <w:ind w:left="1080" w:right="320" w:hanging="424"/>
        <w:spacing w:after="0" w:line="250" w:lineRule="auto"/>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 increase in capital and the maintenance of higher specific minimum capital ratios, which could preclude the Bank from being deemed well capitalized and restrict its ability to accept certain brokered deposits;</w:t>
      </w:r>
    </w:p>
    <w:p>
      <w:pPr>
        <w:ind w:left="1080" w:right="840" w:hanging="424"/>
        <w:spacing w:after="0" w:line="250" w:lineRule="auto"/>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Bank’s growth geographically, by products and services, or by mergers and acquisitions, including bidding in FDIC receiverships for failed banks;</w:t>
      </w:r>
    </w:p>
    <w:p>
      <w:pPr>
        <w:ind w:left="1080" w:right="120" w:hanging="424"/>
        <w:spacing w:after="0" w:line="250" w:lineRule="auto"/>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issue informal or formal enforcement actions, including required Board resolutions, Matters Requiring Board Attention (MRBA), written agreements and consent or cease and desist orders or prompt corrective action orders to take corrective action and cease unsafe and unsound practices;</w:t>
      </w:r>
    </w:p>
    <w:p>
      <w:pPr>
        <w:spacing w:after="0" w:line="1" w:lineRule="exact"/>
        <w:rPr>
          <w:rFonts w:ascii="Times New Roman" w:cs="Times New Roman" w:eastAsia="Times New Roman" w:hAnsi="Times New Roman"/>
          <w:sz w:val="18"/>
          <w:szCs w:val="18"/>
          <w:color w:val="auto"/>
        </w:rPr>
      </w:pPr>
    </w:p>
    <w:p>
      <w:pPr>
        <w:ind w:left="1080" w:right="220" w:hanging="424"/>
        <w:spacing w:after="0" w:line="250" w:lineRule="auto"/>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prior approval of senior executive officer or director changes; remove officers and directors and assess civil monetary penalties; and</w:t>
      </w: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FDIC insurance, revoke the charter and/or take possession of and close and liquidate the Bank or appoint the FDIC as receiver.</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Deposit Insurance</w:t>
      </w:r>
    </w:p>
    <w:p>
      <w:pPr>
        <w:spacing w:after="0" w:line="187" w:lineRule="exact"/>
        <w:rPr>
          <w:sz w:val="20"/>
          <w:szCs w:val="20"/>
          <w:color w:val="auto"/>
        </w:rPr>
      </w:pPr>
    </w:p>
    <w:p>
      <w:pPr>
        <w:ind w:left="120" w:right="40" w:firstLine="551"/>
        <w:spacing w:after="0" w:line="254" w:lineRule="auto"/>
        <w:rPr>
          <w:sz w:val="20"/>
          <w:szCs w:val="20"/>
          <w:color w:val="auto"/>
        </w:rPr>
      </w:pPr>
      <w:r>
        <w:rPr>
          <w:rFonts w:ascii="Times New Roman" w:cs="Times New Roman" w:eastAsia="Times New Roman" w:hAnsi="Times New Roman"/>
          <w:sz w:val="18"/>
          <w:szCs w:val="18"/>
          <w:color w:val="auto"/>
        </w:rPr>
        <w:t>The FDIC is an independent federal agency that insures deposits, up to prescribed statutory limits, of federally insured banks and savings institutions and safeguards the safety and soundness of the banking and savings industries. The FDIC insures our customer deposits through the DIF up to prescribed limits for each depositor. The Dodd-Frank Act revised the FDIC’s DIF management authority by setting requirements for the Designated Reserve Ratio (the DIF balance divided by estimated insured deposits) and redefining the assessment base, which is used to calculate banks’ quarterly assessments. The amount of FDIC assessments paid by each DIF member institution is based on its asset size and relative risk of default as measured by regulatory capital ratios and other supervisory factors. The FDIC may terminate a depository institution’s deposit insurance upon a finding that the institution’s financial condition is unsafe or unsound or that the institution has engaged in unsafe or unsound practices that pose a risk to the DIF or that may prejudice the interest of the bank’s depositors. The termination of deposit insurance for a bank would also result in the revocation of the bank’s charter by the DFPI.</w:t>
      </w:r>
    </w:p>
    <w:p>
      <w:pPr>
        <w:spacing w:after="0" w:line="148" w:lineRule="exact"/>
        <w:rPr>
          <w:sz w:val="20"/>
          <w:szCs w:val="20"/>
          <w:color w:val="auto"/>
        </w:rPr>
      </w:pPr>
    </w:p>
    <w:p>
      <w:pPr>
        <w:ind w:left="120" w:right="80" w:firstLine="551"/>
        <w:spacing w:after="0" w:line="255" w:lineRule="auto"/>
        <w:rPr>
          <w:sz w:val="20"/>
          <w:szCs w:val="20"/>
          <w:color w:val="auto"/>
        </w:rPr>
      </w:pPr>
      <w:r>
        <w:rPr>
          <w:rFonts w:ascii="Times New Roman" w:cs="Times New Roman" w:eastAsia="Times New Roman" w:hAnsi="Times New Roman"/>
          <w:sz w:val="18"/>
          <w:szCs w:val="18"/>
          <w:color w:val="auto"/>
        </w:rPr>
        <w:t>We are generally unable to control the amount of premiums that we are required to pay for FDIC insurance, which can be affected by the cost of bank failures to the FDIC among other factors. The FDIC is an independent federal agency that insures deposits through the DIF up to prescribed statutory limits of federally insured banks and savings institutions and safeguards the safety and soundness of the banking and savings industries. The Dodd-Frank Act revised the FDIC’s DIF management authority by setting requirements for the Designated Reserve Ratio (the “DRR”, calculated as the DIF balance divided by estimated insured deposits) and redefining the assessment base which is used to calculate banks’ quarterly assessments. The amount of FDIC assessments paid by each DIF member institution is based on its asset size and its relative risk of default as measured by regulatory capital ratios and other supervisory factors.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551"/>
        <w:spacing w:after="0" w:line="255" w:lineRule="auto"/>
        <w:rPr>
          <w:sz w:val="20"/>
          <w:szCs w:val="20"/>
          <w:color w:val="auto"/>
        </w:rPr>
      </w:pPr>
      <w:r>
        <w:rPr>
          <w:rFonts w:ascii="Times New Roman" w:cs="Times New Roman" w:eastAsia="Times New Roman" w:hAnsi="Times New Roman"/>
          <w:sz w:val="18"/>
          <w:szCs w:val="18"/>
          <w:color w:val="auto"/>
        </w:rPr>
        <w:t>On September 30, 2018, the DRR reached 1.36%. Because the reserve ratio has exceeded 1.35%, two deposit insurance assessment changes occurred under the FDIC regulations: 1) surcharges on large banks (total consolidated assets of $10 billion or more) ended; the last surcharge on large banks was collected on December 28, 2018. and 2) small banks (total consolidated assets of less than $10 billion) were awarded assessment credits for the portion of their assessments that contributed to the growth in the reserve ratio from 1.15% to 1.35%, to be applied when the reserve ratio is at least 1.38%. The FDIC will, at least semi-annually, update its income and loss projections for the Deposit Insurance Fund and, if necessary, propose rules to further increase assessment rates. Any future increases in FDIC insurance premiums may have a material and adverse effect on our earnings and could have a material adverse effect on the value of, or market for, our common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left="120" w:right="20" w:firstLine="551"/>
        <w:spacing w:after="0" w:line="256" w:lineRule="auto"/>
        <w:rPr>
          <w:sz w:val="20"/>
          <w:szCs w:val="20"/>
          <w:color w:val="auto"/>
        </w:rPr>
      </w:pPr>
      <w:r>
        <w:rPr>
          <w:rFonts w:ascii="Times New Roman" w:cs="Times New Roman" w:eastAsia="Times New Roman" w:hAnsi="Times New Roman"/>
          <w:sz w:val="18"/>
          <w:szCs w:val="18"/>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The Federal Reserve also discourages dividend payment ratios that are at maximum allowable levels unless both asset quality and capital are very strong. In addition, a bank holding company may be unable to pay dividends on its common stock if it fails to maintain an adequate capital conservation buffer under the Current Capital Rules.</w:t>
      </w:r>
    </w:p>
    <w:p>
      <w:pPr>
        <w:spacing w:after="0" w:line="147" w:lineRule="exact"/>
        <w:rPr>
          <w:sz w:val="20"/>
          <w:szCs w:val="20"/>
          <w:color w:val="auto"/>
        </w:rPr>
      </w:pPr>
    </w:p>
    <w:p>
      <w:pPr>
        <w:ind w:left="120" w:right="60" w:firstLine="551"/>
        <w:spacing w:after="0" w:line="261" w:lineRule="auto"/>
        <w:rPr>
          <w:sz w:val="20"/>
          <w:szCs w:val="20"/>
          <w:color w:val="auto"/>
        </w:rPr>
      </w:pPr>
      <w:r>
        <w:rPr>
          <w:rFonts w:ascii="Times New Roman" w:cs="Times New Roman" w:eastAsia="Times New Roman" w:hAnsi="Times New Roman"/>
          <w:sz w:val="18"/>
          <w:szCs w:val="18"/>
          <w:color w:val="auto"/>
        </w:rPr>
        <w:t>The Bank is a legal entity that is separate and distinct from its holding company. CVB relies on dividends received from the Bank for use in the operation of the Company and the ability of CVB to pay dividends to shareholders. Future cash dividends by the Bank will also depend upon management’s assessment of future capital requirements, contractual restrictions, and other factors. The Current Capital Rules may restrict dividends by the Bank if the additional capital conservation buffer is not achieved. See “Capital Adequacy Requirements”.</w:t>
      </w:r>
    </w:p>
    <w:p>
      <w:pPr>
        <w:spacing w:after="0" w:line="153" w:lineRule="exact"/>
        <w:rPr>
          <w:sz w:val="20"/>
          <w:szCs w:val="20"/>
          <w:color w:val="auto"/>
        </w:rPr>
      </w:pPr>
    </w:p>
    <w:p>
      <w:pPr>
        <w:ind w:left="120" w:right="60" w:firstLine="551"/>
        <w:spacing w:after="0" w:line="261" w:lineRule="auto"/>
        <w:rPr>
          <w:sz w:val="20"/>
          <w:szCs w:val="20"/>
          <w:color w:val="auto"/>
        </w:rPr>
      </w:pPr>
      <w:r>
        <w:rPr>
          <w:rFonts w:ascii="Times New Roman" w:cs="Times New Roman" w:eastAsia="Times New Roman" w:hAnsi="Times New Roman"/>
          <w:sz w:val="18"/>
          <w:szCs w:val="18"/>
          <w:color w:val="auto"/>
        </w:rPr>
        <w:t>The ability of the Bank to declare a cash dividend to CVB is subject to California law, which restricts the amount available for cash dividends to the lesser of a bank’s retained earnings or net income for its last three fiscal years (less any distributions to shareholders made during such period). Where the above test is not met, cash dividends may still be paid, with the prior approval of the DFPI, in an amount not exceeding the greatest of (1) retained earnings of the bank; (2) the net income of the bank for its last fiscal year; or (3) the net income of the bank for its current fiscal year.</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p>
      <w:pPr>
        <w:spacing w:after="0" w:line="189"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The Dodd-Frank Act requires the federal bank regulators and the SEC to establish joint regulations or guidelines prohibiting incentive-based payment arrangements at specified regulated entities, including the Company and the Bank, having at least $1 billion in total assets that encourage inappropriate risks by providing an executive officer, employee, director or principal stockholder with excessive compensation, fees or benefits or that could lead to material financial loss to the entity. In addition, these regulators must establish regulations or guidelines requiring enhanced disclosure to regulators of incentive-based compensation arrangements. The agencies proposed such regulations initially in April 2011 and in April 2016, the Federal Reserve and other federal financial agencies re-proposed restrictions on incentive-based compensation. For institutions with at least $1 billion but less than $50 billion in total consolidated assets, such as the Company and the Bank, the proposal would impose principles-based restrictions that are broadly consistent with existing interagency guidance on incentive-based compensation. Such institutions would be prohibited from entering into incentive compensation arrangements that encourage inappropriate risks by the institution (1) by providing an executive officer, employee, director, or principal shareholder with excessive compensation, fees, or benefits, or (2) that could lead to material financial loss to the institution. The proposal would also impose certain governance and recordkeeping requirements on institutions of the Company’s and the Bank’s size. The regulatory organizations would reserve the authority to impose more stringent requirements on institutions of the Company’s and the Bank’s size.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Data Breaches</w:t>
      </w:r>
    </w:p>
    <w:p>
      <w:pPr>
        <w:spacing w:after="0" w:line="202" w:lineRule="exact"/>
        <w:rPr>
          <w:sz w:val="20"/>
          <w:szCs w:val="20"/>
          <w:color w:val="auto"/>
        </w:rPr>
      </w:pPr>
    </w:p>
    <w:p>
      <w:pPr>
        <w:ind w:left="120" w:firstLine="551"/>
        <w:spacing w:after="0" w:line="254" w:lineRule="auto"/>
        <w:rPr>
          <w:sz w:val="20"/>
          <w:szCs w:val="20"/>
          <w:color w:val="auto"/>
        </w:rPr>
      </w:pPr>
      <w:r>
        <w:rPr>
          <w:rFonts w:ascii="Times New Roman" w:cs="Times New Roman" w:eastAsia="Times New Roman" w:hAnsi="Times New Roman"/>
          <w:sz w:val="18"/>
          <w:szCs w:val="18"/>
          <w:color w:val="auto"/>
        </w:rPr>
        <w:t>Federal regulators have issued multiple statements regarding cybersecurity and that financial institutions need to design multiple layers of security controls to establish lines of defense and to ensure that their risk management processes also address the risk posed by compromised customer credentials, including security measures to reliably authenticate customers accessing internet-based services of the financial institution. In addition, a financial institution’s management is expected to maintain sufficient business continuity planning processes to ensure the rapid recovery, resumption and maintenance of the institution’s operations in the event of a cyber-attack. A financial institution is also expected to develop appropriate processes to enable recovery of data and business operations and address rebuilding network capabilities and restoring data if the institution or its critical service providers fall victim to a cyber-attack. If we fail to observe the regulatory guidance, we could be subject to various regulatory sanctions, including financial penalties.</w:t>
      </w:r>
    </w:p>
    <w:p>
      <w:pPr>
        <w:spacing w:after="0" w:line="151"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State regulators have also been increasingly active in implementing privacy and cybersecurity standards and regulations. Recently, several states, notably including California where we conduct substantially all our banking business, have adopted laws and/or regulations requiring certain financial institutions to implement cybersecurity programs and providing detailed requirements with respect to these programs, including data encryption requirements. Many such states have also implemented or modified their data breach notification and data privacy requirements including California and New York. We expect this trend of state-level activity in those areas to continue, and we continue to monitor relevant legislative and regulatory developments in California where nearly all our customers are located.</w:t>
      </w:r>
    </w:p>
    <w:p>
      <w:pPr>
        <w:spacing w:after="0" w:line="147"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rely on electronic communications and information systems to conduct our operations and to store sensitive data. We employ a layered, defensive approach that leverages people, processes and technology to manage and maintain cybersecurity controls. We employ a variety of preventative and detective tools to monitor, block, and provide alerts regarding suspicious activity, as well as to report on any suspected advanced persistent threats. Notwithstanding the strength of our defensive measures, the threat from cyber-attacks is severe, attacks are sophisticated and increasing in volume, and attackers respond rapidly to changes in defensive measures. While to date we have not detected a significant compromise, significant data loss or any material financial losses related to cybersecurity attacks, our systems and those of our customers and third-party service providers are under constant threat and it is possible that we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us and our customers. In addition, to the extent we experience any data breaches, we may become subject to governmental fines or enforcement actions as well as potential liability arising out of governmental or private litigation. See Item 1A. Risk Factors for a further discussion of risks related to cybersecurity and data breaches.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Operations and Consumer Compliance Laws</w:t>
      </w:r>
    </w:p>
    <w:p>
      <w:pPr>
        <w:spacing w:after="0" w:line="189" w:lineRule="exact"/>
        <w:rPr>
          <w:sz w:val="20"/>
          <w:szCs w:val="20"/>
          <w:color w:val="auto"/>
        </w:rPr>
      </w:pPr>
    </w:p>
    <w:p>
      <w:pPr>
        <w:ind w:left="120" w:right="20" w:firstLine="551"/>
        <w:spacing w:after="0" w:line="254" w:lineRule="auto"/>
        <w:rPr>
          <w:sz w:val="20"/>
          <w:szCs w:val="20"/>
          <w:color w:val="auto"/>
        </w:rPr>
      </w:pPr>
      <w:r>
        <w:rPr>
          <w:rFonts w:ascii="Times New Roman" w:cs="Times New Roman" w:eastAsia="Times New Roman" w:hAnsi="Times New Roman"/>
          <w:sz w:val="18"/>
          <w:szCs w:val="18"/>
          <w:color w:val="auto"/>
        </w:rPr>
        <w:t>The Bank must comply with numerous federal and state anti-money laundering and consumer protection statutes and implementing regulations, including the USA PATRIOT Act of 2001, the Bank Secrecy Act, the Foreign Account Tax Compliance Act, the CRA, the California Consumer Privacy Act, the Fair Debt Collection Practices Act, the Fair Credit Reporting Act, the Equal Credit Opportunity Act, the Truth in Lending Act, the Fair Housing Act, the Home Mortgage Disclosure Act, the Real Estate Settlement Procedures Act, the National Flood Insurance Act, the California Homeowner Bill of Rights and various federal and state privacy protection laws, including the Telephone Consumer Protection Act , CAN-SPAM Act. Noncompliance with any of these laws could subject the Bank to compliance enforcement actions as well as lawsuits and could also result in administrative penalties, including, fines and reimbursements. The Bank and the Company are also subject to federal and state laws prohibiting unfair or fraudulent business practices, untrue or misleading advertising and unfair competition.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551"/>
        <w:spacing w:after="0" w:line="261" w:lineRule="auto"/>
        <w:rPr>
          <w:sz w:val="20"/>
          <w:szCs w:val="20"/>
          <w:color w:val="auto"/>
        </w:rPr>
      </w:pPr>
      <w:r>
        <w:rPr>
          <w:rFonts w:ascii="Times New Roman" w:cs="Times New Roman" w:eastAsia="Times New Roman" w:hAnsi="Times New Roman"/>
          <w:sz w:val="18"/>
          <w:szCs w:val="18"/>
          <w:color w:val="auto"/>
        </w:rPr>
        <w:t>These laws and regulations mandate certain disclosure and reporting requirements and regulate the manner in which financial institutions must deal with customers when taking deposits, making loans, servicing, collecting and foreclosure of loans, and providing other services. Failure to comply with these laws and regulations can subject the Bank and the Company to various penalties, including but not limited to enforcement actions, injunctions, fines or criminal penalties, punitive damages to consumers, and the loss of certain contractual rights.</w:t>
      </w:r>
    </w:p>
    <w:p>
      <w:pPr>
        <w:spacing w:after="0" w:line="153" w:lineRule="exact"/>
        <w:rPr>
          <w:sz w:val="20"/>
          <w:szCs w:val="20"/>
          <w:color w:val="auto"/>
        </w:rPr>
      </w:pPr>
    </w:p>
    <w:p>
      <w:pPr>
        <w:ind w:left="120" w:firstLine="551"/>
        <w:spacing w:after="0" w:line="258" w:lineRule="auto"/>
        <w:rPr>
          <w:sz w:val="20"/>
          <w:szCs w:val="20"/>
          <w:color w:val="auto"/>
        </w:rPr>
      </w:pPr>
      <w:r>
        <w:rPr>
          <w:rFonts w:ascii="Times New Roman" w:cs="Times New Roman" w:eastAsia="Times New Roman" w:hAnsi="Times New Roman"/>
          <w:sz w:val="18"/>
          <w:szCs w:val="18"/>
          <w:color w:val="auto"/>
        </w:rPr>
        <w:t>The Anti-Money Laundering Act of 2020 (“AMLA”), which amends the Bank Secrecy Act of 1970 (“BSA”), was enacted in January 2021. The AMLA is intended to be a comprehensive reform and modernization to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w:t>
      </w:r>
    </w:p>
    <w:p>
      <w:pPr>
        <w:spacing w:after="0" w:line="143" w:lineRule="exact"/>
        <w:rPr>
          <w:sz w:val="20"/>
          <w:szCs w:val="20"/>
          <w:color w:val="auto"/>
        </w:rPr>
      </w:pPr>
    </w:p>
    <w:p>
      <w:pPr>
        <w:ind w:left="120" w:right="60" w:firstLine="551"/>
        <w:spacing w:after="0" w:line="266" w:lineRule="auto"/>
        <w:rPr>
          <w:sz w:val="20"/>
          <w:szCs w:val="20"/>
          <w:color w:val="auto"/>
        </w:rPr>
      </w:pPr>
      <w:r>
        <w:rPr>
          <w:rFonts w:ascii="Times New Roman" w:cs="Times New Roman" w:eastAsia="Times New Roman" w:hAnsi="Times New Roman"/>
          <w:sz w:val="18"/>
          <w:szCs w:val="18"/>
          <w:color w:val="auto"/>
        </w:rPr>
        <w:t>The Bank received an overall “Satisfactory” rating in its most recent FDIC CRA performance evaluation, which measures how financial institutions support their communities in the areas of lending, investment and service tests. The Bank received a “High Satisfactory” rating for both the lending and the investment tests and an “Outstanding” rating for the service test.</w:t>
      </w:r>
    </w:p>
    <w:p>
      <w:pPr>
        <w:spacing w:after="0" w:line="135" w:lineRule="exact"/>
        <w:rPr>
          <w:sz w:val="20"/>
          <w:szCs w:val="20"/>
          <w:color w:val="auto"/>
        </w:rPr>
      </w:pPr>
    </w:p>
    <w:p>
      <w:pPr>
        <w:ind w:left="120" w:right="20" w:firstLine="551"/>
        <w:spacing w:after="0" w:line="253" w:lineRule="auto"/>
        <w:rPr>
          <w:sz w:val="20"/>
          <w:szCs w:val="20"/>
          <w:color w:val="auto"/>
        </w:rPr>
      </w:pPr>
      <w:r>
        <w:rPr>
          <w:rFonts w:ascii="Times New Roman" w:cs="Times New Roman" w:eastAsia="Times New Roman" w:hAnsi="Times New Roman"/>
          <w:sz w:val="18"/>
          <w:szCs w:val="18"/>
          <w:color w:val="auto"/>
        </w:rPr>
        <w:t>In December 2019, the FDIC and the Office of the Comptroller of the Currency (“OCC”) jointly proposed rules that would significantly change existing CRA regulations. The proposed rules are intended to increase bank activity in low- and moderate-income communities where there is significant need for credit, more responsible lending, greater access to banking services, and improvements to critical infrastructure. The proposals change four key areas: (i) clarifying what activities qualify for CRA credit; (ii) updating where activities count for CRA credit; (iii) providing a more transparent and objective method for measuring CRA performance; and (iv) revising CRA-related data collection, record keeping, and reporting. However, the Federal Reserve Board did not join in that proposed rulemaking. While the OCC issued its final rule, the FDIC has not finalized the revisions to its CRA rule. In September 2020, the Federal Reserve Board issued an Advance Notice of Proposed Rulemaking (“ANPR”) that invites public comment on an approach to modernize the regulations that implement the CRA by strengthening, clarifying, and tailoring them to reflect the current banking landscape and better meet the core purpose of the CRA. The ANPR seeks feedback on ways to evaluate how banks meet the needs of low- and moderate-income communities and address inequities in credit access. As such, we will continue to evaluate the impact of any changes to the regulations implementing the CRA and their impact to our financial condition, results of operations, and/or liquidity, which cannot be predicted at this time.</w:t>
      </w:r>
    </w:p>
    <w:p>
      <w:pPr>
        <w:spacing w:after="0" w:line="163" w:lineRule="exact"/>
        <w:rPr>
          <w:sz w:val="20"/>
          <w:szCs w:val="20"/>
          <w:color w:val="auto"/>
        </w:rPr>
      </w:pPr>
    </w:p>
    <w:p>
      <w:pPr>
        <w:ind w:left="120" w:right="300" w:firstLine="551"/>
        <w:spacing w:after="0" w:line="256" w:lineRule="auto"/>
        <w:rPr>
          <w:sz w:val="20"/>
          <w:szCs w:val="20"/>
          <w:color w:val="auto"/>
        </w:rPr>
      </w:pPr>
      <w:r>
        <w:rPr>
          <w:rFonts w:ascii="Times New Roman" w:cs="Times New Roman" w:eastAsia="Times New Roman" w:hAnsi="Times New Roman"/>
          <w:sz w:val="18"/>
          <w:szCs w:val="18"/>
          <w:color w:val="auto"/>
        </w:rPr>
        <w:t>The Dodd-Frank Act provided for the creation of the Bureau of Consumer Finance Protection (“CFPB”) as an independent entity within the Federal Reserve with broad rulemaking, supervisory and enforcement authority over consumer financial products and services, including deposit products, residential mortgages, home-equity loans and credit cards. The CFPB’s functions include investigating consumer complaints, conducting market research, rulemaking, and enforcing rules related to consumer financial products and services. CFPB regulations and guidance apply to all covered persons and banks with $10 billion or more in assets, such as the Bank. Accordingly, the Bank is subject to CFPB supervision including examination by the CFPB.</w:t>
      </w:r>
    </w:p>
    <w:p>
      <w:pPr>
        <w:spacing w:after="0" w:line="147" w:lineRule="exact"/>
        <w:rPr>
          <w:sz w:val="20"/>
          <w:szCs w:val="20"/>
          <w:color w:val="auto"/>
        </w:rPr>
      </w:pPr>
    </w:p>
    <w:p>
      <w:pPr>
        <w:ind w:left="120" w:right="240" w:firstLine="551"/>
        <w:spacing w:after="0" w:line="272" w:lineRule="auto"/>
        <w:rPr>
          <w:sz w:val="20"/>
          <w:szCs w:val="20"/>
          <w:color w:val="auto"/>
        </w:rPr>
      </w:pPr>
      <w:r>
        <w:rPr>
          <w:rFonts w:ascii="Times New Roman" w:cs="Times New Roman" w:eastAsia="Times New Roman" w:hAnsi="Times New Roman"/>
          <w:sz w:val="17"/>
          <w:szCs w:val="17"/>
          <w:color w:val="auto"/>
        </w:rPr>
        <w:t>The CFPB has finalized a number of significant rules which impact nearly every aspect of the lifecycle of a residential mortgage loan. These rules implement the Dodd-Frank Act amendments to the Equal Credit Opportunity Act, the Truth in Lending Act and the Real Estate Settlement Procedures Act. Among other things, the rules adopted by the CFPB require covered persons including banks making residential mortgage loans to:</w:t>
      </w:r>
    </w:p>
    <w:p>
      <w:pPr>
        <w:spacing w:after="0" w:line="2" w:lineRule="exact"/>
        <w:rPr>
          <w:sz w:val="20"/>
          <w:szCs w:val="20"/>
          <w:color w:val="auto"/>
        </w:rPr>
      </w:pPr>
    </w:p>
    <w:p>
      <w:pPr>
        <w:ind w:left="120" w:right="340" w:hanging="4"/>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procedures to ensure compliance with an “ability-to-repay” test and identify whether a loan meets a new definition for a “qualified mortgage”, in which case a rebuttable presumption exists that the creditor extending the loan has satisfied the ability-to-repay test;</w:t>
      </w:r>
    </w:p>
    <w:p>
      <w:pPr>
        <w:ind w:left="120" w:right="520" w:hanging="4"/>
        <w:spacing w:after="0" w:line="260" w:lineRule="auto"/>
        <w:tabs>
          <w:tab w:leader="none" w:pos="3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new or revised disclosures, policies and procedures for originating and servicing mortgages including, but not limited to, pre-loan counseling, early intervention with delinquent borrowers and specific loss mitigation procedures for loans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82" w:right="5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secured by a borrower’s principal residence; (iii) comply with additional restrictions on mortgage loan originator hiring and compensation; (iv) comply with new disclosure requirements and standards for appraisals and certain financial products; and (v) maintain escrow accounts for higher-priced mortgage loans for a longer period of time.</w:t>
      </w:r>
    </w:p>
    <w:p>
      <w:pPr>
        <w:spacing w:after="0" w:line="149" w:lineRule="exact"/>
        <w:rPr>
          <w:sz w:val="20"/>
          <w:szCs w:val="20"/>
          <w:color w:val="auto"/>
        </w:rPr>
      </w:pPr>
    </w:p>
    <w:p>
      <w:pPr>
        <w:ind w:left="120" w:firstLine="551"/>
        <w:spacing w:after="0" w:line="254" w:lineRule="auto"/>
        <w:rPr>
          <w:sz w:val="20"/>
          <w:szCs w:val="20"/>
          <w:color w:val="auto"/>
        </w:rPr>
      </w:pPr>
      <w:r>
        <w:rPr>
          <w:rFonts w:ascii="Times New Roman" w:cs="Times New Roman" w:eastAsia="Times New Roman" w:hAnsi="Times New Roman"/>
          <w:sz w:val="18"/>
          <w:szCs w:val="18"/>
          <w:color w:val="auto"/>
        </w:rPr>
        <w:t>The review of products and practices to prevent unfair, deceptive or abusive acts or practices (“UDAAP”)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violations of UDAAP and other legal requirements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the Bank’s business, financial condition or results of operations.</w:t>
      </w:r>
    </w:p>
    <w:p>
      <w:pPr>
        <w:spacing w:after="0" w:line="148" w:lineRule="exact"/>
        <w:rPr>
          <w:sz w:val="20"/>
          <w:szCs w:val="20"/>
          <w:color w:val="auto"/>
        </w:rPr>
      </w:pPr>
    </w:p>
    <w:p>
      <w:pPr>
        <w:ind w:left="120" w:right="80" w:firstLine="551"/>
        <w:spacing w:after="0" w:line="255" w:lineRule="auto"/>
        <w:rPr>
          <w:sz w:val="20"/>
          <w:szCs w:val="20"/>
          <w:color w:val="auto"/>
        </w:rPr>
      </w:pPr>
      <w:r>
        <w:rPr>
          <w:rFonts w:ascii="Times New Roman" w:cs="Times New Roman" w:eastAsia="Times New Roman" w:hAnsi="Times New Roman"/>
          <w:sz w:val="18"/>
          <w:szCs w:val="18"/>
          <w:color w:val="auto"/>
        </w:rPr>
        <w:t>The federal bank regulators have adopted rules limiting the ability of banks and other financial institutions to disclose non-public information about consumers to unaffiliated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48" w:lineRule="exact"/>
        <w:rPr>
          <w:sz w:val="20"/>
          <w:szCs w:val="20"/>
          <w:color w:val="auto"/>
        </w:rPr>
      </w:pPr>
    </w:p>
    <w:p>
      <w:pPr>
        <w:ind w:left="120" w:right="440" w:firstLine="551"/>
        <w:spacing w:after="0" w:line="266" w:lineRule="auto"/>
        <w:rPr>
          <w:sz w:val="20"/>
          <w:szCs w:val="20"/>
          <w:color w:val="auto"/>
        </w:rPr>
      </w:pPr>
      <w:r>
        <w:rPr>
          <w:rFonts w:ascii="Times New Roman" w:cs="Times New Roman" w:eastAsia="Times New Roman" w:hAnsi="Times New Roman"/>
          <w:sz w:val="18"/>
          <w:szCs w:val="18"/>
          <w:color w:val="auto"/>
        </w:rPr>
        <w:t>Under the Durbin Amendment to the Dodd-Frank Act, the Federal Reserve adopted rules establishing standards for assessing whether the interchange fees that may be charged with respect to certain electronic debit transactions are “reasonable and proportional” to the costs incurred by issuers for processing such transactions.</w:t>
      </w:r>
    </w:p>
    <w:p>
      <w:pPr>
        <w:spacing w:after="0" w:line="149" w:lineRule="exact"/>
        <w:rPr>
          <w:sz w:val="20"/>
          <w:szCs w:val="20"/>
          <w:color w:val="auto"/>
        </w:rPr>
      </w:pPr>
    </w:p>
    <w:p>
      <w:pPr>
        <w:ind w:left="120" w:right="140" w:firstLine="551"/>
        <w:spacing w:after="0" w:line="256" w:lineRule="auto"/>
        <w:rPr>
          <w:sz w:val="20"/>
          <w:szCs w:val="20"/>
          <w:color w:val="auto"/>
        </w:rPr>
      </w:pPr>
      <w:r>
        <w:rPr>
          <w:rFonts w:ascii="Times New Roman" w:cs="Times New Roman" w:eastAsia="Times New Roman" w:hAnsi="Times New Roman"/>
          <w:sz w:val="18"/>
          <w:szCs w:val="18"/>
          <w:color w:val="auto"/>
        </w:rPr>
        <w:t>Interchange fees, or “swipe” fees, are charges that merchants pay to us and other card-issuing banks for processing electronic payment transactions. Under the final rules, the maximum permissible interchange fee is equal to no more than 21 cents plus 5 basis points of the transaction value for many types of debit interchange transactions. The Federal Reserve also adopted a rule to allow a debit card issuer to recover one cent per transaction for fraud prevention purposes if the issuer complies with certain fraud-related requirements required by the Federal Reserve. The Federal Reserve also has rules governing routing and exclusivity that require issuers to offer two unaffiliated networks for routing transactions on each debit or prepaid product.</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Real Estate Concentration Limits</w:t>
      </w:r>
    </w:p>
    <w:p>
      <w:pPr>
        <w:spacing w:after="0" w:line="189" w:lineRule="exact"/>
        <w:rPr>
          <w:sz w:val="20"/>
          <w:szCs w:val="20"/>
          <w:color w:val="auto"/>
        </w:rPr>
      </w:pPr>
    </w:p>
    <w:p>
      <w:pPr>
        <w:ind w:left="120" w:right="80" w:firstLine="551"/>
        <w:spacing w:after="0" w:line="270" w:lineRule="auto"/>
        <w:rPr>
          <w:sz w:val="20"/>
          <w:szCs w:val="20"/>
          <w:color w:val="auto"/>
        </w:rPr>
      </w:pPr>
      <w:r>
        <w:rPr>
          <w:rFonts w:ascii="Times New Roman" w:cs="Times New Roman" w:eastAsia="Times New Roman" w:hAnsi="Times New Roman"/>
          <w:sz w:val="17"/>
          <w:szCs w:val="17"/>
          <w:color w:val="auto"/>
        </w:rPr>
        <w:t>In December 2006, the federal banking regulators issued guidance entitled “Concentrations in Commercial Real Estate Lending, Sound Risk Management Practices” to address increased concentrations in commercial real estate, or CRE,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w:t>
      </w:r>
    </w:p>
    <w:p>
      <w:pPr>
        <w:spacing w:after="0" w:line="3" w:lineRule="exact"/>
        <w:rPr>
          <w:sz w:val="20"/>
          <w:szCs w:val="20"/>
          <w:color w:val="auto"/>
        </w:rPr>
      </w:pPr>
    </w:p>
    <w:p>
      <w:pPr>
        <w:ind w:left="120" w:right="20" w:hanging="4"/>
        <w:spacing w:after="0" w:line="253"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rapid growth in CRE lending, (ii) notable exposure to a specific type of CRE, (iii) total reported loans for construction, land development, and other land representing 100% or more of the institution’s capital, or (iv) total CRE loans (which excludes owner-occupied CRE loans) representing 300% or more of the institution’s capital, and the outstanding balance of the institutions CRE portfolio has increased by 50% or more in the prior 36 months, may be identified for further supervisory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analysis of the level and nature of its CRE concentration risk. As of December 31, 2020, the Bank’s total CRE loan concentration based on total outstanding loans is 254% of risk-based capital; adding unfunded loan commitments, the CRE loan concentration increases to 275% of risk-based capital.</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Office of Foreign Assets Control Regulation</w:t>
      </w:r>
    </w:p>
    <w:p>
      <w:pPr>
        <w:spacing w:after="0" w:line="189" w:lineRule="exact"/>
        <w:rPr>
          <w:sz w:val="20"/>
          <w:szCs w:val="20"/>
          <w:color w:val="auto"/>
        </w:rPr>
      </w:pPr>
    </w:p>
    <w:p>
      <w:pPr>
        <w:ind w:left="120" w:right="100" w:firstLine="551"/>
        <w:spacing w:after="0" w:line="273" w:lineRule="auto"/>
        <w:rPr>
          <w:sz w:val="20"/>
          <w:szCs w:val="20"/>
          <w:color w:val="auto"/>
        </w:rPr>
      </w:pPr>
      <w:r>
        <w:rPr>
          <w:rFonts w:ascii="Times New Roman" w:cs="Times New Roman" w:eastAsia="Times New Roman" w:hAnsi="Times New Roman"/>
          <w:sz w:val="17"/>
          <w:szCs w:val="17"/>
          <w:color w:val="auto"/>
        </w:rPr>
        <w:t>The U.S. Treasury Department’s Office of Foreign Assets Control (“OFAC”), administers and enforces economic and trade sanctions against targeted foreign countries and regimes, under authority of various laws, including designated foreign countries, nationals and others. OFAC publishes lists of specially designated targets and countries. We are responsible for, among other things, blocking accounts of, and transactions with, such targets and countries, prohibiting unlicensed trade and financial transactions with them and reporting blocked transactions after their occurrence. Failure to comply with these sanctions could have serious financial, legal and reputational consequences,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violating these obligations.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Cuts and Jobs Act of 2017 (the “Tax Reform Act”)</w:t>
      </w:r>
    </w:p>
    <w:p>
      <w:pPr>
        <w:spacing w:after="0" w:line="202" w:lineRule="exact"/>
        <w:rPr>
          <w:sz w:val="20"/>
          <w:szCs w:val="20"/>
          <w:color w:val="auto"/>
        </w:rPr>
      </w:pPr>
    </w:p>
    <w:p>
      <w:pPr>
        <w:ind w:left="120" w:right="100" w:firstLine="551"/>
        <w:spacing w:after="0" w:line="282" w:lineRule="auto"/>
        <w:rPr>
          <w:sz w:val="20"/>
          <w:szCs w:val="20"/>
          <w:color w:val="auto"/>
        </w:rPr>
      </w:pPr>
      <w:r>
        <w:rPr>
          <w:rFonts w:ascii="Times New Roman" w:cs="Times New Roman" w:eastAsia="Times New Roman" w:hAnsi="Times New Roman"/>
          <w:sz w:val="18"/>
          <w:szCs w:val="18"/>
          <w:color w:val="auto"/>
        </w:rPr>
        <w:t>On December 22, 2017, the Tax Cuts and Jobs Act of 2017 (“Tax Reform Act”) was signed into law. The Tax Reform Act included a number of provisions that impact us, including the following:</w:t>
      </w:r>
    </w:p>
    <w:p>
      <w:pPr>
        <w:spacing w:after="0" w:line="162" w:lineRule="exact"/>
        <w:rPr>
          <w:sz w:val="20"/>
          <w:szCs w:val="20"/>
          <w:color w:val="auto"/>
        </w:rPr>
      </w:pPr>
    </w:p>
    <w:p>
      <w:pPr>
        <w:ind w:left="1080" w:right="140" w:hanging="424"/>
        <w:spacing w:after="0" w:line="253"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 The Tax Reform Act replaces the corporate tax rates applicable under prior law, which imposed a maximum tax rate of 35%, with a reduced 21% tax rate for 2018. Although the reduced tax rate generally should be favorable to us by resulting in lower tax expense in future periods, it decreased the value of our existing deferred tax assets as of December 31, 2017. Generally accepted accounting principles (“GAAP”) requires that the impact of the provisions of the Tax Reform Act be accounted for in the period of enactment. Accordingly, the incremental income tax expense recorded by the Company in the fourth quarter of 2017 related to the Tax Reform Act was $13.2 million, resulting primarily from a re-measurement of deferred tax assets;</w:t>
      </w:r>
    </w:p>
    <w:p>
      <w:pPr>
        <w:spacing w:after="0" w:line="5" w:lineRule="exact"/>
        <w:rPr>
          <w:rFonts w:ascii="Times New Roman" w:cs="Times New Roman" w:eastAsia="Times New Roman" w:hAnsi="Times New Roman"/>
          <w:sz w:val="18"/>
          <w:szCs w:val="18"/>
          <w:color w:val="auto"/>
        </w:rPr>
      </w:pPr>
    </w:p>
    <w:p>
      <w:pPr>
        <w:ind w:left="1080" w:right="220" w:hanging="424"/>
        <w:spacing w:after="0" w:line="250"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FDIC Insurance Premiums. The Tax Reform Act prohibits taxpayers with consolidated assets over $50 billion from deducting any FDIC insurance premiums and prohibits taxpayers with consolidated assets between $10 and $50 billion from deducting the portion of their FDIC premiums equal to the ratio, expressed as a percentage, that (i) the taxpayer’s total consolidated assets over $10 billion, as of the close of the taxable year, bears to (ii) $40 billion;</w:t>
      </w:r>
    </w:p>
    <w:p>
      <w:pPr>
        <w:spacing w:after="0" w:line="1" w:lineRule="exact"/>
        <w:rPr>
          <w:rFonts w:ascii="Times New Roman" w:cs="Times New Roman" w:eastAsia="Times New Roman" w:hAnsi="Times New Roman"/>
          <w:sz w:val="18"/>
          <w:szCs w:val="18"/>
          <w:color w:val="auto"/>
        </w:rPr>
      </w:pPr>
    </w:p>
    <w:p>
      <w:pPr>
        <w:ind w:left="1080" w:right="140" w:hanging="424"/>
        <w:spacing w:after="0" w:line="250"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 “publicly held company” is not permitted to deduct compensation in excess of $1 million per year paid to certain employees. The Tax Reform Act eliminates certain exceptions to the $1 million limit applicable under prior law related to performance-based compensation, such as equity grants and cash bonuses that are paid only on the attainment of performance goals. As a result, our ability to deduct certain compensation paid to our most highly compensated employees is limited; and</w:t>
      </w:r>
    </w:p>
    <w:p>
      <w:pPr>
        <w:spacing w:after="0" w:line="1"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Asset Expensing. The Tax Reform Act allows taxpayers immediately to expense the entire cost (instead of only 50%, as under prior law) of certain depreciable tangible property and real property improvements acquired and placed in service after September 27, 2017 and before January 1, 2023 (with an additional year for certain property). This 100% “bonus” depreciation is phased out proportionately for property placed in service on or after January 1, 2023 and before January 1, 2027 (with an additional year for certain property).</w:t>
      </w:r>
    </w:p>
    <w:p>
      <w:pPr>
        <w:spacing w:after="0" w:line="254" w:lineRule="exact"/>
        <w:rPr>
          <w:sz w:val="20"/>
          <w:szCs w:val="20"/>
          <w:color w:val="auto"/>
        </w:rPr>
      </w:pPr>
    </w:p>
    <w:p>
      <w:pPr>
        <w:ind w:left="120" w:right="20" w:firstLine="551"/>
        <w:spacing w:after="0" w:line="284" w:lineRule="auto"/>
        <w:rPr>
          <w:sz w:val="20"/>
          <w:szCs w:val="20"/>
          <w:color w:val="auto"/>
        </w:rPr>
      </w:pPr>
      <w:r>
        <w:rPr>
          <w:rFonts w:ascii="Times New Roman" w:cs="Times New Roman" w:eastAsia="Times New Roman" w:hAnsi="Times New Roman"/>
          <w:sz w:val="18"/>
          <w:szCs w:val="18"/>
          <w:color w:val="auto"/>
        </w:rPr>
        <w:t xml:space="preserve">The foregoing description of the impact of the Tax Reform Act on us should be read in conjunction with Note 11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consolidated financial statements for more information.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Legislation and Regulation</w:t>
      </w:r>
    </w:p>
    <w:p>
      <w:pPr>
        <w:spacing w:after="0" w:line="202" w:lineRule="exact"/>
        <w:rPr>
          <w:sz w:val="20"/>
          <w:szCs w:val="20"/>
          <w:color w:val="auto"/>
        </w:rPr>
      </w:pPr>
    </w:p>
    <w:p>
      <w:pPr>
        <w:ind w:left="120" w:right="60" w:firstLine="551"/>
        <w:spacing w:after="0" w:line="254" w:lineRule="auto"/>
        <w:rPr>
          <w:sz w:val="20"/>
          <w:szCs w:val="20"/>
          <w:color w:val="auto"/>
        </w:rPr>
      </w:pPr>
      <w:r>
        <w:rPr>
          <w:rFonts w:ascii="Times New Roman" w:cs="Times New Roman" w:eastAsia="Times New Roman" w:hAnsi="Times New Roman"/>
          <w:sz w:val="18"/>
          <w:szCs w:val="18"/>
          <w:color w:val="auto"/>
        </w:rPr>
        <w:t>Congress may enact, modify or repeal legislation from time to time that affects the regulation of the financial services industry, and state legislatures may enact, modify or repeal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The substance or impact of pending or future legislation or regulation, or the application thereof, cannot be predicted, although enactment of proposed legislation (or modification or repeal of existing legislation) could impact the regulatory structure under which the Company and Bank operate and may significantly increase its costs, impede the efficiency of its internal business processes, require the Bank to increase its regulatory capital and modify its business strategy, and limit its ability to pursue business opportunities in an efficient manner. The Company’s business, financial condition, results of operations or prospects may be adversely affected, perhaps materially.</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89" w:lineRule="exact"/>
        <w:rPr>
          <w:sz w:val="20"/>
          <w:szCs w:val="20"/>
          <w:color w:val="auto"/>
        </w:rPr>
      </w:pPr>
    </w:p>
    <w:p>
      <w:pPr>
        <w:ind w:left="120" w:right="40" w:firstLine="551"/>
        <w:spacing w:after="0" w:line="256" w:lineRule="auto"/>
        <w:rPr>
          <w:sz w:val="20"/>
          <w:szCs w:val="20"/>
          <w:color w:val="auto"/>
        </w:rPr>
      </w:pPr>
      <w:r>
        <w:rPr>
          <w:rFonts w:ascii="Times New Roman" w:cs="Times New Roman" w:eastAsia="Times New Roman" w:hAnsi="Times New Roman"/>
          <w:sz w:val="18"/>
          <w:szCs w:val="18"/>
          <w:color w:val="auto"/>
        </w:rPr>
        <w:t>Reports filed with the SEC include our proxy statements, annual reports on Form 10-K, quarterly reports on Form 10-Q and current reports on Form 8-K. The SEC maintains a website that contains the reports, proxy and information statements and other information we file with them. The address of the site is http://www.sec.gov. The Company also maintains an Internet website at http://www.cbbank.com. We make available, free of charge through our website, our Proxy Statement, Annual Report on Form 10-K, Quarterly Reports on Form 10-Q, and Current Reports on Form 8-K, and any amendments thereto, as soon as reasonably practicable after we file such reports with the SEC. None of the information contained in or hyperlinked from our website is incorporated into this Form 10-K.</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certain information regarding our executive officers, their positions and their ages.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314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r>
      <w:tr>
        <w:trPr>
          <w:trHeight w:val="398"/>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2"/>
          </w:tcPr>
          <w:p>
            <w:pPr>
              <w:jc w:val="center"/>
              <w:ind w:right="294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200" w:type="dxa"/>
            <w:vAlign w:val="bottom"/>
          </w:tcPr>
          <w:p>
            <w:pPr>
              <w:spacing w:after="0"/>
              <w:rPr>
                <w:sz w:val="24"/>
                <w:szCs w:val="24"/>
                <w:color w:val="auto"/>
              </w:rPr>
            </w:pPr>
          </w:p>
        </w:tc>
        <w:tc>
          <w:tcPr>
            <w:tcW w:w="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Age</w:t>
            </w:r>
          </w:p>
        </w:tc>
      </w:tr>
      <w:tr>
        <w:trPr>
          <w:trHeight w:val="39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Brager</w:t>
            </w:r>
          </w:p>
        </w:tc>
        <w:tc>
          <w:tcPr>
            <w:tcW w:w="76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Chief Executive Officer of the Company and the Bank</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Allen Nicholson</w:t>
            </w:r>
          </w:p>
        </w:tc>
        <w:tc>
          <w:tcPr>
            <w:tcW w:w="76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Chief Financial Officer of the Company and Executive Vice President and Chief Financial Officer of</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Bank</w:t>
            </w:r>
          </w:p>
        </w:tc>
        <w:tc>
          <w:tcPr>
            <w:tcW w:w="500" w:type="dxa"/>
            <w:vAlign w:val="bottom"/>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F. Farnsworth</w:t>
            </w:r>
          </w:p>
        </w:tc>
        <w:tc>
          <w:tcPr>
            <w:tcW w:w="76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Credit Officer of the Bank</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C. Harvey</w:t>
            </w:r>
          </w:p>
        </w:tc>
        <w:tc>
          <w:tcPr>
            <w:tcW w:w="76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Operations Officer of the Bank</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 Wohl</w:t>
            </w:r>
          </w:p>
        </w:tc>
        <w:tc>
          <w:tcPr>
            <w:tcW w:w="76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Yamynn DeAngelis</w:t>
            </w:r>
          </w:p>
        </w:tc>
        <w:tc>
          <w:tcPr>
            <w:tcW w:w="76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Risk Officer</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64</w:t>
            </w:r>
          </w:p>
        </w:tc>
      </w:tr>
    </w:tbl>
    <w:p>
      <w:pPr>
        <w:spacing w:after="0" w:line="155" w:lineRule="exact"/>
        <w:rPr>
          <w:sz w:val="20"/>
          <w:szCs w:val="20"/>
          <w:color w:val="auto"/>
        </w:rPr>
      </w:pPr>
    </w:p>
    <w:p>
      <w:pPr>
        <w:ind w:left="120" w:right="60" w:firstLine="5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Brager </w:t>
      </w:r>
      <w:r>
        <w:rPr>
          <w:rFonts w:ascii="Times New Roman" w:cs="Times New Roman" w:eastAsia="Times New Roman" w:hAnsi="Times New Roman"/>
          <w:sz w:val="18"/>
          <w:szCs w:val="18"/>
          <w:color w:val="auto"/>
        </w:rPr>
        <w:t>was appointed Chief Executive Officer of the Company and the Bank on March 16, 2020. Mr. Brager’s appointment followed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announced retirement of Christopher D. Myers, the Company’s President and Chief Executive Officer, effective as of March 15, 2020. In addition, Mr. Brager was appointed to the Board of Directors of CVB and the Bank as of March 16, 2020. Mr. Brager assumed the position of Executive Vice President and Sales Division Manager of the Bank on November 22, 2010. From 2007 to 2010, he served as Senior Vice President and Regional Manager of the Central Valley Region for the Bank. From 2003 to 2007, he served as Senior Vice President and Manager of the Fresno Business Financial Center for the Bank. From 1997 to 2003, Mr. Brager held management positions with Westamerica Bank.</w:t>
      </w:r>
    </w:p>
    <w:p>
      <w:pPr>
        <w:spacing w:after="0" w:line="155" w:lineRule="exact"/>
        <w:rPr>
          <w:sz w:val="20"/>
          <w:szCs w:val="20"/>
          <w:color w:val="auto"/>
        </w:rPr>
      </w:pPr>
    </w:p>
    <w:p>
      <w:pPr>
        <w:ind w:left="120" w:right="160"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Nicholson </w:t>
      </w:r>
      <w:r>
        <w:rPr>
          <w:rFonts w:ascii="Times New Roman" w:cs="Times New Roman" w:eastAsia="Times New Roman" w:hAnsi="Times New Roman"/>
          <w:sz w:val="18"/>
          <w:szCs w:val="18"/>
          <w:color w:val="auto"/>
        </w:rPr>
        <w:t>was appointed Chief Financial Officer of the Company and Executive Vice President and Chief Financial Officer of the Bank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4, 2016. Previously, Mr. Nicholson served as Executive Vice President and Chief Financial Officer of Pacific Premier Bank and its holding company, Pacific Premier Bancorp Inc. from June of 2015 to May of 2016, and from 2008 to 2014, Mr. Nicholson was Chief Financial Officer of 1st Enterprise Bank. From 2005 to 2008, he was the Chief Financial Officer of Mellon First Business Bank.</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560" w:firstLine="5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Farnsworth </w:t>
      </w:r>
      <w:r>
        <w:rPr>
          <w:rFonts w:ascii="Times New Roman" w:cs="Times New Roman" w:eastAsia="Times New Roman" w:hAnsi="Times New Roman"/>
          <w:sz w:val="18"/>
          <w:szCs w:val="18"/>
          <w:color w:val="auto"/>
        </w:rPr>
        <w:t>was appointed Executive Vice President and Chief Credit Officer of the Bank on July 18, 2016. Prior to his appointment,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Farnsworth was Executive Vice President, Global Risk Management, and National CRE Risk Executive at BBVA Compass. Previously, Mr. Farnsworth held senior credit management positions with US Bank and AmSouth.</w:t>
      </w:r>
    </w:p>
    <w:p>
      <w:pPr>
        <w:spacing w:after="0" w:line="146" w:lineRule="exact"/>
        <w:rPr>
          <w:sz w:val="20"/>
          <w:szCs w:val="20"/>
          <w:color w:val="auto"/>
        </w:rPr>
      </w:pPr>
    </w:p>
    <w:p>
      <w:pPr>
        <w:jc w:val="both"/>
        <w:ind w:left="120" w:right="240" w:firstLine="5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Harvey </w:t>
      </w:r>
      <w:r>
        <w:rPr>
          <w:rFonts w:ascii="Times New Roman" w:cs="Times New Roman" w:eastAsia="Times New Roman" w:hAnsi="Times New Roman"/>
          <w:sz w:val="18"/>
          <w:szCs w:val="18"/>
          <w:color w:val="auto"/>
        </w:rPr>
        <w:t>assumed the position of Executive Vice President and Chief Operations Officer of the Bank on December 31, 2009. From 2000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2008, he served as Senior Vice President and Operations Manager at Bank of the West. From 2008 to 2009 he served as Executive Vice President and Commercial and Treasury Services Manager at Bank of the West.</w:t>
      </w:r>
    </w:p>
    <w:p>
      <w:pPr>
        <w:spacing w:after="0" w:line="133" w:lineRule="exact"/>
        <w:rPr>
          <w:sz w:val="20"/>
          <w:szCs w:val="20"/>
          <w:color w:val="auto"/>
        </w:rPr>
      </w:pPr>
    </w:p>
    <w:p>
      <w:pPr>
        <w:jc w:val="both"/>
        <w:ind w:left="120" w:right="440"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Wohl </w:t>
      </w:r>
      <w:r>
        <w:rPr>
          <w:rFonts w:ascii="Times New Roman" w:cs="Times New Roman" w:eastAsia="Times New Roman" w:hAnsi="Times New Roman"/>
          <w:sz w:val="18"/>
          <w:szCs w:val="18"/>
          <w:color w:val="auto"/>
        </w:rPr>
        <w:t>was initially appointed Executive Vice President and General Counsel of the Company and the Bank on October 11, 2011, and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rejoined the Company and the Bank in the same position on July 10, 2017 after a one-year hiatus at another financial institution. Prior to his initial appointment in 2011, Mr. Wohl served in senior business and legal roles at Indymac Bank, the law firm of Morrison &amp; Foerster, and the U.S. Department of State.</w:t>
      </w:r>
    </w:p>
    <w:p>
      <w:pPr>
        <w:spacing w:after="0" w:line="139" w:lineRule="exact"/>
        <w:rPr>
          <w:sz w:val="20"/>
          <w:szCs w:val="20"/>
          <w:color w:val="auto"/>
        </w:rPr>
      </w:pPr>
    </w:p>
    <w:p>
      <w:pPr>
        <w:ind w:left="120" w:firstLine="5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Ms. DeAngelis </w:t>
      </w:r>
      <w:r>
        <w:rPr>
          <w:rFonts w:ascii="Times New Roman" w:cs="Times New Roman" w:eastAsia="Times New Roman" w:hAnsi="Times New Roman"/>
          <w:sz w:val="18"/>
          <w:szCs w:val="18"/>
          <w:color w:val="auto"/>
        </w:rPr>
        <w:t>assumed the position of Executive Vice President and Chief Risk Officer of the Bank on January 5, 2009. From 2006 to 2008,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Executive Vice President and Service Division Manager for the Bank. From 1995 to 2005, she served as Senior Vice President and Division Service Manager for the Bank.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378" w:lineRule="exact"/>
        <w:rPr>
          <w:sz w:val="20"/>
          <w:szCs w:val="20"/>
          <w:color w:val="auto"/>
        </w:rPr>
      </w:pPr>
    </w:p>
    <w:p>
      <w:pPr>
        <w:ind w:left="120" w:firstLine="551"/>
        <w:spacing w:after="0" w:line="258" w:lineRule="auto"/>
        <w:rPr>
          <w:sz w:val="20"/>
          <w:szCs w:val="20"/>
          <w:color w:val="auto"/>
        </w:rPr>
      </w:pPr>
      <w:r>
        <w:rPr>
          <w:rFonts w:ascii="Times New Roman" w:cs="Times New Roman" w:eastAsia="Times New Roman" w:hAnsi="Times New Roman"/>
          <w:sz w:val="18"/>
          <w:szCs w:val="18"/>
          <w:color w:val="auto"/>
        </w:rPr>
        <w:t>Risk Factors That May Affect Future Results — Together with the other information on the risks we face and our management of risk contained in this Annual Report or in our other SEC filings, the following presents significant risks which may affect us. Events or circumstances arising from one or more of these risks could adversely affect our business, financial condition, operating results and prospects and the value and price of our common stock could decline. The risks identified below are not intended to be a comprehensive list of all risks we face, and additional risks that we may currently view as not material may also impair our business operations and results.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the COVID-19 Pandemic</w:t>
      </w:r>
    </w:p>
    <w:p>
      <w:pPr>
        <w:spacing w:after="0" w:line="198" w:lineRule="exact"/>
        <w:rPr>
          <w:sz w:val="20"/>
          <w:szCs w:val="20"/>
          <w:color w:val="auto"/>
        </w:rPr>
      </w:pPr>
    </w:p>
    <w:p>
      <w:pPr>
        <w:ind w:left="120" w:right="20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significantly impacted the banking industry and our business. The ultimate impact on our business and financial results will depend on future developments, which are highly uncertain and cannot be predicted, including the scope and duration of the pandemic and actions taken by governmental authorities in response to the pandemic.</w:t>
      </w:r>
    </w:p>
    <w:p>
      <w:pPr>
        <w:spacing w:after="0" w:line="134" w:lineRule="exact"/>
        <w:rPr>
          <w:sz w:val="20"/>
          <w:szCs w:val="20"/>
          <w:color w:val="auto"/>
        </w:rPr>
      </w:pPr>
    </w:p>
    <w:p>
      <w:pPr>
        <w:ind w:left="120" w:firstLine="551"/>
        <w:spacing w:after="0" w:line="254" w:lineRule="auto"/>
        <w:rPr>
          <w:sz w:val="20"/>
          <w:szCs w:val="20"/>
          <w:color w:val="auto"/>
        </w:rPr>
      </w:pPr>
      <w:r>
        <w:rPr>
          <w:rFonts w:ascii="Times New Roman" w:cs="Times New Roman" w:eastAsia="Times New Roman" w:hAnsi="Times New Roman"/>
          <w:sz w:val="18"/>
          <w:szCs w:val="18"/>
          <w:color w:val="auto"/>
        </w:rPr>
        <w:t>The COVID-19 pandemic has negatively impacted the global, U.S., California and local economies, disrupted supply chains, lowered equity market valuations, created significant volatility and disruption in financial markets, and sharply increased unemployment levels. In addition, the pandemic has resulted in temporary closures of many businesses and the institution of social distancing and sheltering in place requirements in many states and communities, including in California and the principal counties and cities in which our banking centers are located. Our operations, like those of other financial institutions that operate in our markets, are significantly influenced by economic conditions in California, including the strength of the real estate market and business conditions in the industries to which we lend or from which we gather deposits. The COVID-19 pandemic has resulted in a substantial decline in the revenues of many business sectors as well as in commercial and residential property sales and construction activities. As a result, the demand for our products and services has been, and may continue to be, significantly impacted.</w:t>
      </w:r>
    </w:p>
    <w:p>
      <w:pPr>
        <w:spacing w:after="0" w:line="151" w:lineRule="exact"/>
        <w:rPr>
          <w:sz w:val="20"/>
          <w:szCs w:val="20"/>
          <w:color w:val="auto"/>
        </w:rPr>
      </w:pPr>
    </w:p>
    <w:p>
      <w:pPr>
        <w:ind w:left="120" w:right="40" w:firstLine="551"/>
        <w:spacing w:after="0" w:line="272" w:lineRule="auto"/>
        <w:rPr>
          <w:sz w:val="20"/>
          <w:szCs w:val="20"/>
          <w:color w:val="auto"/>
        </w:rPr>
      </w:pPr>
      <w:r>
        <w:rPr>
          <w:rFonts w:ascii="Times New Roman" w:cs="Times New Roman" w:eastAsia="Times New Roman" w:hAnsi="Times New Roman"/>
          <w:sz w:val="17"/>
          <w:szCs w:val="17"/>
          <w:color w:val="auto"/>
        </w:rPr>
        <w:t>Furthermore, the pandemic could further influence the recognition of credit losses in our loan portfolios and further increase our allowance for credit losses, particularly as many businesses remain closed or partially open. Our customers could be expected to draw further on their lines of credit or to seek deferments of scheduled loan payments to help mitigate the effects of lost revenues. We implemented CECL, for determining our overall provision for credit losses, at the beginning of the first quarter of 2020. For the year ended December 31, 2020, our allowance for credit losses increased by $23.5 million in provision for credit losses, primarily due to the forecasted impact of COVID-19 on certain economic variables that may cause distress to our loan portfolios. In addition, through January 15, 2021 we have temporary payment deferments of interest or of principal and interest to customers for six loans, with a gross balance of $10 million, or 0.12% of our total loan portfolio at December 31, 2020. Depending on the scope and duration of the COVID-19 pandemic, we believe there is a possibility that increased provisions for credit losses could prove necessary in the future.</w:t>
      </w:r>
    </w:p>
    <w:p>
      <w:pPr>
        <w:spacing w:after="0" w:line="145" w:lineRule="exact"/>
        <w:rPr>
          <w:sz w:val="20"/>
          <w:szCs w:val="20"/>
          <w:color w:val="auto"/>
        </w:rPr>
      </w:pPr>
    </w:p>
    <w:p>
      <w:pPr>
        <w:ind w:left="120" w:right="40" w:firstLine="551"/>
        <w:spacing w:after="0" w:line="254" w:lineRule="auto"/>
        <w:rPr>
          <w:sz w:val="20"/>
          <w:szCs w:val="20"/>
          <w:color w:val="auto"/>
        </w:rPr>
      </w:pPr>
      <w:r>
        <w:rPr>
          <w:rFonts w:ascii="Times New Roman" w:cs="Times New Roman" w:eastAsia="Times New Roman" w:hAnsi="Times New Roman"/>
          <w:sz w:val="18"/>
          <w:szCs w:val="18"/>
          <w:color w:val="auto"/>
        </w:rPr>
        <w:t>Similarly, because of changing economic and market conditions affecting bond issuers, we may be required to recognize credit losses in future periods on the securities we hold as well as reductions in other comprehensive income. Our business operations may also be disrupted if significant or critical portions of our workforce or managers are unable to work effectively, including because of illness, quarantines, government actions, or other restrictions in connection with the pandemic. In response to the pandemic, and to comply with or follow various government recommendations or mandates, we have also suspended certain real property foreclosure actions and sales, and in certain instances, we are providing fee waivers, payment deferrals, and other expanded assistance for our business and mortgage customers. The extent to which the COVID-19 pandemic impacts our business, results of operations, and financial condition, as well as our regulatory capital and liquidity ratios, will depend on future developments, which are highly uncertain and cannot be predicted, including the scope and duration of the pandemic and actions taken by governmental authorities and other third parties in response to the pandemic.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bank has elected to participate as a lender in the Small Business Administration’s Paycheck Protection Program (PPP) and to register as an Eligible Lender under the Federal Reserve’s Main Street Lending Program (MSLP), and has accordingly become subject to a number of significant risks applicable to lenders under the PPP and MSLP, respectively.</w:t>
      </w:r>
    </w:p>
    <w:p>
      <w:pPr>
        <w:spacing w:after="0" w:line="148" w:lineRule="exact"/>
        <w:rPr>
          <w:sz w:val="20"/>
          <w:szCs w:val="20"/>
          <w:color w:val="auto"/>
        </w:rPr>
      </w:pPr>
    </w:p>
    <w:p>
      <w:pPr>
        <w:ind w:left="120" w:firstLine="551"/>
        <w:spacing w:after="0" w:line="252" w:lineRule="auto"/>
        <w:rPr>
          <w:sz w:val="20"/>
          <w:szCs w:val="20"/>
          <w:color w:val="auto"/>
        </w:rPr>
      </w:pPr>
      <w:r>
        <w:rPr>
          <w:rFonts w:ascii="Times New Roman" w:cs="Times New Roman" w:eastAsia="Times New Roman" w:hAnsi="Times New Roman"/>
          <w:sz w:val="18"/>
          <w:szCs w:val="18"/>
          <w:color w:val="auto"/>
        </w:rPr>
        <w:t>As one set of responses to the COVID-19 pandemic, our federal, state and local governments have promulgated a wide variety of laws, regulations, executive orders and programs designed to ameliorate the severe and widespread economic distress caused by the mandatory closings of many businesses throughout the State of California and counties in which we operate. One such program is the PPP enacted under the federal CARES Act. This program is designed, among other things, to provide employee payroll maintenance support for small and medium-sized businesses throughout the United States, including in the State of California, through loans made by authorized lenders and guaranteed by the federal Small Business Administration (SBA). Because the Company is an authorized SBA lender and our primary customer base consists of small and medium-sized businesses, the Company has actively participated in the PPP. Including the second round of funding, after legislation passed on April 24, 2020, we originated and funded approximately 4,100 PPP loans totaling approximately $1.10 billion, of which $883.0 million was outstanding at December 31, 2020. On January 13, 2021, the SBA reopened the PPP for Second Draw loans to small businesses and non-profit organizations that did receive a loan through the initial PPP phase. At least $25 billion has been set aside for Second Draw PPP loans to eligible borrowers with a maximum of 10 employees or for loans of $250,000 or less to eligible borrowers in low or moderate income neighborhoods. Generally speaking, businesses with more than 300 employees and/or less than a 25% reduction in gross receipts between comparable quarters in 2019 and 2020 are not eligible for Second Draw loans. Further, maximum loan amounts have been increased for accommodation and food service businesses. Recently, the Bank began accepting applications for the second round of PPP loans. As of January 25, 2021, we have received approximately 1,400 applications totaling $340 million.</w:t>
      </w:r>
    </w:p>
    <w:p>
      <w:pPr>
        <w:spacing w:after="0" w:line="157"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Under interim final regulations promulgated by the SBA, PPP lenders are entitled to rely on borrower certifications with respect to issues such as program eligibility and eligible loan amounts, and PPP loans are designed to be subsequently forgivable, in whole or part, if certain additional criteria are met by the borrower with respect to employee payroll maintenance. However, in view of the fact that the PPP was by design intended to support economically distressed businesses, the SBA’s guarantee of PPP loan amounts to participating lenders is a critical feature of the program. In this regard, because the PPP was quickly implemented into operation and the SBA’s interim regulations have been repeatedly revised and are continuing to evolve, there are significant risks to the Company’s participation in the PPP, including whether certain borrowers will ultimately be found to have been eligible for PPP loans, whether eligible PPP loan amounts for certain borrowers were correctly calculated, whether certain PPP loans will ultimately be determined to be forgivable, and if not, whether the SBA’s guarantee will continue to apply to any unforgiven PPP loan amounts. As of January 15, 2021, approximately 1,100 loans, representing nearly $260 million, were submitted to the SBA and granted forgiveness. To date, our customers who have had their forgiveness requests reviewed by the SBA have received 100% loan forgiveness.</w:t>
      </w:r>
    </w:p>
    <w:p>
      <w:pPr>
        <w:spacing w:after="0" w:line="154" w:lineRule="exact"/>
        <w:rPr>
          <w:sz w:val="20"/>
          <w:szCs w:val="20"/>
          <w:color w:val="auto"/>
        </w:rPr>
      </w:pPr>
    </w:p>
    <w:p>
      <w:pPr>
        <w:ind w:left="120" w:right="40" w:firstLine="551"/>
        <w:spacing w:after="0" w:line="254" w:lineRule="auto"/>
        <w:rPr>
          <w:sz w:val="20"/>
          <w:szCs w:val="20"/>
          <w:color w:val="auto"/>
        </w:rPr>
      </w:pPr>
      <w:r>
        <w:rPr>
          <w:rFonts w:ascii="Times New Roman" w:cs="Times New Roman" w:eastAsia="Times New Roman" w:hAnsi="Times New Roman"/>
          <w:sz w:val="18"/>
          <w:szCs w:val="18"/>
          <w:color w:val="auto"/>
        </w:rPr>
        <w:t>Another program enacted pursuant to the federal CARES Act and designed to help provide support to small and medium-sized businesses and their employees throughout the U.S., including California, is the Federal Reserve’s MSLP. The Company has elected to participate as an Eligible Lender under at least three sub-facilities of the MSLP, including the Main Street New Loan Facility, the Main Street Priority Loan Facility and the Nonprofit Organization New Loan Facility. Each of these lending facilities offers different terms and conditions, including with respect to borrower eligibility criteria, maximum loan amounts, whether loan proceeds can be utilized to refinance borrower indebtedness to other lenders, contractual</w:t>
      </w:r>
    </w:p>
    <w:p>
      <w:pPr>
        <w:spacing w:after="0" w:line="3"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priority, non-subordination and collateralization requirements, etc. Eligible Lenders may extend new MSLP loans to eligible borrowers and sell a 95% participation in each MSLP loan to a special purpose vehicle established by the Federal Reserve Bank of Boston (“Main Street SPV”), subject to numerous borrower and lender certifications and covenants and the terms of a Loan Participation Agreement and a Servicing Agreement.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In contrast to the PPP, loans under the MSLP are not forgivable, carry an adjustable rate of interest at LIBOR (one or three month) plus 300 basis points, require the payment of specified fees, and must be repaid in full at the end of a five-year maturity period, with principal repayment commencing after a deferment period consisting of the first two years following loan origination. In addition, Eligible Lenders must retain five percent of each MSLP loan and continue to service such loan until it matures or the Main Street SPV sells all of its 95% participation interest. In this regard, because the MSLP is a newly constituted program without any established operating history, there are significant risks to the Company’s participation in the MSLP, including whether certain borrowers will ultimately be found to have been eligible for MSLP loans, whether the numerous required lender and borrower certifications will be found to have been made in good faith, whether the borrower will remain in compliance with the terms and conditions of its MSLP loan throughout its applicable term, whether any given lender or MSLP loan will be found to have been in compliance with the terms of the Main Street SPV’s Loan Participation Agreement and/or Servicing Agreement, and whether any individual MSLP loan will be repaid by the borrower on schedule, and, if not, whether the Main Street SPV will seek recourse against the originating lender. As of December 31, 2020, we originated three loans under this program.</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Credit Risks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allowance for credit losses may not be sufficient to cover actual losses</w:t>
      </w:r>
    </w:p>
    <w:p>
      <w:pPr>
        <w:spacing w:after="0" w:line="189"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A significant source of risk arises from the possibility that we could sustain losses because borrowers, guarantors, and related parties may fail to perform in accordance with the terms of their loans and leases. The underwriting and credit monitoring policies and procedures that we have adopted to address this risk may not prevent unexpected losses that could have a material adverse effect on our business, financial condition, results of operations and cash flows. We maintain an allowance for credit losses to provide for loan and lease defaults and non-performance, which also includes increases for new loan growth. While we believe that our allowance for credit losses is appropriate to cover expected losses, we cannot assure you that we will not increase the allowance for credit losses further or that regulators will not require us to increase this allowance.</w:t>
      </w:r>
    </w:p>
    <w:p>
      <w:pPr>
        <w:spacing w:after="0" w:line="156" w:lineRule="exact"/>
        <w:rPr>
          <w:sz w:val="20"/>
          <w:szCs w:val="20"/>
          <w:color w:val="auto"/>
        </w:rPr>
      </w:pPr>
    </w:p>
    <w:p>
      <w:pPr>
        <w:ind w:left="12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make additional provisions for credit losses and charge-off additional loans in the future, which could adversely affect our results of operations</w:t>
      </w:r>
    </w:p>
    <w:p>
      <w:pPr>
        <w:spacing w:after="0" w:line="118" w:lineRule="exact"/>
        <w:rPr>
          <w:sz w:val="20"/>
          <w:szCs w:val="20"/>
          <w:color w:val="auto"/>
        </w:rPr>
      </w:pPr>
    </w:p>
    <w:p>
      <w:pPr>
        <w:ind w:left="120" w:right="20" w:firstLine="551"/>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2020, we recorded $23.5 million in loan loss provision. During 2020 we experienced charge-offs of $666,000 and recoveries of $358,000. Because we have a significant amount of real estate loans, decreases in real estate values could adversely affect the value of property used as collateral. As of December 31, 2020, we had $5.50 billion in commercial real estate loans, $85.1 million in construction loans, and $270.5 million in single-family residential mortgages. Although the U.S. economy has emerged from a prior period of severe recession followed by slower than normal growth, business activity and real estate values continue to grow more slowly than in past economic recoveries, and may not recover fully or could again decline from current levels, and this in turn could affect the ability of our loan customers to service their debts, including those customers whose loans are secured by commercial or residential real estate. This, in turn, could result in loan charge-offs and provisions for credit losses in the future, which could have a material adverse effect on our financial condition, net income and capital. In addition, the Federal Reserve Board and other government officials have expressed concerns about banks’ concentration in commercial real estate lending and the ability of commercial real estate borrowers to perform pursuant to the terms of their loans.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Dairy &amp; livestock and agribusiness lending presents unique credit risks.</w:t>
      </w:r>
    </w:p>
    <w:p>
      <w:pPr>
        <w:spacing w:after="0" w:line="202" w:lineRule="exact"/>
        <w:rPr>
          <w:sz w:val="20"/>
          <w:szCs w:val="20"/>
          <w:color w:val="auto"/>
        </w:rPr>
      </w:pPr>
    </w:p>
    <w:p>
      <w:pPr>
        <w:ind w:left="120" w:firstLine="551"/>
        <w:spacing w:after="0" w:line="261" w:lineRule="auto"/>
        <w:rPr>
          <w:sz w:val="20"/>
          <w:szCs w:val="20"/>
          <w:color w:val="auto"/>
        </w:rPr>
      </w:pPr>
      <w:r>
        <w:rPr>
          <w:rFonts w:ascii="Times New Roman" w:cs="Times New Roman" w:eastAsia="Times New Roman" w:hAnsi="Times New Roman"/>
          <w:sz w:val="18"/>
          <w:szCs w:val="18"/>
          <w:color w:val="auto"/>
        </w:rPr>
        <w:t>As of December 31, 2020, approximately 4.4% of our total gross loan portfolio was comprised of dairy &amp; livestock and agribusiness loans. As of December 31, 2020, we had $361.1 million in dairy &amp; livestock and agribusiness loans, including $320.1 million in dairy &amp; livestock loans and</w:t>
      </w:r>
    </w:p>
    <w:p>
      <w:pPr>
        <w:jc w:val="both"/>
        <w:ind w:left="120" w:right="180"/>
        <w:spacing w:after="0" w:line="255" w:lineRule="auto"/>
        <w:rPr>
          <w:sz w:val="20"/>
          <w:szCs w:val="20"/>
          <w:color w:val="auto"/>
        </w:rPr>
      </w:pPr>
      <w:r>
        <w:rPr>
          <w:rFonts w:ascii="Times New Roman" w:cs="Times New Roman" w:eastAsia="Times New Roman" w:hAnsi="Times New Roman"/>
          <w:sz w:val="18"/>
          <w:szCs w:val="18"/>
          <w:color w:val="auto"/>
        </w:rPr>
        <w:t>$41.0 million in agribusiness loans. Repayment of dairy &amp; livestock and agribusiness loans depends primarily on the successful raising and feeding of livestock or planting and harvest of crops and marketing the harvested commodity (including milk production). Collateral securing these loans may be illiquid. In addition, the limited purpose of some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agricultural-related collateral affects credit risk because such collateral may have limited or no other uses to support values when loan repayment problems emerge. Our dairy &amp; livestock and agribusiness lending staff have specific technical expertise that we depend on to mitigate our lending risks for these loans and we may have difficulty retaining or replacing such individuals. Many external factors can impact our agricultural borrowers’ ability to repay their loans, including adverse weather conditions, water issues, commodity price volatility (i.e. milk prices), diseases, land values, production costs, changing government regulations and subsidy programs, changing tax treatment, technological changes, labor market shortages/increased wages, and changes in consumers’ preferences, over which our borrowers may have no control. These factors, as well as recent volatility in certain commodity prices, including milk prices, could adversely impact the ability of those to whom we have made dairy &amp; livestock and agribusiness loans to perform under the terms of their borrowing arrangements with us, which in turn could result in credit losses and adversely affect our business, financial condition and results of operations.</w:t>
      </w:r>
    </w:p>
    <w:p>
      <w:pPr>
        <w:spacing w:after="0" w:line="157" w:lineRule="exact"/>
        <w:rPr>
          <w:sz w:val="20"/>
          <w:szCs w:val="20"/>
          <w:color w:val="auto"/>
        </w:rPr>
      </w:pPr>
    </w:p>
    <w:p>
      <w:pPr>
        <w:ind w:left="120" w:right="30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loan portfolio is predominantly secured by real estate in California and thus we have a higher degree of risk from a downturn in our real estate markets</w:t>
      </w:r>
    </w:p>
    <w:p>
      <w:pPr>
        <w:spacing w:after="0" w:line="118" w:lineRule="exact"/>
        <w:rPr>
          <w:sz w:val="20"/>
          <w:szCs w:val="20"/>
          <w:color w:val="auto"/>
        </w:rPr>
      </w:pPr>
    </w:p>
    <w:p>
      <w:pPr>
        <w:ind w:left="120" w:right="20" w:firstLine="551"/>
        <w:spacing w:after="0" w:line="253" w:lineRule="auto"/>
        <w:rPr>
          <w:sz w:val="20"/>
          <w:szCs w:val="20"/>
          <w:color w:val="auto"/>
        </w:rPr>
      </w:pPr>
      <w:r>
        <w:rPr>
          <w:rFonts w:ascii="Times New Roman" w:cs="Times New Roman" w:eastAsia="Times New Roman" w:hAnsi="Times New Roman"/>
          <w:sz w:val="18"/>
          <w:szCs w:val="18"/>
          <w:color w:val="auto"/>
        </w:rPr>
        <w:t>A renewed downturn in our real estate markets could hurt our business because many of our loans are secured by real estate. Real estate values and real estate markets are generally affected by changes in national, regional or local economic conditions, fluctuations in interest rates and the availability of loans to potential purchasers, changes in tax laws and other governmental statutes, regulations and policies, and acts of nature, such as earthquakes, prolonged drought and disasters particular to California. Substantially all of our real estate collateral is located in the state of California. If real estate values, including values of land held for development, should again start to decline, the value of real estate collateral securing our loans could be significantly reduced. Our ability to recover on defaulted loans by foreclosing and selling the real estate collateral would then be diminished and we would be more likely to suffer losses on defaulted loans. Commercial real estate loans typically involve large balances to single borrowers or a group of related borrowers. Since payments on these loans are often dependent on the successful operation or management of the properties, as well as the business and financial condition of the borrower(s), repayment of such loans may be subject to adverse conditions in the real estate market, adverse economic conditions or changes in applicable government regulations.</w:t>
      </w:r>
    </w:p>
    <w:p>
      <w:pPr>
        <w:spacing w:after="0" w:line="154" w:lineRule="exact"/>
        <w:rPr>
          <w:sz w:val="20"/>
          <w:szCs w:val="20"/>
          <w:color w:val="auto"/>
        </w:rPr>
      </w:pPr>
    </w:p>
    <w:p>
      <w:pPr>
        <w:ind w:left="120" w:right="340" w:firstLine="551"/>
        <w:spacing w:after="0" w:line="266" w:lineRule="auto"/>
        <w:rPr>
          <w:sz w:val="20"/>
          <w:szCs w:val="20"/>
          <w:color w:val="auto"/>
        </w:rPr>
      </w:pPr>
      <w:r>
        <w:rPr>
          <w:rFonts w:ascii="Times New Roman" w:cs="Times New Roman" w:eastAsia="Times New Roman" w:hAnsi="Times New Roman"/>
          <w:sz w:val="18"/>
          <w:szCs w:val="18"/>
          <w:color w:val="auto"/>
        </w:rPr>
        <w:t>Additional risks associated with our real estate construction loan portfolio include failure of developers and/or contractors to complete construction on a timely basis or at all, market deterioration during construction, cost overruns and failure to sell or lease the security underlying the construction loans so as to generate the cash flow anticipated by our borrower.</w:t>
      </w:r>
    </w:p>
    <w:p>
      <w:pPr>
        <w:spacing w:after="0" w:line="149" w:lineRule="exact"/>
        <w:rPr>
          <w:sz w:val="20"/>
          <w:szCs w:val="20"/>
          <w:color w:val="auto"/>
        </w:rPr>
      </w:pPr>
    </w:p>
    <w:p>
      <w:pPr>
        <w:jc w:val="both"/>
        <w:ind w:left="120" w:right="340" w:firstLine="551"/>
        <w:spacing w:after="0" w:line="266" w:lineRule="auto"/>
        <w:rPr>
          <w:sz w:val="20"/>
          <w:szCs w:val="20"/>
          <w:color w:val="auto"/>
        </w:rPr>
      </w:pPr>
      <w:r>
        <w:rPr>
          <w:rFonts w:ascii="Times New Roman" w:cs="Times New Roman" w:eastAsia="Times New Roman" w:hAnsi="Times New Roman"/>
          <w:sz w:val="18"/>
          <w:szCs w:val="18"/>
          <w:color w:val="auto"/>
        </w:rPr>
        <w:t>A decline in the economy may cause renewed declines in real estate values and increases in unemployment, which may result in higher than expected loan delinquencies or problem assets, a decline in demand for our products and services, or a lack of growth or decrease in deposits, which may cause us to incur losses, adversely affect our capital or hurt our business.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commercial real estate loan portfolio exposes us to risks that may be greater than the risks related to our other loans</w:t>
      </w:r>
    </w:p>
    <w:p>
      <w:pPr>
        <w:spacing w:after="0" w:line="189" w:lineRule="exact"/>
        <w:rPr>
          <w:sz w:val="20"/>
          <w:szCs w:val="20"/>
          <w:color w:val="auto"/>
        </w:rPr>
      </w:pPr>
    </w:p>
    <w:p>
      <w:pPr>
        <w:jc w:val="both"/>
        <w:ind w:left="120" w:right="80" w:firstLine="551"/>
        <w:spacing w:after="0" w:line="272" w:lineRule="auto"/>
        <w:rPr>
          <w:sz w:val="20"/>
          <w:szCs w:val="20"/>
          <w:color w:val="auto"/>
        </w:rPr>
      </w:pPr>
      <w:r>
        <w:rPr>
          <w:rFonts w:ascii="Times New Roman" w:cs="Times New Roman" w:eastAsia="Times New Roman" w:hAnsi="Times New Roman"/>
          <w:sz w:val="17"/>
          <w:szCs w:val="17"/>
          <w:color w:val="auto"/>
        </w:rPr>
        <w:t>Federal and state banking regulators are examining commercial real estate lending activity with heightened scrutiny and may require banks with higher levels of commercial real estate loans to implement more stringent underwriting, internal controls, risk management policies and portfolio stress testing, as well as possibly higher levels of allowances for losses and capital levels as a result of commercial real estate lending growth and exposures.</w:t>
      </w:r>
    </w:p>
    <w:p>
      <w:pPr>
        <w:spacing w:after="0" w:line="2" w:lineRule="exact"/>
        <w:rPr>
          <w:sz w:val="20"/>
          <w:szCs w:val="20"/>
          <w:color w:val="auto"/>
        </w:rPr>
      </w:pPr>
    </w:p>
    <w:p>
      <w:pPr>
        <w:jc w:val="both"/>
        <w:ind w:left="120" w:right="480"/>
        <w:spacing w:after="0" w:line="255" w:lineRule="auto"/>
        <w:rPr>
          <w:sz w:val="20"/>
          <w:szCs w:val="20"/>
          <w:color w:val="auto"/>
        </w:rPr>
      </w:pPr>
      <w:r>
        <w:rPr>
          <w:rFonts w:ascii="Times New Roman" w:cs="Times New Roman" w:eastAsia="Times New Roman" w:hAnsi="Times New Roman"/>
          <w:sz w:val="18"/>
          <w:szCs w:val="18"/>
          <w:color w:val="auto"/>
        </w:rPr>
        <w:t>Because a significant portion of our loan portfolio is comprised of commercial real estate loans, the banking regulators may require us to maintain higher levels of capital than we would otherwise be expected to maintain, which could limit our ability to leverage our capital and have a material adverse effect on our business, financial condition, results of operations and prospects.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 of environmental liabilities with respect to properties to which we take title</w:t>
      </w:r>
    </w:p>
    <w:p>
      <w:pPr>
        <w:spacing w:after="0" w:line="202" w:lineRule="exact"/>
        <w:rPr>
          <w:sz w:val="20"/>
          <w:szCs w:val="20"/>
          <w:color w:val="auto"/>
        </w:rPr>
      </w:pPr>
    </w:p>
    <w:p>
      <w:pPr>
        <w:ind w:left="120" w:right="20" w:firstLine="551"/>
        <w:spacing w:after="0" w:line="254" w:lineRule="auto"/>
        <w:rPr>
          <w:sz w:val="20"/>
          <w:szCs w:val="20"/>
          <w:color w:val="auto"/>
        </w:rPr>
      </w:pPr>
      <w:r>
        <w:rPr>
          <w:rFonts w:ascii="Times New Roman" w:cs="Times New Roman" w:eastAsia="Times New Roman" w:hAnsi="Times New Roman"/>
          <w:sz w:val="18"/>
          <w:szCs w:val="18"/>
          <w:color w:val="auto"/>
        </w:rPr>
        <w:t>In the course of our business, we may foreclose and take title to real estate, and could be subject to environmental liabilities with respect to these properties. While we will take steps to mitigate this risk, we may be held liable to a governmental entity or to third parties for property damage, personal injury, investigation and clean-up costs incurred by these parties in connection with environmental contamination, or we may be required to investigate or clean-up hazardous or toxic substances, or chemical releases at one or more properties. The costs associated with investigation or remediation activities could be substantial. In addition, while there are certain statutory protections afforded lenders who take title to property through foreclosure on a loan,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results of operations and prospects could be adversely affected.</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Interest Rate Risks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 risk could impair our ability to fund operations and jeopardize our financial condition</w:t>
      </w:r>
    </w:p>
    <w:p>
      <w:pPr>
        <w:spacing w:after="0" w:line="202" w:lineRule="exact"/>
        <w:rPr>
          <w:sz w:val="20"/>
          <w:szCs w:val="20"/>
          <w:color w:val="auto"/>
        </w:rPr>
      </w:pPr>
    </w:p>
    <w:p>
      <w:pPr>
        <w:ind w:left="120" w:right="80" w:firstLine="551"/>
        <w:spacing w:after="0" w:line="254" w:lineRule="auto"/>
        <w:rPr>
          <w:sz w:val="20"/>
          <w:szCs w:val="20"/>
          <w:color w:val="auto"/>
        </w:rPr>
      </w:pPr>
      <w:r>
        <w:rPr>
          <w:rFonts w:ascii="Times New Roman" w:cs="Times New Roman" w:eastAsia="Times New Roman" w:hAnsi="Times New Roman"/>
          <w:sz w:val="18"/>
          <w:szCs w:val="18"/>
          <w:color w:val="auto"/>
        </w:rPr>
        <w:t>Liquidity is essential to our business. An inability to raise funds through deposits, borrowings, the sale of loans and other sources could have a material adverse effect on our liquidity. Our access to funding sources in amounts adequate to finance our activities could be impaired by factors that affect us specifically or the financial services industry in general. Factors that could detrimentally impact our access to liquidity sources include a decrease in the level of our business activity due to a market downturn or adverse regulatory action against us. Our ability to acquire deposits or borrow could also be impaired by factors that are not specific to us, such as a severe disruption of the financial markets or negative views and expectations about the prospects for the financial services industry as a whole. Many if not all of these same factors could also significantly raise the cost of deposits to our Company and/or to the banking industry in general. This in turn could negatively affect the amount of interest we pay on our interest-bearing liabilities, which could have an adverse impact on our interest rate spread and profitability.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actions and commercial soundness of other financial institutions could affect our ability to engage in routine funding transactions</w:t>
      </w:r>
    </w:p>
    <w:p>
      <w:pPr>
        <w:spacing w:after="0" w:line="189" w:lineRule="exact"/>
        <w:rPr>
          <w:sz w:val="20"/>
          <w:szCs w:val="20"/>
          <w:color w:val="auto"/>
        </w:rPr>
      </w:pPr>
    </w:p>
    <w:p>
      <w:pPr>
        <w:ind w:left="120" w:firstLine="551"/>
        <w:spacing w:after="0" w:line="273" w:lineRule="auto"/>
        <w:rPr>
          <w:sz w:val="20"/>
          <w:szCs w:val="20"/>
          <w:color w:val="auto"/>
        </w:rPr>
      </w:pPr>
      <w:r>
        <w:rPr>
          <w:rFonts w:ascii="Times New Roman" w:cs="Times New Roman" w:eastAsia="Times New Roman" w:hAnsi="Times New Roman"/>
          <w:sz w:val="17"/>
          <w:szCs w:val="17"/>
          <w:color w:val="auto"/>
        </w:rPr>
        <w:t>Financial service institutions are interrelated as a result of trading, clearing, counterparty or other relationships. We have exposure to different industries and counterparties, and execute transactions with various counterparties in the financial industry, including brokers and dealers, commercial banks, investment banks, mutual funds, and other institutional clients. Defaults by financial services institutions, even rumors or questions about one or more financial institutions or the financial services industry in general, could lead to market wide liquidity problems and further, could lead to losses or defaults by the Company or other institutions. Many of these transactions expose us to credit risk in the event of default of the applicable counterparty or client. In addition, our credit risk may increase when the collateral held by us cannot be realized upon or is liquidated at prices not sufficient to recover the full amount of the loan or derivative exposure due to us. Any such losses could materially and adversely affect our consolidated financial statements.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could reduce the value of our investment securities holdings.</w:t>
      </w:r>
    </w:p>
    <w:p>
      <w:pPr>
        <w:spacing w:after="0" w:line="189" w:lineRule="exact"/>
        <w:rPr>
          <w:sz w:val="20"/>
          <w:szCs w:val="20"/>
          <w:color w:val="auto"/>
        </w:rPr>
      </w:pPr>
    </w:p>
    <w:p>
      <w:pPr>
        <w:ind w:left="120" w:right="60" w:firstLine="551"/>
        <w:spacing w:after="0" w:line="266" w:lineRule="auto"/>
        <w:rPr>
          <w:sz w:val="20"/>
          <w:szCs w:val="20"/>
          <w:color w:val="auto"/>
        </w:rPr>
      </w:pPr>
      <w:r>
        <w:rPr>
          <w:rFonts w:ascii="Times New Roman" w:cs="Times New Roman" w:eastAsia="Times New Roman" w:hAnsi="Times New Roman"/>
          <w:sz w:val="18"/>
          <w:szCs w:val="18"/>
          <w:color w:val="auto"/>
        </w:rPr>
        <w:t>The Bank maintains an investment portfolio consisting of various high quality liquid fixed-income securities. The total book value of the securities portfolio as of December 31, 2020 was $2.98 billion, of which $2.40 billion is available for sale. The nature of fixed-income securities is such that changes in market interest rates impact the value of these assets.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interest rate risk and variations in interest rates may negatively affect our financial performance</w:t>
      </w:r>
    </w:p>
    <w:p>
      <w:pPr>
        <w:spacing w:after="0" w:line="202"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A substantial portion of our income is derived from the differential or “spread” between the interest earned on loans, securities and other interest-earning assets, and the interest paid on deposits, borrowings and other interest-bearing liabilities. Because of the differences in the maturities and repricing characteristics of our interest-earning assets and interest-bearing liabilities, changes in interest rates do not produce equivalent changes in interest income earned on interest-earning assets and interest paid on interest-bearing liabilities. At December 31, 2020 our balance sheet was positioned with an asset sensitive bias over both a one and two-year horizon assuming no balance sheet growth, and as a result, our net interest margin tends to expand in a rising interest rate environment and decrease in a declining interest rate environment. Accordingly, fluctuations in interest rates could adversely affect our interest rate spread and, in turn, our profitability. Loan origination volumes may be affected by changes in market interest rates. In addition, in rising interest rate environments, loan repayment rates may decline and in falling interest rate environments, loan repayment rates may increase. In addition, in a rising interest rate environment, we may need to accelerate the pace of rate increases on our deposit accounts as compared to the pace of future increases in short-term market rates. Accordingly, changes in levels of market interest rates could materially and adversely affect our net interest spread, asset quality, as well as loan origination and prepayment volume.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the transition from LIBOR as a reference rate</w:t>
      </w:r>
    </w:p>
    <w:p>
      <w:pPr>
        <w:spacing w:after="0" w:line="189" w:lineRule="exact"/>
        <w:rPr>
          <w:sz w:val="20"/>
          <w:szCs w:val="20"/>
          <w:color w:val="auto"/>
        </w:rPr>
      </w:pPr>
    </w:p>
    <w:p>
      <w:pPr>
        <w:ind w:left="120" w:right="120" w:firstLine="551"/>
        <w:spacing w:after="0" w:line="256" w:lineRule="auto"/>
        <w:rPr>
          <w:sz w:val="20"/>
          <w:szCs w:val="20"/>
          <w:color w:val="auto"/>
        </w:rPr>
      </w:pPr>
      <w:r>
        <w:rPr>
          <w:rFonts w:ascii="Times New Roman" w:cs="Times New Roman" w:eastAsia="Times New Roman" w:hAnsi="Times New Roman"/>
          <w:sz w:val="18"/>
          <w:szCs w:val="18"/>
          <w:color w:val="auto"/>
        </w:rPr>
        <w:t>In 2017, the United Kingdom’s Financial Conduct Authority announced that after 2021 it would no longer compel banks to submit the rates required to calculate the London Interbank Offered Rate (“</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This announcement indicates that the continuation of LIBOR on the current basis cannot and will not be guaranteed after 2021. Consequently, at this time, it is not possible to predict whether and to what extent banks will continue to provide submissions for the calculation of LIBOR. Similarly, it is not possible to predict whether LIBOR will continue to be viewed as an acceptable market benchmark, what rate or rates may become accepted alternatives to LIBOR or what the effect of any such changes in views or alternatives may be on the markets for LIBOR-indexed financial instruments.</w:t>
      </w:r>
    </w:p>
    <w:p>
      <w:pPr>
        <w:spacing w:after="0" w:line="160" w:lineRule="exact"/>
        <w:rPr>
          <w:sz w:val="20"/>
          <w:szCs w:val="20"/>
          <w:color w:val="auto"/>
        </w:rPr>
      </w:pPr>
    </w:p>
    <w:p>
      <w:pPr>
        <w:ind w:left="120" w:right="20" w:firstLine="551"/>
        <w:spacing w:after="0" w:line="254" w:lineRule="auto"/>
        <w:rPr>
          <w:sz w:val="20"/>
          <w:szCs w:val="20"/>
          <w:color w:val="auto"/>
        </w:rPr>
      </w:pPr>
      <w:r>
        <w:rPr>
          <w:rFonts w:ascii="Times New Roman" w:cs="Times New Roman" w:eastAsia="Times New Roman" w:hAnsi="Times New Roman"/>
          <w:sz w:val="18"/>
          <w:szCs w:val="18"/>
          <w:color w:val="auto"/>
        </w:rPr>
        <w:t>We have a number of loans, derivative contracts, borrowings and other financial instruments with attributes that are either directly or indirectly dependent on LIBOR. The Company established a LIBOR Transition Task Force in 2020, which has inventoried our instruments that reflect exposure to LIBOR, created a framework to manage the transition and established a timeline for key decisions and actions to complete the transition from LIBOR in 2021. The transition from LIBOR could create additional costs and risk. Since proposed alternative rates are calculated differently, payments under contracts referencing new rates will differ from those referencing LIBOR. The transition could change our market risk profiles, requiring changes to risk and pricing models, valuation tools, product design and hedging strategies. Furthermore, failure to adequately manage this transition process with our customers could adversely impact our reputation. Although we are currently unable to assess what the ultimate impact of the transition from LIBOR will be, failure to adequately manage the transition could have a material adverse effect on our business, financial condition and results of operations.</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may adversely affect our performance</w:t>
      </w:r>
    </w:p>
    <w:p>
      <w:pPr>
        <w:spacing w:after="0" w:line="202" w:lineRule="exact"/>
        <w:rPr>
          <w:sz w:val="20"/>
          <w:szCs w:val="20"/>
          <w:color w:val="auto"/>
        </w:rPr>
      </w:pPr>
    </w:p>
    <w:p>
      <w:pPr>
        <w:jc w:val="both"/>
        <w:ind w:left="120" w:right="40" w:firstLine="551"/>
        <w:spacing w:after="0" w:line="289" w:lineRule="auto"/>
        <w:rPr>
          <w:sz w:val="20"/>
          <w:szCs w:val="20"/>
          <w:color w:val="auto"/>
        </w:rPr>
      </w:pPr>
      <w:r>
        <w:rPr>
          <w:rFonts w:ascii="Times New Roman" w:cs="Times New Roman" w:eastAsia="Times New Roman" w:hAnsi="Times New Roman"/>
          <w:sz w:val="17"/>
          <w:szCs w:val="17"/>
          <w:color w:val="auto"/>
        </w:rPr>
        <w:t>Our financial performance and profitability depend on our ability to manage past and possible future growth, including the significant growth we experienced following the acquisition of Community Bank. Future acquisitions and our continued growth may present operating, integration, regulatory, management and other issues that could have a material adverse effect on our business, financial condition, results of operations and cash flows.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occurrence of fraudulent activity, breaches or failures of our information security controls or cybersecurity-related incidents could have a material adverse effect on our business, financial condition and results of operations</w:t>
      </w:r>
    </w:p>
    <w:p>
      <w:pPr>
        <w:spacing w:after="0" w:line="132"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As a financial institution, we are susceptible to fraudulent activity, information security breaches and cybersecurity-related incidents that may be committed against us or our clients, including by our own employees, which may result in financial losses or increased costs to us or our clients, disclosure or misuse of our information or our client information, misappropriation of assets, privacy breaches against our clients, litigation, or damage to our reputation. Such fraudulent activity may take many forms, including check fraud, electronic fraud, wire fraud, on-line banking, takeover, phishing, social engineering and other dishonest acts. Information security breaches and cybersecurity-related incidents may include fraudulent or unauthorized access to systems used by us or our clients, denial or degradation of service attacks, and malware or other cyber-attacks. There continues to be a rise in electronic fraudulent activity, security breaches and cyber-attacks within the financial services industry, especially in the commercial banking sector due to cyber criminals targeting commercial bank accounts. In recent periods, several large corporations, including financial institutions, medical providers and retail companies, have suffered major data breaches, in some cases exposing not only confidential and proprietary corporate information, but also sensitive financial and other personal information of their customers and employees and subjecting them to potential fraudulent activity. Some of our clients may have been affected by these breaches, which increase their risks of identity theft, credit card fraud and other fraudulent activity that could involve their accounts with us.</w:t>
      </w:r>
    </w:p>
    <w:p>
      <w:pPr>
        <w:spacing w:after="0" w:line="149" w:lineRule="exact"/>
        <w:rPr>
          <w:sz w:val="20"/>
          <w:szCs w:val="20"/>
          <w:color w:val="auto"/>
        </w:rPr>
      </w:pPr>
    </w:p>
    <w:p>
      <w:pPr>
        <w:ind w:left="120" w:right="40" w:firstLine="551"/>
        <w:spacing w:after="0" w:line="253" w:lineRule="auto"/>
        <w:rPr>
          <w:sz w:val="20"/>
          <w:szCs w:val="20"/>
          <w:color w:val="auto"/>
        </w:rPr>
      </w:pPr>
      <w:r>
        <w:rPr>
          <w:rFonts w:ascii="Times New Roman" w:cs="Times New Roman" w:eastAsia="Times New Roman" w:hAnsi="Times New Roman"/>
          <w:sz w:val="18"/>
          <w:szCs w:val="18"/>
          <w:color w:val="auto"/>
        </w:rPr>
        <w:t>Information pertaining to us and our clients is maintained, and transactions are executed, such as our online banking or core systems on the networks and systems of ours, our clients and certain of our third party providers. The secure maintenance and transmission of confidential information, as well as execution of transactions over these systems, are essential to protect us and our clients against fraud and security breaches and to maintain our clients’ confidence. In addition, increases in criminal activity levels and sophistication, advances in computer capabilities, new discoveries, vulnerabilities in third-party technologies (including browsers and operating systems) or other developments could result in a compromise or breach of the technology, processes and controls that we use to prevent fraudulent transactions and to protect data about us, our clients and underlying transactions, as well as the technology used by our clients to access our systems. Although we continue to invest in systems and processes that are designed to detect and prevent security breaches and cyber-attacks and periodically test our security, our inability to anticipate, or failure to adequately mitigate, breaches of security could result in: losses to us or our clients; our loss of business and/or clients; damage to our reputation; the incurrence of additional expenses; disruption to our business; our inability to grow our online services or other businesses; additional regulatory scrutiny or penalties; or our exposure to civil litigation and possible financial liability — any of which could have a material adverse effect on our business, financial condition and results of operations.</w:t>
      </w:r>
    </w:p>
    <w:p>
      <w:pPr>
        <w:spacing w:after="0" w:line="149" w:lineRule="exact"/>
        <w:rPr>
          <w:sz w:val="20"/>
          <w:szCs w:val="20"/>
          <w:color w:val="auto"/>
        </w:rPr>
      </w:pPr>
    </w:p>
    <w:p>
      <w:pPr>
        <w:ind w:left="120" w:firstLine="551"/>
        <w:spacing w:after="0" w:line="261" w:lineRule="auto"/>
        <w:rPr>
          <w:sz w:val="20"/>
          <w:szCs w:val="20"/>
          <w:color w:val="auto"/>
        </w:rPr>
      </w:pPr>
      <w:r>
        <w:rPr>
          <w:rFonts w:ascii="Times New Roman" w:cs="Times New Roman" w:eastAsia="Times New Roman" w:hAnsi="Times New Roman"/>
          <w:sz w:val="18"/>
          <w:szCs w:val="18"/>
          <w:color w:val="auto"/>
        </w:rPr>
        <w:t>More generally, continued publicized information concerning security and cyber-related problems could inhibit the use or growth of electronic or web-based applications or solutions as a means of conducting commercial transactions for us and other financial institutions. Such publicity may also cause damage to our reputation as a financial institution. As a result, our business, financial condition and results of operations could be adversely affected.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the risk of changes in technology</w:t>
      </w:r>
    </w:p>
    <w:p>
      <w:pPr>
        <w:spacing w:after="0" w:line="189" w:lineRule="exact"/>
        <w:rPr>
          <w:sz w:val="20"/>
          <w:szCs w:val="20"/>
          <w:color w:val="auto"/>
        </w:rPr>
      </w:pPr>
    </w:p>
    <w:p>
      <w:pPr>
        <w:ind w:left="120" w:right="300" w:firstLine="551"/>
        <w:spacing w:after="0" w:line="261" w:lineRule="auto"/>
        <w:rPr>
          <w:sz w:val="20"/>
          <w:szCs w:val="20"/>
          <w:color w:val="auto"/>
        </w:rPr>
      </w:pPr>
      <w:r>
        <w:rPr>
          <w:rFonts w:ascii="Times New Roman" w:cs="Times New Roman" w:eastAsia="Times New Roman" w:hAnsi="Times New Roman"/>
          <w:sz w:val="18"/>
          <w:szCs w:val="18"/>
          <w:color w:val="auto"/>
        </w:rPr>
        <w:t>The rapid pace of technology changes and the impact of such changes on financial services generally and on our Company specifically could impact our cost structure and our competitive position with our customers. Such developments include the rapid movement by customers and some competitor financial institutions to web-based services, mobile banking and cloud computing. Our failure or inability to anticipate, plan for or implement technology change could adversely affect our competitive position, financial condition and profitability.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controls and procedures could fail or be circumvented</w:t>
      </w:r>
    </w:p>
    <w:p>
      <w:pPr>
        <w:spacing w:after="0" w:line="202" w:lineRule="exact"/>
        <w:rPr>
          <w:sz w:val="20"/>
          <w:szCs w:val="20"/>
          <w:color w:val="auto"/>
        </w:rPr>
      </w:pPr>
    </w:p>
    <w:p>
      <w:pPr>
        <w:ind w:left="120" w:right="40" w:firstLine="551"/>
        <w:spacing w:after="0" w:line="258" w:lineRule="auto"/>
        <w:rPr>
          <w:sz w:val="20"/>
          <w:szCs w:val="20"/>
          <w:color w:val="auto"/>
        </w:rPr>
      </w:pPr>
      <w:r>
        <w:rPr>
          <w:rFonts w:ascii="Times New Roman" w:cs="Times New Roman" w:eastAsia="Times New Roman" w:hAnsi="Times New Roman"/>
          <w:sz w:val="18"/>
          <w:szCs w:val="18"/>
          <w:color w:val="auto"/>
        </w:rPr>
        <w:t>Management regularly reviews and updates our internal controls, disclosure controls and procedures and corporate governance policies and procedures. Any system of controls, however well designed and operated, is based in part on certain assumptions and on the conduct of individuals, and can provide only reasonable, but not absolute, assurances of the effectiveness of these systems and controls, and that the objectives of these controls have been met. Any failure or circumvention of our controls and procedures, and any failure to comply with regulations related to controls and procedures could adversely affect our business, results of operations and financial condition.</w:t>
      </w:r>
    </w:p>
    <w:p>
      <w:pPr>
        <w:spacing w:after="0" w:line="139" w:lineRule="exact"/>
        <w:rPr>
          <w:sz w:val="20"/>
          <w:szCs w:val="20"/>
          <w:color w:val="auto"/>
        </w:rPr>
      </w:pPr>
    </w:p>
    <w:p>
      <w:pPr>
        <w:ind w:left="12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or disclosure controls and procedures could adversely affect our ability to report our financial condition and results of operations accurately and on a timely basis</w:t>
      </w:r>
    </w:p>
    <w:p>
      <w:pPr>
        <w:spacing w:after="0" w:line="118" w:lineRule="exact"/>
        <w:rPr>
          <w:sz w:val="20"/>
          <w:szCs w:val="20"/>
          <w:color w:val="auto"/>
        </w:rPr>
      </w:pPr>
    </w:p>
    <w:p>
      <w:pPr>
        <w:ind w:left="120" w:firstLine="551"/>
        <w:spacing w:after="0" w:line="258" w:lineRule="auto"/>
        <w:rPr>
          <w:sz w:val="20"/>
          <w:szCs w:val="20"/>
          <w:color w:val="auto"/>
        </w:rPr>
      </w:pPr>
      <w:r>
        <w:rPr>
          <w:rFonts w:ascii="Times New Roman" w:cs="Times New Roman" w:eastAsia="Times New Roman" w:hAnsi="Times New Roman"/>
          <w:sz w:val="18"/>
          <w:szCs w:val="18"/>
          <w:color w:val="auto"/>
        </w:rPr>
        <w:t>A failure to maintain effective internal control over financial reporting or disclosure controls and procedures could adversely affect our ability to report our financial results accurately and on a timely basis, which could result in a loss of investor confidence in our financial reporting or adversely affect our access to sources of liquidity. Furthermore, because of the inherent limitations of any system of internal control over financial reporting, including the possibility of human error, the circumvention or overriding of controls and fraud, even effective internal controls may not prevent or detect all misstatements.</w:t>
      </w:r>
    </w:p>
    <w:p>
      <w:pPr>
        <w:spacing w:after="0" w:line="152" w:lineRule="exact"/>
        <w:rPr>
          <w:sz w:val="20"/>
          <w:szCs w:val="20"/>
          <w:color w:val="auto"/>
        </w:rPr>
      </w:pPr>
    </w:p>
    <w:p>
      <w:pPr>
        <w:ind w:left="120" w:right="2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communications, information, operating and financial control systems technology from third-party service providers, and we may suffer an interruption in those systems</w:t>
      </w:r>
    </w:p>
    <w:p>
      <w:pPr>
        <w:spacing w:after="0" w:line="118" w:lineRule="exact"/>
        <w:rPr>
          <w:sz w:val="20"/>
          <w:szCs w:val="20"/>
          <w:color w:val="auto"/>
        </w:rPr>
      </w:pPr>
    </w:p>
    <w:p>
      <w:pPr>
        <w:ind w:left="120" w:firstLine="551"/>
        <w:spacing w:after="0" w:line="258" w:lineRule="auto"/>
        <w:rPr>
          <w:sz w:val="20"/>
          <w:szCs w:val="20"/>
          <w:color w:val="auto"/>
        </w:rPr>
      </w:pPr>
      <w:r>
        <w:rPr>
          <w:rFonts w:ascii="Times New Roman" w:cs="Times New Roman" w:eastAsia="Times New Roman" w:hAnsi="Times New Roman"/>
          <w:sz w:val="18"/>
          <w:szCs w:val="18"/>
          <w:color w:val="auto"/>
        </w:rPr>
        <w:t>We rely heavily on third-party service providers for much of our communications, information, operating and financial control systems technology, including our internet banking services and data processing systems. Any failure or interruption of these services or systems or breaches in the security of these systems could result in failures or interruptions to serve our customers, including deposit, servicing and/or loan origination systems. The occurrence of any failures or interruptions may require us to identify alternative sources of such services, which may result in increased costs or other consequences that in turn could have an adverse effect on our business, including damage to the Bank’s reputation.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key personnel and the loss of one or more of those key personnel may materially and adversely affect our prospects</w:t>
      </w:r>
    </w:p>
    <w:p>
      <w:pPr>
        <w:spacing w:after="0" w:line="202" w:lineRule="exact"/>
        <w:rPr>
          <w:sz w:val="20"/>
          <w:szCs w:val="20"/>
          <w:color w:val="auto"/>
        </w:rPr>
      </w:pPr>
    </w:p>
    <w:p>
      <w:pPr>
        <w:ind w:left="120" w:right="20" w:firstLine="551"/>
        <w:spacing w:after="0" w:line="255" w:lineRule="auto"/>
        <w:rPr>
          <w:sz w:val="20"/>
          <w:szCs w:val="20"/>
          <w:color w:val="auto"/>
        </w:rPr>
      </w:pPr>
      <w:r>
        <w:rPr>
          <w:rFonts w:ascii="Times New Roman" w:cs="Times New Roman" w:eastAsia="Times New Roman" w:hAnsi="Times New Roman"/>
          <w:sz w:val="18"/>
          <w:szCs w:val="18"/>
          <w:color w:val="auto"/>
        </w:rPr>
        <w:t>Competition for qualified employees and personnel in the banking industry is intense and there are a limited number of qualified persons with knowledge of, and experience in, the California community banking industry. The process of recruiting personnel with the combination of skills and attributes required to carry out our strategies is often lengthy. In addition, legislation and regulations which impose restrictions on executive compensation may make it more difficult for us to retain and recruit key personnel. Our success depends to a significant degree upon our ability to attract and retain qualified management, loan origination, finance, administrative, risk management, marketing and technical personnel and upon the continued contributions of our management and personnel. In particular, our success has been and continues to be highly dependent upon the abilities of key executives, including our Chief Executive Officer, and certain other employees.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stock market prices could reduce fee income from our brokerage, asset management and investment advisory businesses</w:t>
      </w:r>
    </w:p>
    <w:p>
      <w:pPr>
        <w:spacing w:after="0" w:line="189" w:lineRule="exact"/>
        <w:rPr>
          <w:sz w:val="20"/>
          <w:szCs w:val="20"/>
          <w:color w:val="auto"/>
        </w:rPr>
      </w:pPr>
    </w:p>
    <w:p>
      <w:pPr>
        <w:ind w:left="120" w:right="40" w:firstLine="551"/>
        <w:spacing w:after="0" w:line="261" w:lineRule="auto"/>
        <w:rPr>
          <w:sz w:val="20"/>
          <w:szCs w:val="20"/>
          <w:color w:val="auto"/>
        </w:rPr>
      </w:pPr>
      <w:r>
        <w:rPr>
          <w:rFonts w:ascii="Times New Roman" w:cs="Times New Roman" w:eastAsia="Times New Roman" w:hAnsi="Times New Roman"/>
          <w:sz w:val="18"/>
          <w:szCs w:val="18"/>
          <w:color w:val="auto"/>
        </w:rPr>
        <w:t>We earn wealth management fee income for managing assets for our clients and also providing brokerage and investment advisory services. Because investment management and advisory fees are often based on the value of assets under management, a fall in the market prices of those assets could reduce our fee income. Changes in stock market prices could affect the trading activity of investors, reducing commissions and other fees we earn from our brokerage business.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82"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goodwill impairment</w:t>
      </w:r>
    </w:p>
    <w:p>
      <w:pPr>
        <w:spacing w:after="0" w:line="202" w:lineRule="exact"/>
        <w:rPr>
          <w:sz w:val="20"/>
          <w:szCs w:val="20"/>
          <w:color w:val="auto"/>
        </w:rPr>
      </w:pPr>
    </w:p>
    <w:p>
      <w:pPr>
        <w:ind w:left="120" w:right="220" w:firstLine="551"/>
        <w:spacing w:after="0" w:line="277" w:lineRule="auto"/>
        <w:rPr>
          <w:sz w:val="20"/>
          <w:szCs w:val="20"/>
          <w:color w:val="auto"/>
        </w:rPr>
      </w:pPr>
      <w:r>
        <w:rPr>
          <w:rFonts w:ascii="Times New Roman" w:cs="Times New Roman" w:eastAsia="Times New Roman" w:hAnsi="Times New Roman"/>
          <w:sz w:val="17"/>
          <w:szCs w:val="17"/>
          <w:color w:val="auto"/>
        </w:rPr>
        <w:t>If our estimates of fair value change due to changes in our businesses or other factors, we may determine that impairment charges on goodwill recorded as a result of acquisitions are necessary. Estimates of fair value are determined based on a complex model using cash flows, the fair value of our Company as determined by our stock price, and company comparisons. If management’s estimates of future cash flows are inaccurate, fair value determined could be inaccurate and impairment may not be recognized in a timely manner. If the fair value of the Company declines, we may need to recognize goodwill impairment in the future which would have a material adverse effect on our results of operations and capital levels.</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accounting estimates and risk management processes rely on analytical and forecasting models</w:t>
      </w:r>
    </w:p>
    <w:p>
      <w:pPr>
        <w:spacing w:after="0" w:line="189"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The processes we use to estimate our expected credit losses and to measure the fair value of financial instruments, as well as the processes used to estimate the effects of changing interest rates and other market measures on our financial condition and results of operations, depends upon the use of analytical and forecasting models. These models reflect assumptions that may not be accurate, particularly in times of market stress or other unforeseen circumstances. Even if these assumptions are adequate, the models may prove to be inadequate or inaccurate because of other flaws in their design or their implementation. If the models we use for interest rate risk and asset-liability management are inadequate, we may incur increased or unexpected losses upon changes in market interest rates or other market measures. If the models we use for determining our expected credit losses are inadequate, the allowance for credit losses may not be sufficient to support future charge-offs. If the models we use to measure the fair value of financial instruments are inadequate, the fair value of such financial instruments may fluctuate unexpectedly or may not accurately reflect what we could realize upon sale or settlement of such financial instruments. Any such failure in our analytical or forecasting models could have a material adverse effect on our business, financial condition and results of operations.</w:t>
      </w:r>
    </w:p>
    <w:p>
      <w:pPr>
        <w:spacing w:after="0" w:line="163" w:lineRule="exact"/>
        <w:rPr>
          <w:sz w:val="20"/>
          <w:szCs w:val="20"/>
          <w:color w:val="auto"/>
        </w:rPr>
      </w:pPr>
    </w:p>
    <w:p>
      <w:pPr>
        <w:ind w:left="120" w:right="32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decisions regarding the fair value of assets acquired could be different than initially estimated, which could materially and adversely affect our business, financial condition, results of operations, and future prospects</w:t>
      </w:r>
    </w:p>
    <w:p>
      <w:pPr>
        <w:spacing w:after="0" w:line="118" w:lineRule="exact"/>
        <w:rPr>
          <w:sz w:val="20"/>
          <w:szCs w:val="20"/>
          <w:color w:val="auto"/>
        </w:rPr>
      </w:pPr>
    </w:p>
    <w:p>
      <w:pPr>
        <w:ind w:left="120" w:right="220" w:firstLine="551"/>
        <w:spacing w:after="0" w:line="258" w:lineRule="auto"/>
        <w:rPr>
          <w:sz w:val="20"/>
          <w:szCs w:val="20"/>
          <w:color w:val="auto"/>
        </w:rPr>
      </w:pPr>
      <w:r>
        <w:rPr>
          <w:rFonts w:ascii="Times New Roman" w:cs="Times New Roman" w:eastAsia="Times New Roman" w:hAnsi="Times New Roman"/>
          <w:sz w:val="18"/>
          <w:szCs w:val="18"/>
          <w:color w:val="auto"/>
        </w:rPr>
        <w:t>In business combinations, we acquire significant portfolios of loans that are marked to their estimated fair value. The fluctuations in national, regional and local economic conditions, including those related to local residential, commercial real estate and construction markets, may increase the level of charge-offs or the allowance for credit losses in the loan portfolio that we acquire and correspondingly reduce our net income. These fluctuations are not predictable, cannot be controlled and may have a material adverse impact on our operations and financial condition, even if other favorable events occur.</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Strategic and External Risks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economic, market and political conditions can adversely affect our liquidity, results of operations and financial condition.</w:t>
      </w:r>
    </w:p>
    <w:p>
      <w:pPr>
        <w:spacing w:after="0" w:line="189" w:lineRule="exact"/>
        <w:rPr>
          <w:sz w:val="20"/>
          <w:szCs w:val="20"/>
          <w:color w:val="auto"/>
        </w:rPr>
      </w:pPr>
    </w:p>
    <w:p>
      <w:pPr>
        <w:ind w:left="120" w:right="120" w:firstLine="551"/>
        <w:spacing w:after="0" w:line="256" w:lineRule="auto"/>
        <w:rPr>
          <w:sz w:val="20"/>
          <w:szCs w:val="20"/>
          <w:color w:val="auto"/>
        </w:rPr>
      </w:pPr>
      <w:r>
        <w:rPr>
          <w:rFonts w:ascii="Times New Roman" w:cs="Times New Roman" w:eastAsia="Times New Roman" w:hAnsi="Times New Roman"/>
          <w:sz w:val="18"/>
          <w:szCs w:val="18"/>
          <w:color w:val="auto"/>
        </w:rPr>
        <w:t>Our success depends, to a certain extent, upon local, national and global economic and political conditions, as well as governmental monetary policies. Conditions such as an economic recession, rising unemployment, changes in interest rates, money supply and other factors beyond our control may adversely affect our asset quality, deposit levels and loan demand and, therefore, our earnings. Because we have a significant amount of real estate loans, decreases in real estate values could adversely affect the value of property used as collateral. Adverse changes in the economy may also have a negative effect on the ability of our borrowers to make timely repayments of their loans, which could have an adverse impact on our earnings. In addition, we may face the following risks in connection with any downward turn in the economy:</w:t>
      </w:r>
    </w:p>
    <w:p>
      <w:pPr>
        <w:spacing w:after="0" w:line="187" w:lineRule="exact"/>
        <w:rPr>
          <w:sz w:val="20"/>
          <w:szCs w:val="20"/>
          <w:color w:val="auto"/>
        </w:rPr>
      </w:pPr>
    </w:p>
    <w:p>
      <w:pPr>
        <w:ind w:left="1540" w:right="20" w:hanging="439"/>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we use to estimate losses inherent in our credit exposure requires difficult, subjective and complex judgments, including forecasts of economic conditions and how these economic conditions might impair the ability of our borrowers to repay their loans. The level of uncertainty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100"/>
        <w:spacing w:after="0" w:line="261" w:lineRule="auto"/>
        <w:rPr>
          <w:sz w:val="20"/>
          <w:szCs w:val="20"/>
          <w:color w:val="auto"/>
        </w:rPr>
      </w:pPr>
      <w:r>
        <w:rPr>
          <w:rFonts w:ascii="Times New Roman" w:cs="Times New Roman" w:eastAsia="Times New Roman" w:hAnsi="Times New Roman"/>
          <w:sz w:val="18"/>
          <w:szCs w:val="18"/>
          <w:color w:val="auto"/>
        </w:rPr>
        <w:t>concerning economic conditions may adversely affect the accuracy of our estimates which may, in turn, impact the reliability of the process;</w:t>
      </w:r>
    </w:p>
    <w:p>
      <w:pPr>
        <w:ind w:left="1540" w:right="300" w:hanging="439"/>
        <w:spacing w:after="0" w:line="250"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commercial, residential and consumer borrowers may be unable to make timely repayments of their loans, or the decrease in value of real estate collateral securing the payment of such loans could result in significant credit losses, increasing delinquencies, foreclosures and customer bankruptcies, any of which could have a material adverse effect on the Company’s operating results;</w:t>
      </w:r>
    </w:p>
    <w:p>
      <w:pPr>
        <w:spacing w:after="0" w:line="1" w:lineRule="exact"/>
        <w:rPr>
          <w:rFonts w:ascii="Times New Roman" w:cs="Times New Roman" w:eastAsia="Times New Roman" w:hAnsi="Times New Roman"/>
          <w:sz w:val="18"/>
          <w:szCs w:val="18"/>
          <w:color w:val="auto"/>
        </w:rPr>
      </w:pPr>
    </w:p>
    <w:p>
      <w:pPr>
        <w:ind w:left="1540" w:right="120" w:hanging="439"/>
        <w:spacing w:after="0" w:line="250"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environment of low interest rates would continue to cause lending margins to stay compressed, which in turn may limit our revenues and profitability;</w:t>
      </w:r>
    </w:p>
    <w:p>
      <w:pPr>
        <w:ind w:left="1540" w:right="20" w:hanging="439"/>
        <w:spacing w:after="0" w:line="250"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portfolio of investment securities that we hold may be adversely affected by increasing interest rates and defaults by debtors;</w:t>
      </w:r>
    </w:p>
    <w:p>
      <w:pPr>
        <w:ind w:left="1540" w:right="680" w:hanging="439"/>
        <w:spacing w:after="0" w:line="250"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disruptions in the capital markets or other events, including actions by rating agencies and deteriorating investor expectations, may result in changes in applicable rates of interest, difficulty in accessing capital or an inability to borrow on favorable terms or at all from other financial institutions; and</w:t>
      </w:r>
    </w:p>
    <w:p>
      <w:pPr>
        <w:spacing w:after="0" w:line="1" w:lineRule="exact"/>
        <w:rPr>
          <w:rFonts w:ascii="Times New Roman" w:cs="Times New Roman" w:eastAsia="Times New Roman" w:hAnsi="Times New Roman"/>
          <w:sz w:val="18"/>
          <w:szCs w:val="18"/>
          <w:color w:val="auto"/>
        </w:rPr>
      </w:pPr>
    </w:p>
    <w:p>
      <w:pPr>
        <w:ind w:left="1540" w:hanging="439"/>
        <w:spacing w:after="0" w:line="260"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among financial services companies due to expected further consolidation in the industry may adversely affect the Company’s ability to market its products and services.</w:t>
      </w:r>
    </w:p>
    <w:p>
      <w:pPr>
        <w:spacing w:after="0" w:line="262" w:lineRule="exact"/>
        <w:rPr>
          <w:sz w:val="20"/>
          <w:szCs w:val="20"/>
          <w:color w:val="auto"/>
        </w:rPr>
      </w:pPr>
    </w:p>
    <w:p>
      <w:pPr>
        <w:ind w:left="120" w:right="20" w:firstLine="551"/>
        <w:spacing w:after="0" w:line="254" w:lineRule="auto"/>
        <w:rPr>
          <w:sz w:val="20"/>
          <w:szCs w:val="20"/>
          <w:color w:val="auto"/>
        </w:rPr>
      </w:pPr>
      <w:r>
        <w:rPr>
          <w:rFonts w:ascii="Times New Roman" w:cs="Times New Roman" w:eastAsia="Times New Roman" w:hAnsi="Times New Roman"/>
          <w:sz w:val="18"/>
          <w:szCs w:val="18"/>
          <w:color w:val="auto"/>
        </w:rPr>
        <w:t>Although the Company and the Bank exceed the minimum capital ratio requirements to be deemed “well-capitalized” for regulatory purposes and have not suffered any significant liquidity issues as a result of these types of events, the cost and availability of funds may be adversely affected by illiquid credit markets and the demand for our products and services may decline as our borrowers and customers continue to realize the impact of slower than customary economic growth, after-effects of the previous recession and ongoing underemployment of the workforce. In view of the concentration of our operations and the collateral securing our loan portfolio in Central and Southern California, we may be particularly susceptible to adverse economic conditions in the state of California, where our business is concentrated. In addition, adverse economic conditions may exacerbate our exposure to credit risk and adversely affect the ability of borrowers to perform, and thereby, adversely affect our liquidity, financial condition, results or operations and profitability.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earnings are significantly affected by the fiscal and monetary policies of the federal government and its agencies.</w:t>
      </w:r>
    </w:p>
    <w:p>
      <w:pPr>
        <w:spacing w:after="0" w:line="189" w:lineRule="exact"/>
        <w:rPr>
          <w:sz w:val="20"/>
          <w:szCs w:val="20"/>
          <w:color w:val="auto"/>
        </w:rPr>
      </w:pPr>
    </w:p>
    <w:p>
      <w:pPr>
        <w:ind w:left="120" w:right="120" w:firstLine="551"/>
        <w:spacing w:after="0" w:line="256" w:lineRule="auto"/>
        <w:rPr>
          <w:sz w:val="20"/>
          <w:szCs w:val="20"/>
          <w:color w:val="auto"/>
        </w:rPr>
      </w:pPr>
      <w:r>
        <w:rPr>
          <w:rFonts w:ascii="Times New Roman" w:cs="Times New Roman" w:eastAsia="Times New Roman" w:hAnsi="Times New Roman"/>
          <w:sz w:val="18"/>
          <w:szCs w:val="18"/>
          <w:color w:val="auto"/>
        </w:rPr>
        <w:t>The policies of the Federal Reserve impact us significantly. Its policies directly and indirectly influence the rate of interest earned on loans and paid on borrowings and interest-bearing deposits and can also affect the value of financial instruments we hold. Changes in those policies are beyond our control and are difficult to predict. Federal Reserve policies can also affect our borrowers, potentially increasing the risk that they may fail to repay their loans. As an example, monetary tightening by the Federal Reserve could adversely affect our borrowers’ earnings and ability to repay their loans, which could have a material adverse effect on our financial condition and results of operations. In addition, the Federal Reserve’s recent actions to reduce its own balance sheet of government and mortgage-backed securities could impact the credit markets and thus prevailing interest rates.</w:t>
      </w:r>
    </w:p>
    <w:p>
      <w:pPr>
        <w:spacing w:after="0" w:line="156" w:lineRule="exact"/>
        <w:rPr>
          <w:sz w:val="20"/>
          <w:szCs w:val="20"/>
          <w:color w:val="auto"/>
        </w:rPr>
      </w:pPr>
    </w:p>
    <w:p>
      <w:pPr>
        <w:ind w:left="120" w:right="12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legislation, regulatory reform or policy changes under the new U.S. administration could have a material effect on our business and results of operations.</w:t>
      </w:r>
    </w:p>
    <w:p>
      <w:pPr>
        <w:spacing w:after="0" w:line="118" w:lineRule="exact"/>
        <w:rPr>
          <w:sz w:val="20"/>
          <w:szCs w:val="20"/>
          <w:color w:val="auto"/>
        </w:rPr>
      </w:pPr>
    </w:p>
    <w:p>
      <w:pPr>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New legislation, regulatory reform or policy changes under the new U.S. administration led by President Biden, including financial services regulatory reform, enforcement priorities, and increased infrastructure spending, could impact our business. At this time, we cannot predict the scope or nature of these changes or assess what the overall effect of such potential changes could be on our results of operations or cash flows.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face strong competition from financial services companies and other companies that offer banking services</w:t>
      </w:r>
    </w:p>
    <w:p>
      <w:pPr>
        <w:spacing w:after="0" w:line="202" w:lineRule="exact"/>
        <w:rPr>
          <w:sz w:val="20"/>
          <w:szCs w:val="20"/>
          <w:color w:val="auto"/>
        </w:rPr>
      </w:pPr>
    </w:p>
    <w:p>
      <w:pPr>
        <w:ind w:left="120" w:right="120" w:firstLine="551"/>
        <w:spacing w:after="0" w:line="254" w:lineRule="auto"/>
        <w:rPr>
          <w:sz w:val="20"/>
          <w:szCs w:val="20"/>
          <w:color w:val="auto"/>
        </w:rPr>
      </w:pPr>
      <w:r>
        <w:rPr>
          <w:rFonts w:ascii="Times New Roman" w:cs="Times New Roman" w:eastAsia="Times New Roman" w:hAnsi="Times New Roman"/>
          <w:sz w:val="18"/>
          <w:szCs w:val="18"/>
          <w:color w:val="auto"/>
        </w:rPr>
        <w:t>We conduct most of our operations in the state of California. The banking and financial services businesses in the state of California are highly competitive and increased competition in our primary market area may adversely impact the level of our loans and deposits. Ultimately, we may not be able to compete successfully against current and future competitors. These competitors include national banks, regional banks and other community banks. We also face competition from many other types of financial institutions, including savings and loan associations, finance companies, brokerage firms, insurance companies, credit unions, mortgage companies and other financial intermediaries. In addition, as noted below, we face competition from certain non-traditional entities, including so called “FinTech” companies which specialize in the provision of technology-based financial services, such as payment processing and lending marketplaces, and which may offer or be perceived to offer more responsive or currently desirable financial products and services.</w:t>
      </w:r>
    </w:p>
    <w:p>
      <w:pPr>
        <w:spacing w:after="0" w:line="151" w:lineRule="exact"/>
        <w:rPr>
          <w:sz w:val="20"/>
          <w:szCs w:val="20"/>
          <w:color w:val="auto"/>
        </w:rPr>
      </w:pPr>
    </w:p>
    <w:p>
      <w:pPr>
        <w:ind w:left="120" w:right="60" w:firstLine="551"/>
        <w:spacing w:after="0" w:line="258" w:lineRule="auto"/>
        <w:rPr>
          <w:sz w:val="20"/>
          <w:szCs w:val="20"/>
          <w:color w:val="auto"/>
        </w:rPr>
      </w:pPr>
      <w:r>
        <w:rPr>
          <w:rFonts w:ascii="Times New Roman" w:cs="Times New Roman" w:eastAsia="Times New Roman" w:hAnsi="Times New Roman"/>
          <w:sz w:val="18"/>
          <w:szCs w:val="18"/>
          <w:color w:val="auto"/>
        </w:rPr>
        <w:t>In particular, our competitors include major financial companies whose greater resources may afford them a marketplace advantage by enabling them to offer products at lower costs, maintain numerous locations, and mount extensive promotional and advertising campaigns. Areas of competition include interest rates for loans and deposits, efforts to obtain loan and deposit customers and a range in quality of products and services provided, including new technology driven products and services. If we are unable to attract and retain banking customers, we may be unable to continue our loan growth and level of deposits.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Potential acquisitions may disrupt our business and dilute shareholder value</w:t>
      </w:r>
    </w:p>
    <w:p>
      <w:pPr>
        <w:spacing w:after="0" w:line="202" w:lineRule="exact"/>
        <w:rPr>
          <w:sz w:val="20"/>
          <w:szCs w:val="20"/>
          <w:color w:val="auto"/>
        </w:rPr>
      </w:pPr>
    </w:p>
    <w:p>
      <w:pPr>
        <w:ind w:left="120" w:right="200" w:firstLine="551"/>
        <w:spacing w:after="0" w:line="261" w:lineRule="auto"/>
        <w:rPr>
          <w:sz w:val="20"/>
          <w:szCs w:val="20"/>
          <w:color w:val="auto"/>
        </w:rPr>
      </w:pPr>
      <w:r>
        <w:rPr>
          <w:rFonts w:ascii="Times New Roman" w:cs="Times New Roman" w:eastAsia="Times New Roman" w:hAnsi="Times New Roman"/>
          <w:sz w:val="18"/>
          <w:szCs w:val="18"/>
          <w:color w:val="auto"/>
        </w:rPr>
        <w:t>We generally seek merger or acquisition partners that are culturally similar and have experienced management and possess either significant market presence or have potential for improved profitability through financial management, economies of scale or expanded services. Acquiring other banks, businesses, or branches including our acquisition of Community Bank in 2018, involves various risks commonly associated with acquisitions, including, among other things:</w:t>
      </w:r>
    </w:p>
    <w:p>
      <w:pPr>
        <w:spacing w:after="0" w:line="180" w:lineRule="exact"/>
        <w:rPr>
          <w:sz w:val="20"/>
          <w:szCs w:val="20"/>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unknown or contingent liabilities of the target company;</w:t>
      </w:r>
    </w:p>
    <w:p>
      <w:pPr>
        <w:spacing w:after="0" w:line="2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potential asset quality issues of the target company;</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to our business;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diversion of our management’s time and attention;</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loss of key employees and customers of the target company;</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estimating the value of the target company; and</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banking or tax laws or regulations that may affect the target company.</w:t>
      </w:r>
    </w:p>
    <w:p>
      <w:pPr>
        <w:spacing w:after="0" w:line="274" w:lineRule="exact"/>
        <w:rPr>
          <w:sz w:val="20"/>
          <w:szCs w:val="20"/>
          <w:color w:val="auto"/>
        </w:rPr>
      </w:pPr>
    </w:p>
    <w:p>
      <w:pPr>
        <w:ind w:left="120" w:firstLine="551"/>
        <w:spacing w:after="0" w:line="261" w:lineRule="auto"/>
        <w:rPr>
          <w:sz w:val="20"/>
          <w:szCs w:val="20"/>
          <w:color w:val="auto"/>
        </w:rPr>
      </w:pPr>
      <w:r>
        <w:rPr>
          <w:rFonts w:ascii="Times New Roman" w:cs="Times New Roman" w:eastAsia="Times New Roman" w:hAnsi="Times New Roman"/>
          <w:sz w:val="18"/>
          <w:szCs w:val="18"/>
          <w:color w:val="auto"/>
        </w:rPr>
        <w:t>Acquisitions typically involve the payment of a premium over book and market values, and, therefore, some dilution of our tangible book value and net income per common share may occur in connection with any future transaction. Furthermore, failure to realize the expected revenue increases, cost savings, increases in geographic or product presence, and/or other projected benefits from an acquisition could have a material adverse effect on our business, financial condition and results of operations.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Consumers may decide not to use banks to complete their financial transactions.</w:t>
      </w:r>
    </w:p>
    <w:p>
      <w:pPr>
        <w:spacing w:after="0" w:line="202" w:lineRule="exact"/>
        <w:rPr>
          <w:sz w:val="20"/>
          <w:szCs w:val="20"/>
          <w:color w:val="auto"/>
        </w:rPr>
      </w:pPr>
    </w:p>
    <w:p>
      <w:pPr>
        <w:jc w:val="both"/>
        <w:ind w:left="120" w:right="20" w:firstLine="551"/>
        <w:spacing w:after="0" w:line="256" w:lineRule="auto"/>
        <w:rPr>
          <w:sz w:val="20"/>
          <w:szCs w:val="20"/>
          <w:color w:val="auto"/>
        </w:rPr>
      </w:pPr>
      <w:r>
        <w:rPr>
          <w:rFonts w:ascii="Times New Roman" w:cs="Times New Roman" w:eastAsia="Times New Roman" w:hAnsi="Times New Roman"/>
          <w:sz w:val="18"/>
          <w:szCs w:val="18"/>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or general-purpose reloadable prepaid cards. Consumers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The loss of these revenue streams and the lower cost of deposits as a source of funds could have a material adverse effect on our financial condition and results of operations.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Compliance and Reputational Risks</w:t>
      </w:r>
    </w:p>
    <w:p>
      <w:pPr>
        <w:spacing w:after="0" w:line="198" w:lineRule="exact"/>
        <w:rPr>
          <w:sz w:val="20"/>
          <w:szCs w:val="20"/>
          <w:color w:val="auto"/>
        </w:rPr>
      </w:pPr>
    </w:p>
    <w:p>
      <w:pPr>
        <w:ind w:left="120" w:right="62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 that could limit or restrict our activities, which, in turn, may hamper our ability to increase our assets and earnings</w:t>
      </w:r>
    </w:p>
    <w:p>
      <w:pPr>
        <w:spacing w:after="0" w:line="118"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Our operations are subject to extensive regulation by federal, state and local governmental authorities, including the FDIC, FRB, DFPI and CFPB, and we are subject to various laws and judicial and administrative decisions imposing requirements and restrictions on part or all of our operations. Similarly, the lending, credit and deposit products we offer are subject to broad oversight and regulation. Because our business is highly regulated, the laws, rules, regulations and supervisory guidance and policies applicable to us are subject to regular modification and change. Perennially, various laws, rules and regulations are proposed, which, if adopted, could impact our operations by making compliance much more difficult or expensive, restricting our ability to originate or sell loans or further restricting the amount of interest or other charges or fees earned on loans or other products. Current and future federal and state legal and regulatory requirements, restrictions and regulations, including those imposed under Dodd-Frank and those adopted to facilitate data privacy or consumer protection, may adversely impact our profitability and may have a material and adverse effect on our business, financial condition, and results of operations, may require us to invest significant management attention and resources to evaluate and make any changes required by the legislation and accompanying rules, and may make it more difficult for us to attract and retain qualified executive officers and employees. The implementation of certain final Dodd-Frank rules is delayed or phased in over several years; therefore, as yet we cannot definitively assess what may be the short or longer term specific or aggregate effect of the full implementation of Dodd-Frank on us.</w:t>
      </w:r>
    </w:p>
    <w:p>
      <w:pPr>
        <w:spacing w:after="0" w:line="145" w:lineRule="exact"/>
        <w:rPr>
          <w:sz w:val="20"/>
          <w:szCs w:val="20"/>
          <w:color w:val="auto"/>
        </w:rPr>
      </w:pPr>
    </w:p>
    <w:p>
      <w:pPr>
        <w:ind w:left="120" w:right="80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 risk of noncompliance and enforcement action with the Bank Secrecy Act and other anti-money laundering statutes and regulations</w:t>
      </w:r>
    </w:p>
    <w:p>
      <w:pPr>
        <w:spacing w:after="0" w:line="132" w:lineRule="exact"/>
        <w:rPr>
          <w:sz w:val="20"/>
          <w:szCs w:val="20"/>
          <w:color w:val="auto"/>
        </w:rPr>
      </w:pPr>
    </w:p>
    <w:p>
      <w:pPr>
        <w:ind w:left="120" w:right="80" w:firstLine="551"/>
        <w:spacing w:after="0" w:line="253" w:lineRule="auto"/>
        <w:rPr>
          <w:sz w:val="20"/>
          <w:szCs w:val="20"/>
          <w:color w:val="auto"/>
        </w:rPr>
      </w:pPr>
      <w:r>
        <w:rPr>
          <w:rFonts w:ascii="Times New Roman" w:cs="Times New Roman" w:eastAsia="Times New Roman" w:hAnsi="Times New Roman"/>
          <w:sz w:val="18"/>
          <w:szCs w:val="18"/>
          <w:color w:val="auto"/>
        </w:rPr>
        <w:t>The Bank Secrecy Act, the USA PATRIOT Act of 2001, and other laws and regulations require financial institutions, among other duties, to institute and maintain an effective anti-money laundering program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banking regulators, as well as the U.S. Department of Justice, Drug Enforcement Administration, and Internal Revenue Service. We are also subject to scrutiny of compliance with the rules enforced by the Office of Foreign Assets Control and compliance with the Foreign Corrupt Practices Act. If our policies, procedures and systems are deemed deficient, we would be subject to liability, including fines and regulatory actions, which may include restrictions on our ability to pay dividends and the necessity to obtain regulatory approvals to proceed with certain aspects of our business plan. Failure to maintain and implement adequate programs to combat money laundering and terrorist financing could also have serious reputational consequences for us. Any of these results could materially and adversely affect our business, financial condition and results of operations.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regulations may adversely impact our business</w:t>
      </w:r>
    </w:p>
    <w:p>
      <w:pPr>
        <w:spacing w:after="0" w:line="189" w:lineRule="exact"/>
        <w:rPr>
          <w:sz w:val="20"/>
          <w:szCs w:val="20"/>
          <w:color w:val="auto"/>
        </w:rPr>
      </w:pPr>
    </w:p>
    <w:p>
      <w:pPr>
        <w:ind w:left="120" w:right="120" w:firstLine="551"/>
        <w:spacing w:after="0" w:line="256" w:lineRule="auto"/>
        <w:rPr>
          <w:sz w:val="20"/>
          <w:szCs w:val="20"/>
          <w:color w:val="auto"/>
        </w:rPr>
      </w:pPr>
      <w:r>
        <w:rPr>
          <w:rFonts w:ascii="Times New Roman" w:cs="Times New Roman" w:eastAsia="Times New Roman" w:hAnsi="Times New Roman"/>
          <w:sz w:val="18"/>
          <w:szCs w:val="18"/>
          <w:color w:val="auto"/>
        </w:rPr>
        <w:t>Revisions made pursuant to Dodd-Frank to Regulation Z, which implements the Truth in Lending Act (TILA), effective in January 2014, apply to all consumer mortgages (except home equity lines of credit, timeshare plans, reverse mortgages, or temporary loans), and mandate specific underwriting criteria and “ability to repay” requirements for home loans. This may impact our offering and underwriting of single family residential loans in our residential mortgage lending operation and could have a resulting unknown effect on potential delinquencies. In addition, the relatively uniform requirements may make it difficult for regional and community banks to compete against the larger national banks for single family residential loan originations.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impact of current capital rules imposed enhanced capital adequacy requirements on us and may materially affect our operations</w:t>
      </w:r>
    </w:p>
    <w:p>
      <w:pPr>
        <w:spacing w:after="0" w:line="202" w:lineRule="exact"/>
        <w:rPr>
          <w:sz w:val="20"/>
          <w:szCs w:val="20"/>
          <w:color w:val="auto"/>
        </w:rPr>
      </w:pPr>
    </w:p>
    <w:p>
      <w:pPr>
        <w:ind w:left="120" w:right="160" w:firstLine="551"/>
        <w:spacing w:after="0" w:line="266" w:lineRule="auto"/>
        <w:rPr>
          <w:sz w:val="20"/>
          <w:szCs w:val="20"/>
          <w:color w:val="auto"/>
        </w:rPr>
      </w:pPr>
      <w:r>
        <w:rPr>
          <w:rFonts w:ascii="Times New Roman" w:cs="Times New Roman" w:eastAsia="Times New Roman" w:hAnsi="Times New Roman"/>
          <w:sz w:val="18"/>
          <w:szCs w:val="18"/>
          <w:color w:val="auto"/>
        </w:rPr>
        <w:t>We are subject to more stringent capital requirements. Pursuant to Dodd-Frank and to implement for U.S. banking institutions the principles of the international “Basel III” standards, the federal banking agencies have adopted a set of rules on minimum leverage and risk-based capital that will apply to both insured banks and their holding companies.</w:t>
      </w:r>
    </w:p>
    <w:p>
      <w:pPr>
        <w:spacing w:after="0" w:line="135" w:lineRule="exact"/>
        <w:rPr>
          <w:sz w:val="20"/>
          <w:szCs w:val="20"/>
          <w:color w:val="auto"/>
        </w:rPr>
      </w:pPr>
    </w:p>
    <w:p>
      <w:pPr>
        <w:ind w:left="120" w:right="340" w:firstLine="551"/>
        <w:spacing w:after="0" w:line="312" w:lineRule="auto"/>
        <w:rPr>
          <w:sz w:val="20"/>
          <w:szCs w:val="20"/>
          <w:color w:val="auto"/>
        </w:rPr>
      </w:pPr>
      <w:r>
        <w:rPr>
          <w:rFonts w:ascii="Times New Roman" w:cs="Times New Roman" w:eastAsia="Times New Roman" w:hAnsi="Times New Roman"/>
          <w:sz w:val="17"/>
          <w:szCs w:val="17"/>
          <w:color w:val="auto"/>
        </w:rPr>
        <w:t>The current capital rules, which have now been fully implemented, may adversely affect our ability to pay dividends, or require us to reduce business levels or raise capital, including in ways that may adversely affect our business, liquidity, financial condition and results of operations.</w:t>
      </w:r>
    </w:p>
    <w:p>
      <w:pPr>
        <w:spacing w:after="0" w:line="99" w:lineRule="exact"/>
        <w:rPr>
          <w:sz w:val="20"/>
          <w:szCs w:val="20"/>
          <w:color w:val="auto"/>
        </w:rPr>
      </w:pPr>
    </w:p>
    <w:p>
      <w:pPr>
        <w:ind w:left="120" w:right="40" w:firstLine="551"/>
        <w:spacing w:after="0" w:line="256" w:lineRule="auto"/>
        <w:rPr>
          <w:sz w:val="20"/>
          <w:szCs w:val="20"/>
          <w:color w:val="auto"/>
        </w:rPr>
      </w:pPr>
      <w:r>
        <w:rPr>
          <w:rFonts w:ascii="Times New Roman" w:cs="Times New Roman" w:eastAsia="Times New Roman" w:hAnsi="Times New Roman"/>
          <w:sz w:val="18"/>
          <w:szCs w:val="18"/>
          <w:color w:val="auto"/>
        </w:rPr>
        <w:t>Under the current capital standards, if our Common Equity Tier 1 Capital does not include the required “capital conservation buffer,” we will be prohibited from making distributions to our stockholders. The capital conservation buffer requirement, which is measured in addition to the minimum Common Equity Tier 1 capital of 4.5%, was phased in over four years, starting at 0.625% for 2016, and is now 2.5%. Additionally, under the capital standards, if our Common Equity Tier 1 Capital does not include the “capital conservation buffer,” we will also be prohibited from paying discretionary bonuses to our executive employees. This may affect our ability to attract or retain employees, or alter the nature of the compensation arrangements that we may enter into with them.</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Managing reputational risk is important to attracting and maintaining customers, investors and employees</w:t>
      </w:r>
    </w:p>
    <w:p>
      <w:pPr>
        <w:spacing w:after="0" w:line="189"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Threats to our reputation can come from many sources, including adverse sentiment about financial institutions generally, unethical practices, employee mistakes, misconduct or fraud, failure to deliver minimum standards of service or quality, failure of any product or service offered by us to meet our customers’ expectations, compliance deficiencies, government investigations, litigation, and questionable or fraudulent activities of our customers. We have policies and procedures in place to protect our reputation and promote ethical conduct, but these policies and procedures may not be fully effective. Negative publicity regarding our business, employees, or customers, with or without merit, may result in the loss of customers, investors and employees, costly litigation, a decline in revenues and increased governmental scrutiny and regulation.</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and litigation risk which could adversely affect us</w:t>
      </w:r>
    </w:p>
    <w:p>
      <w:pPr>
        <w:spacing w:after="0" w:line="202" w:lineRule="exact"/>
        <w:rPr>
          <w:sz w:val="20"/>
          <w:szCs w:val="20"/>
          <w:color w:val="auto"/>
        </w:rPr>
      </w:pPr>
    </w:p>
    <w:p>
      <w:pPr>
        <w:ind w:left="120" w:firstLine="551"/>
        <w:spacing w:after="0" w:line="274" w:lineRule="auto"/>
        <w:rPr>
          <w:sz w:val="20"/>
          <w:szCs w:val="20"/>
          <w:color w:val="auto"/>
        </w:rPr>
      </w:pPr>
      <w:r>
        <w:rPr>
          <w:rFonts w:ascii="Times New Roman" w:cs="Times New Roman" w:eastAsia="Times New Roman" w:hAnsi="Times New Roman"/>
          <w:sz w:val="17"/>
          <w:szCs w:val="17"/>
          <w:color w:val="auto"/>
        </w:rPr>
        <w:t>Because our Company is extensively regulated by a variety of federal and state agencies, and because we are subject to a wide range of business, consumer and employment laws and regulations at the federal, state and local levels, we are at risk of governmental investigations and lawsuits as well as claims and litigation from private parties. We are from time to time involved in disputes with and claims from investors, customers, government agencies, vendors, employees and other business parties, and such disputes and claims may result in investigations, litigation or settlements, any one of which or in the aggregate could have an adverse impact on the Company’s operating flexibility, employee relations, financial condition or results of operations, as a result of the costs of any judgment, the terms of any settlement and/or the expenses incurred in defending the applicable claim.</w:t>
      </w:r>
    </w:p>
    <w:p>
      <w:pPr>
        <w:spacing w:after="0" w:line="132" w:lineRule="exact"/>
        <w:rPr>
          <w:sz w:val="20"/>
          <w:szCs w:val="20"/>
          <w:color w:val="auto"/>
        </w:rPr>
      </w:pPr>
    </w:p>
    <w:p>
      <w:pPr>
        <w:ind w:left="120" w:right="80" w:firstLine="551"/>
        <w:spacing w:after="0" w:line="258" w:lineRule="auto"/>
        <w:rPr>
          <w:sz w:val="20"/>
          <w:szCs w:val="20"/>
          <w:color w:val="auto"/>
        </w:rPr>
      </w:pPr>
      <w:r>
        <w:rPr>
          <w:rFonts w:ascii="Times New Roman" w:cs="Times New Roman" w:eastAsia="Times New Roman" w:hAnsi="Times New Roman"/>
          <w:sz w:val="18"/>
          <w:szCs w:val="18"/>
          <w:color w:val="auto"/>
        </w:rPr>
        <w:t xml:space="preserve">We are unable, at this time, to estimate our potential liability in these matters, but we may be required to pay judgments, settlements or other penalties and incur other costs and expenses in connection with any one or more of these investigations or lawsuits, which in turn could have a material adverse effect on our business, results of operations and financial condition. In addition, responding to requests for information in connection with discovery demanded by a government agency or private plaintiffs in any of these lawsuits may be costly and divert internal resources away from managing our business. See Item 3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below.</w:t>
      </w:r>
    </w:p>
    <w:p>
      <w:pPr>
        <w:spacing w:after="0" w:line="143" w:lineRule="exact"/>
        <w:rPr>
          <w:sz w:val="20"/>
          <w:szCs w:val="20"/>
          <w:color w:val="auto"/>
        </w:rPr>
      </w:pPr>
    </w:p>
    <w:p>
      <w:pPr>
        <w:ind w:left="120" w:right="60" w:firstLine="551"/>
        <w:spacing w:after="0" w:line="282" w:lineRule="auto"/>
        <w:rPr>
          <w:sz w:val="20"/>
          <w:szCs w:val="20"/>
          <w:color w:val="auto"/>
        </w:rPr>
      </w:pPr>
      <w:r>
        <w:rPr>
          <w:rFonts w:ascii="Times New Roman" w:cs="Times New Roman" w:eastAsia="Times New Roman" w:hAnsi="Times New Roman"/>
          <w:sz w:val="18"/>
          <w:szCs w:val="18"/>
          <w:color w:val="auto"/>
        </w:rPr>
        <w:t>We may be subject to customer claims and government or legal actions pertaining to our ability to safeguard our customers’ information and the performance of our fiduciary responsibilities. Whether or not such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261" w:lineRule="auto"/>
        <w:rPr>
          <w:sz w:val="20"/>
          <w:szCs w:val="20"/>
          <w:color w:val="auto"/>
        </w:rPr>
      </w:pPr>
      <w:r>
        <w:rPr>
          <w:rFonts w:ascii="Times New Roman" w:cs="Times New Roman" w:eastAsia="Times New Roman" w:hAnsi="Times New Roman"/>
          <w:sz w:val="18"/>
          <w:szCs w:val="18"/>
          <w:color w:val="auto"/>
        </w:rPr>
        <w:t>customer claims and legal actions are founded or unfounded, if such claims and legal actions are not resolved in a manner favorable to us, they may result in significant financial liability and/or adversely affect the market perception of us and our products and services, as well as impact customer demand for those products and services. Any financial liability or reputation damage could have a material adverse effect on our business, which, in turn, could have a material adverse effect on our financial condition and results of operations.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laws and regulations may restrict our ability to pay dividends</w:t>
      </w:r>
    </w:p>
    <w:p>
      <w:pPr>
        <w:spacing w:after="0" w:line="189" w:lineRule="exact"/>
        <w:rPr>
          <w:sz w:val="20"/>
          <w:szCs w:val="20"/>
          <w:color w:val="auto"/>
        </w:rPr>
      </w:pPr>
    </w:p>
    <w:p>
      <w:pPr>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The ability of the Bank to pay dividends to the Company and of the Company to pay dividends to its shareholders is limited by applicable federal and California law and regulations. . If the Bank is unable to meet regulatory requirements to pay dividends or make other distributions to CVB, CVB will be unable to pay dividends to its shareholders.</w:t>
      </w:r>
    </w:p>
    <w:p>
      <w:pPr>
        <w:spacing w:after="0" w:line="135" w:lineRule="exact"/>
        <w:rPr>
          <w:sz w:val="20"/>
          <w:szCs w:val="20"/>
          <w:color w:val="auto"/>
        </w:rPr>
      </w:pPr>
    </w:p>
    <w:p>
      <w:pPr>
        <w:ind w:left="120" w:right="200" w:firstLine="551"/>
        <w:spacing w:after="0" w:line="282" w:lineRule="auto"/>
        <w:rPr>
          <w:sz w:val="20"/>
          <w:szCs w:val="20"/>
          <w:color w:val="auto"/>
        </w:rPr>
      </w:pPr>
      <w:r>
        <w:rPr>
          <w:rFonts w:ascii="Times New Roman" w:cs="Times New Roman" w:eastAsia="Times New Roman" w:hAnsi="Times New Roman"/>
          <w:sz w:val="18"/>
          <w:szCs w:val="18"/>
          <w:color w:val="auto"/>
        </w:rPr>
        <w:t>See “Business — Regulation and Supervision” and “Management’s Discussion and Analysis of Financial Condition and Results of Operations — Liquidity and Cash Flow.”</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our Common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or may decline</w:t>
      </w:r>
    </w:p>
    <w:p>
      <w:pPr>
        <w:spacing w:after="0" w:line="189" w:lineRule="exact"/>
        <w:rPr>
          <w:sz w:val="20"/>
          <w:szCs w:val="20"/>
          <w:color w:val="auto"/>
        </w:rPr>
      </w:pPr>
    </w:p>
    <w:p>
      <w:pPr>
        <w:ind w:left="120" w:firstLine="551"/>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may fluctuate widely as a result of a number of factors, many of which are outside our control. In addition, the stock market is subject to fluctuations in its share prices and trading volumes that affect the market prices of the shares of many companies. These specific and broad market fluctuations could adversely affect the market price of our common stock. Among the factors that could affect our stock price are:</w:t>
      </w:r>
    </w:p>
    <w:p>
      <w:pPr>
        <w:spacing w:after="0" w:line="180" w:lineRule="exact"/>
        <w:rPr>
          <w:sz w:val="20"/>
          <w:szCs w:val="20"/>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and financial condition;</w:t>
      </w:r>
    </w:p>
    <w:p>
      <w:pPr>
        <w:spacing w:after="0" w:line="2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publication of research reports and recommendations by financial analysts;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events or losses;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analysts’ revenue or earnings estimates;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trades by institutional shareholders or other large shareholders;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position;</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stock price and operating results of our competitors;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hedge funds, short term investors, activist shareholders or shareholder representative organizations;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in particular, developments related to market conditions for the financial services industry;</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or adopted regulatory changes or developments;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pending investigations, proceedings or litigation that involve or affect the Company and/or the Bank;</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losses or data or privacy breaches; or</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factors, whether related or unrelated to the Company’s performance.</w:t>
      </w:r>
    </w:p>
    <w:p>
      <w:pPr>
        <w:spacing w:after="0" w:line="288" w:lineRule="exact"/>
        <w:rPr>
          <w:sz w:val="20"/>
          <w:szCs w:val="20"/>
          <w:color w:val="auto"/>
        </w:rPr>
      </w:pPr>
    </w:p>
    <w:p>
      <w:pPr>
        <w:ind w:left="120" w:right="200" w:firstLine="551"/>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and the trading volume in our common stock may fluctuate and cause significant price variations to occur. The trading price of the shares of our common stock and the value of our other securities will depend on many factors, which may change from time to time, including, without limitation, our financial condition, performance, creditworthiness and prospects, future sales of our equity or equity related securities, and other factors identified above in “Cautionary Note Regarding Forward-Looking Statements”. A significant decline in our stock price could result in substantial losses for individual shareholders and could lead to costly and disruptive securities litigation. Extensive sales by large shareholders could also exert sustained downward pressure on our stock price.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common stock is not an insured deposit</w:t>
      </w:r>
    </w:p>
    <w:p>
      <w:pPr>
        <w:spacing w:after="0" w:line="202" w:lineRule="exact"/>
        <w:rPr>
          <w:sz w:val="20"/>
          <w:szCs w:val="20"/>
          <w:color w:val="auto"/>
        </w:rPr>
      </w:pPr>
    </w:p>
    <w:p>
      <w:pPr>
        <w:jc w:val="both"/>
        <w:ind w:left="120" w:right="20" w:firstLine="551"/>
        <w:spacing w:after="0" w:line="261" w:lineRule="auto"/>
        <w:rPr>
          <w:sz w:val="20"/>
          <w:szCs w:val="20"/>
          <w:color w:val="auto"/>
        </w:rPr>
      </w:pPr>
      <w:r>
        <w:rPr>
          <w:rFonts w:ascii="Times New Roman" w:cs="Times New Roman" w:eastAsia="Times New Roman" w:hAnsi="Times New Roman"/>
          <w:sz w:val="18"/>
          <w:szCs w:val="18"/>
          <w:color w:val="auto"/>
        </w:rPr>
        <w:t>Our common stock is not a bank deposit and, therefore, is not insured against loss by the FDIC, any other deposit insurance fund or by any other public or private entity. Investment in our common stock is inherently risky for the reasons described in this “Risk Factors” section and elsewhere in this report and is subject to the same market forces that affect the price of common stock in any company. As a result, if you acquire our common stock, you could lose some or all of your investment.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subordinate to our existing and future indebtedness and preferred stock.</w:t>
      </w:r>
    </w:p>
    <w:p>
      <w:pPr>
        <w:spacing w:after="0" w:line="189" w:lineRule="exact"/>
        <w:rPr>
          <w:sz w:val="20"/>
          <w:szCs w:val="20"/>
          <w:color w:val="auto"/>
        </w:rPr>
      </w:pPr>
    </w:p>
    <w:p>
      <w:pPr>
        <w:ind w:left="120" w:right="60" w:firstLine="551"/>
        <w:spacing w:after="0" w:line="261" w:lineRule="auto"/>
        <w:rPr>
          <w:sz w:val="20"/>
          <w:szCs w:val="20"/>
          <w:color w:val="auto"/>
        </w:rPr>
      </w:pPr>
      <w:r>
        <w:rPr>
          <w:rFonts w:ascii="Times New Roman" w:cs="Times New Roman" w:eastAsia="Times New Roman" w:hAnsi="Times New Roman"/>
          <w:sz w:val="18"/>
          <w:szCs w:val="18"/>
          <w:color w:val="auto"/>
        </w:rPr>
        <w:t>Shares of our common stock are equity interests and do not constitute indebtedness. As such, our common stock ranks junior to all our customer deposits and indebtedness, whether now existing or hereafter incurred, and other non-equity claims on us, with respect to assets available to satisfy claims. Additionally, holders of common stock are subject to the prior liquidation rights of the holders of any debt we may issue in the future and may be subject to the prior dividend and liquidation rights of any series of preferred stock we may issue in the future.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and federal law may limit the ability of another party to acquire us, which could cause our stock price to decline</w:t>
      </w:r>
    </w:p>
    <w:p>
      <w:pPr>
        <w:spacing w:after="0" w:line="189" w:lineRule="exact"/>
        <w:rPr>
          <w:sz w:val="20"/>
          <w:szCs w:val="20"/>
          <w:color w:val="auto"/>
        </w:rPr>
      </w:pPr>
    </w:p>
    <w:p>
      <w:pPr>
        <w:ind w:left="120" w:right="40" w:firstLine="551"/>
        <w:spacing w:after="0" w:line="256" w:lineRule="auto"/>
        <w:rPr>
          <w:sz w:val="20"/>
          <w:szCs w:val="20"/>
          <w:color w:val="auto"/>
        </w:rPr>
      </w:pPr>
      <w:r>
        <w:rPr>
          <w:rFonts w:ascii="Times New Roman" w:cs="Times New Roman" w:eastAsia="Times New Roman" w:hAnsi="Times New Roman"/>
          <w:sz w:val="18"/>
          <w:szCs w:val="18"/>
          <w:color w:val="auto"/>
        </w:rPr>
        <w:t>Various provisions of our articles of incorporation and by-laws and certain other actions we have taken could delay or prevent a third-party from acquiring us, even if doing so might be beneficial to our shareholders. The Bank Holding Company Act of 1956, as amended, and the Change in Bank Control Act of 1978, as amended, together with federal regulations, require that, depending on the particular circumstances, regulatory approval and/or appropriate regulatory filings may be required from either or all the Federal Reserve, the FDIC, the DFPI prior to any person or entity acquiring “control” (as defined in the applicable regulations) of a state non-member bank, such as the Bank. These provisions may prevent a merger or acquisition that would be attractive to shareholders and could limit the price investors would be willing to pay in the future for our common stock.</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face other risks</w:t>
      </w:r>
    </w:p>
    <w:p>
      <w:pPr>
        <w:spacing w:after="0" w:line="202" w:lineRule="exact"/>
        <w:rPr>
          <w:sz w:val="20"/>
          <w:szCs w:val="20"/>
          <w:color w:val="auto"/>
        </w:rPr>
      </w:pPr>
    </w:p>
    <w:p>
      <w:pPr>
        <w:ind w:left="120" w:firstLine="551"/>
        <w:spacing w:after="0" w:line="282" w:lineRule="auto"/>
        <w:rPr>
          <w:sz w:val="20"/>
          <w:szCs w:val="20"/>
          <w:color w:val="auto"/>
        </w:rPr>
      </w:pPr>
      <w:r>
        <w:rPr>
          <w:rFonts w:ascii="Times New Roman" w:cs="Times New Roman" w:eastAsia="Times New Roman" w:hAnsi="Times New Roman"/>
          <w:sz w:val="18"/>
          <w:szCs w:val="18"/>
          <w:color w:val="auto"/>
        </w:rPr>
        <w:t xml:space="preserve">From time to time, we detail other risks with respect to our business and/or financial results in our filings with the SEC. For further discussion on additional areas of risk, see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executive offices of the Company and the Bank are located in Ontario, California, and are owned by the Company.</w:t>
      </w:r>
    </w:p>
    <w:p>
      <w:pPr>
        <w:spacing w:after="0" w:line="185" w:lineRule="exact"/>
        <w:rPr>
          <w:sz w:val="20"/>
          <w:szCs w:val="20"/>
          <w:color w:val="auto"/>
        </w:rPr>
      </w:pPr>
    </w:p>
    <w:p>
      <w:pPr>
        <w:ind w:left="120" w:right="40" w:firstLine="551"/>
        <w:spacing w:after="0" w:line="261" w:lineRule="auto"/>
        <w:rPr>
          <w:sz w:val="20"/>
          <w:szCs w:val="20"/>
          <w:color w:val="auto"/>
        </w:rPr>
      </w:pPr>
      <w:r>
        <w:rPr>
          <w:rFonts w:ascii="Times New Roman" w:cs="Times New Roman" w:eastAsia="Times New Roman" w:hAnsi="Times New Roman"/>
          <w:sz w:val="18"/>
          <w:szCs w:val="18"/>
          <w:color w:val="auto"/>
        </w:rPr>
        <w:t>As of December 31, 2020, the Bank occupied a total of 60 premises consisting of (i) 57 Banking Centers (“Centers”) of which one Center is located at our Corporate Headquarters in Ontario California, (ii) three operation and technology centers, and (iii) one loan production office in Modesto, California. We own 15 of these locations and the remaining properties are leased under various agreements with expiration dates ranging from 2020 through 2028. All properties are located in Southern and Central California.</w:t>
      </w:r>
    </w:p>
    <w:p>
      <w:pPr>
        <w:spacing w:after="0" w:line="151" w:lineRule="exact"/>
        <w:rPr>
          <w:sz w:val="20"/>
          <w:szCs w:val="20"/>
          <w:color w:val="auto"/>
        </w:rPr>
      </w:pPr>
    </w:p>
    <w:p>
      <w:pPr>
        <w:ind w:left="120" w:right="220" w:firstLine="551"/>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concerning properties, see Note 9 — </w:t>
      </w:r>
      <w:r>
        <w:rPr>
          <w:rFonts w:ascii="Times New Roman" w:cs="Times New Roman" w:eastAsia="Times New Roman" w:hAnsi="Times New Roman"/>
          <w:sz w:val="18"/>
          <w:szCs w:val="18"/>
          <w:i w:val="1"/>
          <w:iCs w:val="1"/>
          <w:color w:val="auto"/>
        </w:rPr>
        <w:t>Premises and Equipment</w:t>
      </w:r>
      <w:r>
        <w:rPr>
          <w:rFonts w:ascii="Times New Roman" w:cs="Times New Roman" w:eastAsia="Times New Roman" w:hAnsi="Times New Roman"/>
          <w:sz w:val="18"/>
          <w:szCs w:val="18"/>
          <w:color w:val="auto"/>
        </w:rPr>
        <w:t xml:space="preserve"> of the Notes to the consolidated financial statements included in this report. See “Item 8 — </w:t>
      </w:r>
      <w:r>
        <w:rPr>
          <w:rFonts w:ascii="Times New Roman" w:cs="Times New Roman" w:eastAsia="Times New Roman" w:hAnsi="Times New Roman"/>
          <w:sz w:val="18"/>
          <w:szCs w:val="18"/>
          <w:i w:val="1"/>
          <w:iCs w:val="1"/>
          <w:color w:val="auto"/>
        </w:rPr>
        <w:t>Financial Statements and Supplemental Data</w:t>
      </w:r>
      <w:r>
        <w:rPr>
          <w:rFonts w:ascii="Times New Roman" w:cs="Times New Roman" w:eastAsia="Times New Roman" w:hAnsi="Times New Roman"/>
          <w:sz w:val="18"/>
          <w:szCs w:val="18"/>
          <w:color w:val="auto"/>
        </w:rPr>
        <w:t>.”</w:t>
      </w:r>
    </w:p>
    <w:p>
      <w:pPr>
        <w:spacing w:after="0" w:line="359"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left="120" w:right="20" w:firstLine="551"/>
        <w:spacing w:after="0" w:line="256" w:lineRule="auto"/>
        <w:rPr>
          <w:sz w:val="20"/>
          <w:szCs w:val="20"/>
          <w:color w:val="auto"/>
        </w:rPr>
      </w:pPr>
      <w:r>
        <w:rPr>
          <w:rFonts w:ascii="Times New Roman" w:cs="Times New Roman" w:eastAsia="Times New Roman" w:hAnsi="Times New Roman"/>
          <w:sz w:val="18"/>
          <w:szCs w:val="18"/>
          <w:color w:val="auto"/>
        </w:rPr>
        <w:t xml:space="preserve">The Company and its subsidiaries are parties to various lawsuits and threatened lawsuits in the ordinary and non-ordinary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and negligence claims, some of which may be styled as “class action” or representative cases. Some of these lawsuits may be similar in nature to other lawsuits pending against the Company’s competitors. For additional information concerning legal proceedings, see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the consolidated financial statements included in this report.</w:t>
      </w:r>
    </w:p>
    <w:p>
      <w:pPr>
        <w:spacing w:after="0" w:line="147"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67" w:lineRule="exact"/>
        <w:rPr>
          <w:sz w:val="20"/>
          <w:szCs w:val="20"/>
          <w:color w:val="auto"/>
        </w:rPr>
      </w:pPr>
    </w:p>
    <w:p>
      <w:pPr>
        <w:ind w:left="120" w:firstLine="551"/>
        <w:spacing w:after="0" w:line="258" w:lineRule="auto"/>
        <w:rPr>
          <w:sz w:val="20"/>
          <w:szCs w:val="20"/>
          <w:color w:val="auto"/>
        </w:rPr>
      </w:pPr>
      <w:r>
        <w:rPr>
          <w:rFonts w:ascii="Times New Roman" w:cs="Times New Roman" w:eastAsia="Times New Roman" w:hAnsi="Times New Roman"/>
          <w:sz w:val="18"/>
          <w:szCs w:val="18"/>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551"/>
        <w:spacing w:after="0" w:line="261" w:lineRule="auto"/>
        <w:rPr>
          <w:sz w:val="20"/>
          <w:szCs w:val="20"/>
          <w:color w:val="auto"/>
        </w:rPr>
      </w:pPr>
      <w:r>
        <w:rPr>
          <w:rFonts w:ascii="Times New Roman" w:cs="Times New Roman" w:eastAsia="Times New Roman" w:hAnsi="Times New Roman"/>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378"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40"/>
          </w:cols>
          <w:pgMar w:left="320" w:top="482" w:right="5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420" w:right="900" w:hanging="1308"/>
        <w:spacing w:after="0" w:line="28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THE REGISTRANT’S COMMON EQUITY, RELATED STOCKHOLDER MATTERS AND ISSUER PURCHASES OF EQUITY SECURITIES</w:t>
      </w:r>
    </w:p>
    <w:p>
      <w:pPr>
        <w:spacing w:after="0" w:line="132" w:lineRule="exact"/>
        <w:rPr>
          <w:sz w:val="20"/>
          <w:szCs w:val="20"/>
          <w:color w:val="auto"/>
        </w:rPr>
      </w:pPr>
    </w:p>
    <w:p>
      <w:pPr>
        <w:ind w:left="120" w:right="820" w:firstLine="551"/>
        <w:spacing w:after="0" w:line="282" w:lineRule="auto"/>
        <w:rPr>
          <w:sz w:val="20"/>
          <w:szCs w:val="20"/>
          <w:color w:val="auto"/>
        </w:rPr>
      </w:pPr>
      <w:r>
        <w:rPr>
          <w:rFonts w:ascii="Times New Roman" w:cs="Times New Roman" w:eastAsia="Times New Roman" w:hAnsi="Times New Roman"/>
          <w:sz w:val="18"/>
          <w:szCs w:val="18"/>
          <w:color w:val="auto"/>
        </w:rPr>
        <w:t>CVB’s common stock is traded on the NASDAQ Global Select National Market under the symbol “CVBF.” CVB had approximately 135,873,607 shares of common stock outstanding with 1,573 registered shareholders of record as of February 12, 2021.</w:t>
      </w:r>
    </w:p>
    <w:p>
      <w:pPr>
        <w:spacing w:after="0" w:line="121" w:lineRule="exact"/>
        <w:rPr>
          <w:sz w:val="20"/>
          <w:szCs w:val="20"/>
          <w:color w:val="auto"/>
        </w:rPr>
      </w:pPr>
    </w:p>
    <w:p>
      <w:pPr>
        <w:ind w:left="120" w:firstLine="551"/>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statutory and regulatory limitations on the ability of the Company to pay dividends to its shareholders and on the Bank to pay dividends to CVB, see “Item 1. </w:t>
      </w:r>
      <w:r>
        <w:rPr>
          <w:rFonts w:ascii="Times New Roman" w:cs="Times New Roman" w:eastAsia="Times New Roman" w:hAnsi="Times New Roman"/>
          <w:sz w:val="18"/>
          <w:szCs w:val="18"/>
          <w:i w:val="1"/>
          <w:iCs w:val="1"/>
          <w:color w:val="auto"/>
        </w:rPr>
        <w:t>Business-Regulation and Supervision — Dividends</w:t>
      </w:r>
      <w:r>
        <w:rPr>
          <w:rFonts w:ascii="Times New Roman" w:cs="Times New Roman" w:eastAsia="Times New Roman" w:hAnsi="Times New Roman"/>
          <w:sz w:val="18"/>
          <w:szCs w:val="18"/>
          <w:color w:val="auto"/>
        </w:rPr>
        <w:t xml:space="preserve">” and “Item 7.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 Liquidity and Cash Flow</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ind w:left="120" w:right="80" w:firstLine="551"/>
        <w:spacing w:after="0" w:line="256" w:lineRule="auto"/>
        <w:rPr>
          <w:sz w:val="20"/>
          <w:szCs w:val="20"/>
          <w:color w:val="auto"/>
        </w:rPr>
      </w:pPr>
      <w:r>
        <w:rPr>
          <w:rFonts w:ascii="Times New Roman" w:cs="Times New Roman" w:eastAsia="Times New Roman" w:hAnsi="Times New Roman"/>
          <w:sz w:val="18"/>
          <w:szCs w:val="18"/>
          <w:color w:val="auto"/>
        </w:rPr>
        <w:t>On August 11, 2016,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There is no expiration date for this repurchase program. For the year ended December 31, 2020, the Company repurchased 4,944,290 shares of CVB common stock outstanding under this program. During the fourth quarter ended December 31, 2020, the Company did not repurchase any shares of common stock under this program. As of December 31, 2020, we have 4,585,145 shares of CVB common stock remaining that are eligible for repurchase under the common stock repurchase program.</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82" w:right="4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0" w:lineRule="exact"/>
        <w:rPr>
          <w:sz w:val="20"/>
          <w:szCs w:val="20"/>
          <w:color w:val="auto"/>
        </w:rPr>
      </w:pPr>
    </w:p>
    <w:p>
      <w:pPr>
        <w:jc w:val="both"/>
        <w:ind w:left="120" w:right="400" w:firstLine="551"/>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be “filed” with the Securities and Exchange Commission,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135" w:lineRule="exact"/>
        <w:rPr>
          <w:sz w:val="20"/>
          <w:szCs w:val="20"/>
          <w:color w:val="auto"/>
        </w:rPr>
      </w:pPr>
    </w:p>
    <w:p>
      <w:pPr>
        <w:ind w:left="120" w:right="120" w:firstLine="551"/>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yearly percentage change in CVB’s cumulative total shareholder return (stock price appreciation plus reinvested dividends) on common stock (i) the cumulative total return of the Nasdaq Composite Index; and (ii) a published index comprised by Morningstar (formerly Hemscott, Inc.) of banks and bank holding companies in the Pacific region (the peer group line depicted below). The graph assumes an initial investment of $100 on December 31, 2015, and reinvestment of dividends through December 31, 2020. Points on the graph represent the performance as of the last business day of each of the years indicated.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307975</wp:posOffset>
            </wp:positionV>
            <wp:extent cx="4397375" cy="34201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9737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ASSUMES $100 INVESTED ON DECEMBER 31, 2015</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ASSUMES DIVIDEND REINVESTED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FISCAL YEAR ENDING DECEMBER 31, 2020</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Company/Market/Peer Group</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12/31/2015</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12/31/2016</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12/31/2017</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12/31/2018</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12/31/2019</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12/31/2020</w:t>
            </w:r>
          </w:p>
        </w:tc>
        <w:tc>
          <w:tcPr>
            <w:tcW w:w="80" w:type="dxa"/>
            <w:vAlign w:val="bottom"/>
          </w:tcPr>
          <w:p>
            <w:pPr>
              <w:spacing w:after="0"/>
              <w:rPr>
                <w:sz w:val="20"/>
                <w:szCs w:val="20"/>
                <w:color w:val="auto"/>
              </w:rPr>
            </w:pPr>
          </w:p>
        </w:tc>
      </w:tr>
      <w:tr>
        <w:trPr>
          <w:trHeight w:val="20"/>
        </w:trPr>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CVB Financial Corp.</w:t>
            </w:r>
          </w:p>
        </w:tc>
        <w:tc>
          <w:tcPr>
            <w:tcW w:w="3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138.47</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145.52</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128.08</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141.16</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133.78</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Composite</w:t>
            </w:r>
          </w:p>
        </w:tc>
        <w:tc>
          <w:tcPr>
            <w:tcW w:w="3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108.87</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141.13</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137.12</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187.44</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271.64</w:t>
            </w: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Peer Group Index</w:t>
            </w:r>
          </w:p>
        </w:tc>
        <w:tc>
          <w:tcPr>
            <w:tcW w:w="3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138.17</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158.23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127.37</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159.28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163.05</w:t>
            </w: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Source: Research Data Group, Inc., www.researchdatagroup.com</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SELECTED FINANCIAL DATA</w:t>
      </w:r>
    </w:p>
    <w:p>
      <w:pPr>
        <w:spacing w:after="0" w:line="121" w:lineRule="exact"/>
        <w:rPr>
          <w:sz w:val="20"/>
          <w:szCs w:val="20"/>
          <w:color w:val="auto"/>
        </w:rPr>
      </w:pPr>
    </w:p>
    <w:p>
      <w:pPr>
        <w:ind w:left="120" w:right="46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reflects selected financial information at and for the five years ended December 31. Throughout the past five years, the Company has acquired other banks. This may affect the comparability of the data.</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r>
      <w:tr>
        <w:trPr>
          <w:trHeight w:val="169"/>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430,337</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457,850</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361,860</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287,226</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265,050</w:t>
            </w: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14,284</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22,078</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12,815</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8,296</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7,976</w:t>
            </w:r>
          </w:p>
        </w:tc>
      </w:tr>
      <w:tr>
        <w:trPr>
          <w:trHeight w:val="27"/>
        </w:trPr>
        <w:tc>
          <w:tcPr>
            <w:tcW w:w="5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interest income before provision for (recapture of) credit losses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416,053</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435,772</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349,045</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278,930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257,074</w:t>
            </w:r>
          </w:p>
        </w:tc>
      </w:tr>
      <w:tr>
        <w:trPr>
          <w:trHeight w:val="156"/>
        </w:trPr>
        <w:tc>
          <w:tcPr>
            <w:tcW w:w="54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Provision for (recapture of) credit losses</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23,500</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5,000</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1,500</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(8,500)</w:t>
            </w: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(6,400)</w:t>
            </w:r>
          </w:p>
        </w:tc>
        <w:tc>
          <w:tcPr>
            <w:tcW w:w="100" w:type="dxa"/>
            <w:vAlign w:val="bottom"/>
          </w:tcPr>
          <w:p>
            <w:pPr>
              <w:spacing w:after="0"/>
              <w:rPr>
                <w:sz w:val="13"/>
                <w:szCs w:val="13"/>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interest income after provision for (recapture of) credit losses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392,553</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430,772</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347,545</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287,430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263,474</w:t>
            </w: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Noninterest income</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49,870</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59,042</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43,481</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42,118</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35,552</w:t>
            </w: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Noninterest expense</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192,903</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198,740</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179,911</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140,753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136,740</w:t>
            </w:r>
          </w:p>
        </w:tc>
      </w:tr>
      <w:tr>
        <w:trPr>
          <w:trHeight w:val="155"/>
        </w:trPr>
        <w:tc>
          <w:tcPr>
            <w:tcW w:w="54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Earnings before income taxes</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249,520</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291,074</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211,115</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188,795</w:t>
            </w: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162,286</w:t>
            </w:r>
          </w:p>
        </w:tc>
        <w:tc>
          <w:tcPr>
            <w:tcW w:w="100" w:type="dxa"/>
            <w:vAlign w:val="bottom"/>
          </w:tcPr>
          <w:p>
            <w:pPr>
              <w:spacing w:after="0"/>
              <w:rPr>
                <w:sz w:val="13"/>
                <w:szCs w:val="13"/>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72,361</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83,247</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59,112</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84,384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60,857</w:t>
            </w:r>
          </w:p>
        </w:tc>
      </w:tr>
      <w:tr>
        <w:trPr>
          <w:trHeight w:val="156"/>
        </w:trPr>
        <w:tc>
          <w:tcPr>
            <w:tcW w:w="54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177,159</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207,827</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152,003</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104,411</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101,429</w:t>
            </w:r>
          </w:p>
        </w:tc>
        <w:tc>
          <w:tcPr>
            <w:tcW w:w="100" w:type="dxa"/>
            <w:vAlign w:val="bottom"/>
          </w:tcPr>
          <w:p>
            <w:pPr>
              <w:spacing w:after="0"/>
              <w:rPr>
                <w:sz w:val="13"/>
                <w:szCs w:val="13"/>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4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Basic earnings per common share</w:t>
            </w:r>
          </w:p>
        </w:tc>
        <w:tc>
          <w:tcPr>
            <w:tcW w:w="1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3" w:lineRule="exact"/>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3" w:lineRule="exact"/>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3" w:lineRule="exact"/>
              <w:rPr>
                <w:sz w:val="20"/>
                <w:szCs w:val="20"/>
                <w:color w:val="auto"/>
              </w:rPr>
            </w:pPr>
            <w:r>
              <w:rPr>
                <w:rFonts w:ascii="Times New Roman" w:cs="Times New Roman" w:eastAsia="Times New Roman" w:hAnsi="Times New Roman"/>
                <w:sz w:val="14"/>
                <w:szCs w:val="14"/>
                <w:color w:val="auto"/>
              </w:rPr>
              <w:t>1.25</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20"/>
              <w:spacing w:after="0" w:line="143" w:lineRule="exact"/>
              <w:rPr>
                <w:sz w:val="20"/>
                <w:szCs w:val="20"/>
                <w:color w:val="auto"/>
              </w:rPr>
            </w:pPr>
            <w:r>
              <w:rPr>
                <w:rFonts w:ascii="Times New Roman" w:cs="Times New Roman" w:eastAsia="Times New Roman" w:hAnsi="Times New Roman"/>
                <w:sz w:val="14"/>
                <w:szCs w:val="14"/>
                <w:color w:val="auto"/>
              </w:rPr>
              <w:t>0.95</w:t>
            </w:r>
          </w:p>
        </w:tc>
        <w:tc>
          <w:tcPr>
            <w:tcW w:w="1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0.94</w:t>
            </w: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Diluted earnings per common share</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0.95</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0.94</w:t>
            </w: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 per common share</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0.72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0.72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0.56</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0.54</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0.48</w:t>
            </w: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pay-out ratio (1)</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55.13%</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48.57%</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46.19%</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56.97%</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51.12%</w:t>
            </w: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common shares: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136,030,613</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139,757,355</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121,670,113</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w w:val="99"/>
              </w:rPr>
              <w:t>109,409,301</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107,282,332</w:t>
            </w:r>
          </w:p>
        </w:tc>
      </w:tr>
      <w:tr>
        <w:trPr>
          <w:trHeight w:val="148"/>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136,206,210</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139,934,211</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121,957,364</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w w:val="99"/>
              </w:rPr>
              <w:t>109,806,710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107,686,955</w:t>
            </w: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Data:</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Common shares outstanding at year end</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135,600,501</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140,102,480</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140,000,017</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w w:val="99"/>
              </w:rPr>
              <w:t>110,184,922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108,251,981</w:t>
            </w:r>
          </w:p>
        </w:tc>
      </w:tr>
      <w:tr>
        <w:trPr>
          <w:trHeight w:val="149"/>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Book value per share</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14.81</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14.23</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9.70</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9.15</w:t>
            </w: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Position:</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14,419,314</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11,282,450</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11,529,153</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8,270,586</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8,073,707</w:t>
            </w:r>
          </w:p>
        </w:tc>
      </w:tr>
      <w:tr>
        <w:trPr>
          <w:trHeight w:val="148"/>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2,977,549</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2,414,709</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2,478,525</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2,910,875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3,182,142</w:t>
            </w:r>
          </w:p>
        </w:tc>
      </w:tr>
      <w:tr>
        <w:trPr>
          <w:trHeight w:val="148"/>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loans (2)</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8,255,116</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7,495,917</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7,700,998</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4,771,046</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4,333,524</w:t>
            </w:r>
          </w:p>
        </w:tc>
      </w:tr>
      <w:tr>
        <w:trPr>
          <w:trHeight w:val="149"/>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11,736,501</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8,704,928</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8,827,490</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6,546,853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6,309,680</w:t>
            </w:r>
          </w:p>
        </w:tc>
      </w:tr>
      <w:tr>
        <w:trPr>
          <w:trHeight w:val="148"/>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Borrowings</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444,406</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428,659</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722,255</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553,773</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656,028</w:t>
            </w:r>
          </w:p>
        </w:tc>
      </w:tr>
      <w:tr>
        <w:trPr>
          <w:trHeight w:val="148"/>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Junior subordinated debentures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25,774</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25,774</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25,774</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25,774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25,774</w:t>
            </w:r>
          </w:p>
        </w:tc>
      </w:tr>
      <w:tr>
        <w:trPr>
          <w:trHeight w:val="148"/>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2,007,990</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1,994,098</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1,851,190</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1,069,266</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990,862</w:t>
            </w:r>
          </w:p>
        </w:tc>
      </w:tr>
      <w:tr>
        <w:trPr>
          <w:trHeight w:val="149"/>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Equity-to-assets ratio (3)</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13.93%</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17.67%</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16.06%</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12.93%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12.27%</w:t>
            </w: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Performance: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Return on average equity (ROAE)</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8.90%</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10.71%</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9.84%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10.26%</w:t>
            </w:r>
          </w:p>
        </w:tc>
      </w:tr>
      <w:tr>
        <w:trPr>
          <w:trHeight w:val="149"/>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Return on average assets (ROAA)</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w:t>
            </w:r>
          </w:p>
        </w:tc>
      </w:tr>
      <w:tr>
        <w:trPr>
          <w:trHeight w:val="148"/>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interest margin, tax-equivalent (TE) (4)</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3.46%</w:t>
            </w:r>
          </w:p>
        </w:tc>
      </w:tr>
      <w:tr>
        <w:trPr>
          <w:trHeight w:val="148"/>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Efficiency ratio (5)</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41.40%</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40.16%</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45.83%</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43.84%</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46.73%</w:t>
            </w:r>
          </w:p>
        </w:tc>
      </w:tr>
      <w:tr>
        <w:trPr>
          <w:trHeight w:val="149"/>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Noninterest expense to average assets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w:t>
            </w: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Credit Quality:</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93,692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68,660</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63,613</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59,585</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61,540</w:t>
            </w:r>
          </w:p>
        </w:tc>
      </w:tr>
      <w:tr>
        <w:trPr>
          <w:trHeight w:val="148"/>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Allowance/total loans</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0.91%</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0.82%</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w:t>
            </w:r>
          </w:p>
        </w:tc>
      </w:tr>
      <w:tr>
        <w:trPr>
          <w:trHeight w:val="148"/>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Total nonaccrual loans</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14,347</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5,277</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19,951</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10,716</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7,152</w:t>
            </w:r>
          </w:p>
        </w:tc>
      </w:tr>
      <w:tr>
        <w:trPr>
          <w:trHeight w:val="149"/>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Nonaccrual loans/total loans, net of deferred loan fees</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0.26%</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0.16%</w:t>
            </w:r>
          </w:p>
        </w:tc>
      </w:tr>
      <w:tr>
        <w:trPr>
          <w:trHeight w:val="148"/>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Allowance/nonaccrual loans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653.04%</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1301.12%</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318.85%</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556.04%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860.46%</w:t>
            </w:r>
          </w:p>
        </w:tc>
      </w:tr>
      <w:tr>
        <w:trPr>
          <w:trHeight w:val="148"/>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(charge-offs) recoveries/average loans</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-0.004%</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0.001%</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0.21%</w:t>
            </w: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Regulatory Capital Ratios: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Tier 1 leverage ratio</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9.90%</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12.33%</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10.98%</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11.88%</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11.49%</w:t>
            </w:r>
          </w:p>
        </w:tc>
      </w:tr>
      <w:tr>
        <w:trPr>
          <w:trHeight w:val="148"/>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Common equity Tier 1 risk-based capital ratio</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14.77%</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13.04%</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16.43%</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16.48%</w:t>
            </w:r>
          </w:p>
        </w:tc>
      </w:tr>
      <w:tr>
        <w:trPr>
          <w:trHeight w:val="148"/>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Tier 1 risk-based capital ratio</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15.11%</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13.32%</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16.94%</w:t>
            </w:r>
          </w:p>
        </w:tc>
      </w:tr>
      <w:tr>
        <w:trPr>
          <w:trHeight w:val="149"/>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Total risk-based capital ratio</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16.01%</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14.13%</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18.01%</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18.19%</w:t>
            </w: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Bank:</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Tier 1 leverage ratio</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9.58%</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10.90%</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11.77%</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11.36%</w:t>
            </w:r>
          </w:p>
        </w:tc>
      </w:tr>
      <w:tr>
        <w:trPr>
          <w:trHeight w:val="149"/>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Common equity Tier 1 risk-based capital ratio</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14.57%</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16.76%</w:t>
            </w:r>
          </w:p>
        </w:tc>
      </w:tr>
      <w:tr>
        <w:trPr>
          <w:trHeight w:val="148"/>
        </w:trPr>
        <w:tc>
          <w:tcPr>
            <w:tcW w:w="5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Tier 1 risk-based capital ratio</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14.57%</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1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16.76%</w:t>
            </w:r>
          </w:p>
        </w:tc>
      </w:tr>
      <w:tr>
        <w:trPr>
          <w:trHeight w:val="148"/>
        </w:trPr>
        <w:tc>
          <w:tcPr>
            <w:tcW w:w="5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Total risk-based capital ratio</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15.75%</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15.83%</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14.03%</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17.86%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18.01%</w:t>
            </w:r>
          </w:p>
        </w:tc>
      </w:tr>
    </w:tbl>
    <w:p>
      <w:pPr>
        <w:spacing w:after="0" w:line="103" w:lineRule="exact"/>
        <w:rPr>
          <w:sz w:val="20"/>
          <w:szCs w:val="20"/>
          <w:color w:val="auto"/>
        </w:rPr>
      </w:pPr>
    </w:p>
    <w:p>
      <w:pPr>
        <w:ind w:left="880" w:hanging="548"/>
        <w:spacing w:after="0"/>
        <w:tabs>
          <w:tab w:leader="none" w:pos="8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Dividends declared on common stock divided by net earnings.</w:t>
      </w:r>
    </w:p>
    <w:p>
      <w:pPr>
        <w:ind w:left="880" w:hanging="548"/>
        <w:spacing w:after="0" w:line="216" w:lineRule="auto"/>
        <w:tabs>
          <w:tab w:leader="none" w:pos="8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2016-2018 includes purchased credit-impaired (“PCI”) loans.</w:t>
      </w:r>
    </w:p>
    <w:p>
      <w:pPr>
        <w:ind w:left="880" w:hanging="548"/>
        <w:spacing w:after="0" w:line="216" w:lineRule="auto"/>
        <w:tabs>
          <w:tab w:leader="none" w:pos="8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Stockholders’ equity divided by total assets.</w:t>
      </w:r>
    </w:p>
    <w:p>
      <w:pPr>
        <w:ind w:left="880" w:hanging="548"/>
        <w:spacing w:after="0" w:line="216" w:lineRule="auto"/>
        <w:tabs>
          <w:tab w:leader="none" w:pos="8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interest income (TE) divided by average interest-earning assets.</w:t>
      </w:r>
    </w:p>
    <w:p>
      <w:pPr>
        <w:ind w:left="880" w:right="40" w:hanging="548"/>
        <w:spacing w:after="0" w:line="228" w:lineRule="auto"/>
        <w:tabs>
          <w:tab w:leader="none" w:pos="8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Noninterest expense divided by net interest income before provision for credit losses plus noninterest income. Also refer to “Noninterest Expense and Efficiency Ratio Reconciliation (non-GAAP)” under </w:t>
      </w:r>
      <w:r>
        <w:rPr>
          <w:rFonts w:ascii="Times New Roman" w:cs="Times New Roman" w:eastAsia="Times New Roman" w:hAnsi="Times New Roman"/>
          <w:sz w:val="13"/>
          <w:szCs w:val="13"/>
          <w:i w:val="1"/>
          <w:iCs w:val="1"/>
          <w:color w:val="auto"/>
        </w:rPr>
        <w:t xml:space="preserve">Analysis of the Results of Operations </w:t>
      </w:r>
      <w:r>
        <w:rPr>
          <w:rFonts w:ascii="Times New Roman" w:cs="Times New Roman" w:eastAsia="Times New Roman" w:hAnsi="Times New Roman"/>
          <w:sz w:val="13"/>
          <w:szCs w:val="13"/>
          <w:color w:val="auto"/>
        </w:rPr>
        <w:t>of Item 7 of this Form 10-K.</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02" w:lineRule="exact"/>
        <w:rPr>
          <w:sz w:val="20"/>
          <w:szCs w:val="20"/>
          <w:color w:val="auto"/>
        </w:rPr>
      </w:pPr>
    </w:p>
    <w:p>
      <w:pPr>
        <w:ind w:left="120" w:right="120" w:firstLine="551"/>
        <w:spacing w:after="0" w:line="261" w:lineRule="auto"/>
        <w:rPr>
          <w:sz w:val="20"/>
          <w:szCs w:val="20"/>
          <w:color w:val="auto"/>
        </w:rPr>
      </w:pPr>
      <w:r>
        <w:rPr>
          <w:rFonts w:ascii="Times New Roman" w:cs="Times New Roman" w:eastAsia="Times New Roman" w:hAnsi="Times New Roman"/>
          <w:sz w:val="18"/>
          <w:szCs w:val="18"/>
          <w:color w:val="auto"/>
        </w:rPr>
        <w:t>The following discussion provides information about the results of operations, financial condition, liquidity, and capital resources of CVB Financial Corp. and its wholly owned subsidiary. This information is intended to facilitate the understanding and assessment of significant changes and trends related to our financial condition and the results of our operations. This discussion and analysis should be read in conjunction with this Annual Report on Form 10-K, and the audited consolidated financial statements and accompanying notes presented elsewhere in this report.</w:t>
      </w: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02"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The spread of COVID-19 has created a global public health crisis that has resulted in unprecedented volatility and disruption in financial markets and deterioration in economic activity and market conditions in the markets we serve. The pandemic has already affected our customers and the communities we serve and depending on the duration of the crisis, the adverse impact on our financial position and results of operations could be significant. In response to the anticipated effects of the pandemic on the U.S. economy, the Board of Governors of the Federal Reserve System (“FRB”) has taken significant actions, including a reduction in the target range of the federal funds rate to 0.0% to 0.25% and an indeterminate amount of purchases of Treasury and mortgage-backed securities.</w:t>
      </w:r>
    </w:p>
    <w:p>
      <w:pPr>
        <w:spacing w:after="0" w:line="147" w:lineRule="exact"/>
        <w:rPr>
          <w:sz w:val="20"/>
          <w:szCs w:val="20"/>
          <w:color w:val="auto"/>
        </w:rPr>
      </w:pPr>
    </w:p>
    <w:p>
      <w:pPr>
        <w:ind w:left="120" w:right="80" w:firstLine="551"/>
        <w:spacing w:after="0" w:line="254"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It contains substantial tax and spending provisions intended to address the impact of the COVID-19 pandemic. The CARES Act includes the Paycheck Protection Program (“PPP”), a $349 billion program designed to aid small- and medium-sized businesses through 100% SBA guaranteed loans distributed through banks. These loans were intended to guarantee 24 weeks of payroll and other costs to help those businesses remain viable and keep their workers employed. The SBA exhausted the initial funding for this program on April 15, 2020, but legislation passed on April 24, 2020 to provide additional PPP funds of</w:t>
      </w:r>
    </w:p>
    <w:p>
      <w:pPr>
        <w:spacing w:after="0" w:line="3" w:lineRule="exact"/>
        <w:rPr>
          <w:sz w:val="20"/>
          <w:szCs w:val="20"/>
          <w:color w:val="auto"/>
        </w:rPr>
      </w:pPr>
    </w:p>
    <w:p>
      <w:pPr>
        <w:ind w:left="120" w:right="60"/>
        <w:spacing w:after="0" w:line="265" w:lineRule="auto"/>
        <w:rPr>
          <w:sz w:val="20"/>
          <w:szCs w:val="20"/>
          <w:color w:val="auto"/>
        </w:rPr>
      </w:pPr>
      <w:r>
        <w:rPr>
          <w:rFonts w:ascii="Times New Roman" w:cs="Times New Roman" w:eastAsia="Times New Roman" w:hAnsi="Times New Roman"/>
          <w:sz w:val="17"/>
          <w:szCs w:val="17"/>
          <w:color w:val="auto"/>
        </w:rPr>
        <w:t>$310 billion. During 2020, we originated and funded about 4,100 loans, totaling approximately $1.10 billion. In response to the COVID-19 pandemic, we also implemented a short-term loan modification program to provide temporary payment relief to certain of our borrowers who meet the program’s qualifications. This program allows for a deferral of payments for 90 days. The deferred payments along with interest accrued during the deferral period are due and payable on the maturity date of the existing loan. As of January 15, 2021, we had remaining temporary payment deferments of principal or of principal and interest in response to the CARES Act for six loans totaling $10 million. These deferments were primarily for 90 days, with 85% of these loans being rated special mention or classified. Further, on January 13, 2021, the SBA reopened the PPP for Second Draw loans to small businesses and non-profit organizations that did receive a loan through the initial PPP phase. At least $25 billion has been set aside for Second Draw</w:t>
      </w:r>
    </w:p>
    <w:p>
      <w:pPr>
        <w:spacing w:after="0" w:line="1" w:lineRule="exact"/>
        <w:rPr>
          <w:sz w:val="20"/>
          <w:szCs w:val="20"/>
          <w:color w:val="auto"/>
        </w:rPr>
      </w:pPr>
    </w:p>
    <w:p>
      <w:pPr>
        <w:ind w:left="120" w:right="200" w:hanging="4"/>
        <w:spacing w:after="0" w:line="253" w:lineRule="auto"/>
        <w:tabs>
          <w:tab w:leader="none" w:pos="4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eligible borrowers with a maximum of 10 employees or for loans of $250,000 or less to eligible borrowers in low or moderate income neighborhoods. Generally speaking, businesses with more than 300 employees and/or less than a 25% reduction in gross receipts between comparable quarters in 2019 and 2020 are not eligible for Second Draw loans. Further, maximum loan amounts have been increased for accommodation and food service businesses. Recently, the Bank began accepting applications for the second round of PPP loans. As of January 25, 2021, we have received approximately 1,400 applications totaling $340 million.</w:t>
      </w:r>
    </w:p>
    <w:p>
      <w:pPr>
        <w:spacing w:after="0" w:line="146" w:lineRule="exact"/>
        <w:rPr>
          <w:sz w:val="20"/>
          <w:szCs w:val="20"/>
          <w:color w:val="auto"/>
        </w:rPr>
      </w:pPr>
    </w:p>
    <w:p>
      <w:pPr>
        <w:ind w:left="120" w:right="80" w:firstLine="551"/>
        <w:spacing w:after="0" w:line="256" w:lineRule="auto"/>
        <w:rPr>
          <w:sz w:val="20"/>
          <w:szCs w:val="20"/>
          <w:color w:val="auto"/>
        </w:rPr>
      </w:pPr>
      <w:r>
        <w:rPr>
          <w:rFonts w:ascii="Times New Roman" w:cs="Times New Roman" w:eastAsia="Times New Roman" w:hAnsi="Times New Roman"/>
          <w:sz w:val="18"/>
          <w:szCs w:val="18"/>
          <w:color w:val="auto"/>
        </w:rPr>
        <w:t>The fourth and third quarters of 2020 did not include a provision for credit losses, as the economic outlook was generally consistent with the forecast from the end of the second quarter. In comparison, the Company recorded a provision for credit losses of $23.5 million in the first half of 2020. We continue to monitor the impact of COVID-19 closely, as well as any effects that may result from the CARES Act. The extent to which the COVID-19 pandemic will impact our operations and financial results during 2021 is highly uncertain, but we may experience increased provision for credit losses if this pandemic results in economic stress greater than forecasted on our borrowers and loan portfolios and lower interest income if the current low interest rate environment continues.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2" w:lineRule="exact"/>
        <w:rPr>
          <w:sz w:val="20"/>
          <w:szCs w:val="20"/>
          <w:color w:val="auto"/>
        </w:rPr>
      </w:pPr>
    </w:p>
    <w:p>
      <w:pPr>
        <w:ind w:left="120" w:right="560" w:firstLine="551"/>
        <w:spacing w:after="0" w:line="26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35" w:lineRule="exact"/>
        <w:rPr>
          <w:sz w:val="20"/>
          <w:szCs w:val="20"/>
          <w:color w:val="auto"/>
        </w:rPr>
      </w:pPr>
    </w:p>
    <w:p>
      <w:pPr>
        <w:ind w:left="120" w:right="120" w:firstLine="551"/>
        <w:spacing w:after="0" w:line="258" w:lineRule="auto"/>
        <w:rPr>
          <w:sz w:val="20"/>
          <w:szCs w:val="20"/>
          <w:color w:val="auto"/>
        </w:rPr>
      </w:pPr>
      <w:r>
        <w:rPr>
          <w:rFonts w:ascii="Times New Roman" w:cs="Times New Roman" w:eastAsia="Times New Roman" w:hAnsi="Times New Roman"/>
          <w:sz w:val="18"/>
          <w:szCs w:val="18"/>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most important in the estimation process. We have used the best information available to make the necessary estimates to value the related assets and liabilities. Actual performance that differs from our estimates and future changes in the key variables could change future valuations and impact the results of operations.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198" w:lineRule="exact"/>
        <w:rPr>
          <w:sz w:val="20"/>
          <w:szCs w:val="20"/>
          <w:color w:val="auto"/>
        </w:rPr>
      </w:pPr>
    </w:p>
    <w:p>
      <w:pPr>
        <w:ind w:left="120" w:right="220" w:firstLine="5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(“ACL”) </w:t>
      </w:r>
      <w:r>
        <w:rPr>
          <w:rFonts w:ascii="Times New Roman" w:cs="Times New Roman" w:eastAsia="Times New Roman" w:hAnsi="Times New Roman"/>
          <w:sz w:val="18"/>
          <w:szCs w:val="18"/>
          <w:color w:val="auto"/>
        </w:rPr>
        <w:t>— On January 1, 2020, the Company adopted ASU No. 2016-13, “Financial Instruments —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(Topic 326): Measurement of Credit Losses on Financial Instruments”. This ASU significantly changes how entities will measure credit losses for most financial assets and certain other instruments that are not measured at fair value through net income. We adopted this ASU using a modified retrospective approach, as required, and have not adjusted prior period comparative information and will continue to disclose prior period financial information in accordance with the previous accounting guidance. The adoption of ASU 2016-13, resulted in a reduction to our opening retained earnings of approximately $1.3 million, net of tax.</w:t>
      </w:r>
    </w:p>
    <w:p>
      <w:pPr>
        <w:spacing w:after="0" w:line="146" w:lineRule="exact"/>
        <w:rPr>
          <w:sz w:val="20"/>
          <w:szCs w:val="20"/>
          <w:color w:val="auto"/>
        </w:rPr>
      </w:pPr>
    </w:p>
    <w:p>
      <w:pPr>
        <w:ind w:left="120" w:firstLine="551"/>
        <w:spacing w:after="0" w:line="252" w:lineRule="auto"/>
        <w:rPr>
          <w:sz w:val="20"/>
          <w:szCs w:val="20"/>
          <w:color w:val="auto"/>
        </w:rPr>
      </w:pPr>
      <w:r>
        <w:rPr>
          <w:rFonts w:ascii="Times New Roman" w:cs="Times New Roman" w:eastAsia="Times New Roman" w:hAnsi="Times New Roman"/>
          <w:sz w:val="18"/>
          <w:szCs w:val="18"/>
          <w:color w:val="auto"/>
        </w:rPr>
        <w:t>This ASU replaces the current “incurred loss” approach with an “expected loss” model. The new model, referred to as the Current Expected Credit Loss (“CECL”) model, applies to: (1) financial assets subject to credit losses and measured at amortized cost, and (2) certain off balance sheet credit exposures. This includes, but is not limited to, loans, held-to-maturity (“HTM”) securities, loan commitments, and financial guarantees. For loans and HTM debt securities, this ASU requires a CECL measurement to estimate the allowance for credit losses (“ACL”) for the remaining contractual term, adjusted for prepayments, of the financial asset (including off-balance sheet credit exposures) using historical experience, current conditions, and reasonable and supportable forecasts. This ASU also eliminated the existing guidance for purchased credit-impaired (“PCI”) loans, but requires an allowance for purchased financial assets with more than an insignificant deterioration of credit since origination. Purchase Credit Deteriorated (“PCD”) assets are recorded at their purchase price plus an ACL estimated at the time of acquisition. Under this ASU, there is no provision for credit losses recognized at acquisition; instead, there is a gross-up of the purchase price of the financial asset for the estimate of expected credit losses and a corresponding ACL recorded. Changes in estimates of expected credit losses after acquisition are recognized as provision for credit losses (or reversal of provision for credit losses) in subsequent periods. In addition, this ASU modifies the OTTI model for available-for-sale (“AFS”) debt securities to require an allowance for credit impairment instead of a direct write-down, which allows for reversal of credit impairments in future periods based on improvements in credit. As a policy election, we excluded the accrued interest receivable balance from the amortized cost basis of financing receivables and HTM securities, as well as AFS securities, and disclose total accrued interest receivable separately on the condensed consolidated balance sheet.</w:t>
      </w:r>
    </w:p>
    <w:p>
      <w:pPr>
        <w:spacing w:after="0" w:line="155" w:lineRule="exact"/>
        <w:rPr>
          <w:sz w:val="20"/>
          <w:szCs w:val="20"/>
          <w:color w:val="auto"/>
        </w:rPr>
      </w:pPr>
    </w:p>
    <w:p>
      <w:pPr>
        <w:ind w:left="120" w:firstLine="551"/>
        <w:spacing w:after="0" w:line="277" w:lineRule="auto"/>
        <w:rPr>
          <w:sz w:val="20"/>
          <w:szCs w:val="20"/>
          <w:color w:val="auto"/>
        </w:rPr>
      </w:pPr>
      <w:r>
        <w:rPr>
          <w:rFonts w:ascii="Times New Roman" w:cs="Times New Roman" w:eastAsia="Times New Roman" w:hAnsi="Times New Roman"/>
          <w:sz w:val="17"/>
          <w:szCs w:val="17"/>
          <w:color w:val="auto"/>
        </w:rPr>
        <w:t xml:space="preserve">For a full discussion of our methodology of assessing the adequacy of the allowance for credit losses, see “Item 7, </w:t>
      </w:r>
      <w:r>
        <w:rPr>
          <w:rFonts w:ascii="Times New Roman" w:cs="Times New Roman" w:eastAsia="Times New Roman" w:hAnsi="Times New Roman"/>
          <w:sz w:val="17"/>
          <w:szCs w:val="17"/>
          <w:i w:val="1"/>
          <w:iCs w:val="1"/>
          <w:color w:val="auto"/>
        </w:rPr>
        <w:t>Management’s Discussion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Analysis of Financial Condition and Results of Operation — Risk Management</w:t>
      </w:r>
      <w:r>
        <w:rPr>
          <w:rFonts w:ascii="Times New Roman" w:cs="Times New Roman" w:eastAsia="Times New Roman" w:hAnsi="Times New Roman"/>
          <w:sz w:val="17"/>
          <w:szCs w:val="17"/>
          <w:color w:val="auto"/>
        </w:rPr>
        <w:t>” and Note 3 —</w:t>
      </w:r>
      <w:r>
        <w:rPr>
          <w:rFonts w:ascii="Times New Roman" w:cs="Times New Roman" w:eastAsia="Times New Roman" w:hAnsi="Times New Roman"/>
          <w:sz w:val="17"/>
          <w:szCs w:val="17"/>
          <w:i w:val="1"/>
          <w:iCs w:val="1"/>
          <w:color w:val="auto"/>
        </w:rPr>
        <w:t xml:space="preserve"> Summary of Significant Accounting Policies </w:t>
      </w:r>
      <w:r>
        <w:rPr>
          <w:rFonts w:ascii="Times New Roman" w:cs="Times New Roman" w:eastAsia="Times New Roman" w:hAnsi="Times New Roman"/>
          <w:sz w:val="17"/>
          <w:szCs w:val="17"/>
          <w:color w:val="auto"/>
        </w:rPr>
        <w:t>and Note 6</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 and Lease Finance Receivables and Allowance for Credit Losses</w:t>
      </w:r>
      <w:r>
        <w:rPr>
          <w:rFonts w:ascii="Times New Roman" w:cs="Times New Roman" w:eastAsia="Times New Roman" w:hAnsi="Times New Roman"/>
          <w:sz w:val="18"/>
          <w:szCs w:val="18"/>
          <w:color w:val="auto"/>
        </w:rPr>
        <w:t xml:space="preserve"> of our consolidated financial statements presented elsewhere in this report.</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 The Company applies the acquisition method of accounting for business combinations. Under the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method, the acquiring entity in a business combination recognizes the assets acquired and liabilities assumed at their acquisition date fair values. Management utilizes prevailing valuation techniques appropriate for the asset or liability being measured in determining these fair values. These fair values are estimates and are subject to adjustment for up to one year after the acquisition date or when additional information relative to the closing date fair values becomes available and such information is considered final, whichever is earlier.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would be recognized. Acquisition related costs are expensed as incurred. Refer to Note 4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of our consolidated financial statements presented elsewhere in this report</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ind w:left="120" w:right="20" w:firstLine="5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and Recoverability of Goodwill </w:t>
      </w:r>
      <w:r>
        <w:rPr>
          <w:rFonts w:ascii="Times New Roman" w:cs="Times New Roman" w:eastAsia="Times New Roman" w:hAnsi="Times New Roman"/>
          <w:sz w:val="18"/>
          <w:szCs w:val="18"/>
          <w:color w:val="auto"/>
        </w:rPr>
        <w:t>— Goodwill represented $663.7 million of our $14.42 billion in total assets as of December 31,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one reportable segment. Goodwill has an indefinite useful life and is not amortized, but is tested for impairment at least annually, or more frequently, if events and circumstances exist that indicate that a goodwill impairment test should be performed. Such events and circumstances may include among others, a significant adverse change in legal factors or in the general business climate, significant decline in our stock price and market capitalization, unanticipated competition, the testing for recoverability of a significant asset group within the reporting unit, and an adverse action or assessment by a regulating body. Any adverse change in these factors could have a significant impact on the recoverability of goodwill and could have a material impact on our consolidated financial statements.</w:t>
      </w:r>
    </w:p>
    <w:p>
      <w:pPr>
        <w:spacing w:after="0" w:line="146" w:lineRule="exact"/>
        <w:rPr>
          <w:sz w:val="20"/>
          <w:szCs w:val="20"/>
          <w:color w:val="auto"/>
        </w:rPr>
      </w:pPr>
    </w:p>
    <w:p>
      <w:pPr>
        <w:jc w:val="both"/>
        <w:ind w:left="120" w:right="260" w:firstLine="551"/>
        <w:spacing w:after="0" w:line="261" w:lineRule="auto"/>
        <w:rPr>
          <w:sz w:val="20"/>
          <w:szCs w:val="20"/>
          <w:color w:val="auto"/>
        </w:rPr>
      </w:pPr>
      <w:r>
        <w:rPr>
          <w:rFonts w:ascii="Times New Roman" w:cs="Times New Roman" w:eastAsia="Times New Roman" w:hAnsi="Times New Roman"/>
          <w:sz w:val="18"/>
          <w:szCs w:val="18"/>
          <w:color w:val="auto"/>
        </w:rPr>
        <w:t xml:space="preserve">Based on the results of our annual goodwill impairment test, we determined that no goodwill impairment charges were required as our single reportable segment’s fair value exceeded its carrying amount. As of December 31, 2020, we determined there were no events or circumstances which would more likely than not reduce the fair value of our reportable segment below its carrying amount. Note 3 —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of our consolidated financial statements presented elsewhere in this report</w:t>
      </w:r>
    </w:p>
    <w:p>
      <w:pPr>
        <w:spacing w:after="0" w:line="135" w:lineRule="exact"/>
        <w:rPr>
          <w:sz w:val="20"/>
          <w:szCs w:val="20"/>
          <w:color w:val="auto"/>
        </w:rPr>
      </w:pPr>
    </w:p>
    <w:p>
      <w:pPr>
        <w:ind w:left="120" w:right="20" w:firstLine="5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Income taxes are accounted for under the asset and liability method. Deferred tax assets and liabilities are recognized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Future realization of deferred tax assets ultimately depends on the existence of sufficient taxable income of the appropriate character (for example, ordinary income or capital gain) within the carryback or carryforward periods available under the tax law. Based on historical and future expected taxable earnings, the Company considers the future realization of these deferred tax assets more likely than not.</w:t>
      </w:r>
    </w:p>
    <w:p>
      <w:pPr>
        <w:spacing w:after="0" w:line="162" w:lineRule="exact"/>
        <w:rPr>
          <w:sz w:val="20"/>
          <w:szCs w:val="20"/>
          <w:color w:val="auto"/>
        </w:rPr>
      </w:pPr>
    </w:p>
    <w:p>
      <w:pPr>
        <w:ind w:left="120" w:right="220" w:firstLine="551"/>
        <w:spacing w:after="0" w:line="282" w:lineRule="auto"/>
        <w:rPr>
          <w:sz w:val="20"/>
          <w:szCs w:val="20"/>
          <w:color w:val="auto"/>
        </w:rPr>
      </w:pPr>
      <w:r>
        <w:rPr>
          <w:rFonts w:ascii="Times New Roman" w:cs="Times New Roman" w:eastAsia="Times New Roman" w:hAnsi="Times New Roman"/>
          <w:sz w:val="18"/>
          <w:szCs w:val="18"/>
          <w:color w:val="auto"/>
        </w:rPr>
        <w:t>The tax effects from an uncertain tax position are recognized in the financial statements only if, based on its merits, the position is more likely than not to be sustained on audit by the taxing authorities.</w:t>
      </w:r>
    </w:p>
    <w:p>
      <w:pPr>
        <w:spacing w:after="0" w:line="119" w:lineRule="exact"/>
        <w:rPr>
          <w:sz w:val="20"/>
          <w:szCs w:val="20"/>
          <w:color w:val="auto"/>
        </w:rPr>
      </w:pPr>
    </w:p>
    <w:p>
      <w:pPr>
        <w:ind w:left="120" w:firstLine="551"/>
        <w:spacing w:after="0" w:line="284" w:lineRule="auto"/>
        <w:rPr>
          <w:sz w:val="20"/>
          <w:szCs w:val="20"/>
          <w:color w:val="auto"/>
        </w:rPr>
      </w:pPr>
      <w:r>
        <w:rPr>
          <w:rFonts w:ascii="Times New Roman" w:cs="Times New Roman" w:eastAsia="Times New Roman" w:hAnsi="Times New Roman"/>
          <w:sz w:val="18"/>
          <w:szCs w:val="18"/>
          <w:color w:val="auto"/>
        </w:rPr>
        <w:t xml:space="preserve">For complete discussion and disclosure of other accounting policies see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Company’s consolidated financial statements presented elsewhere in this report.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but Not Adopted as of December 31, 2020</w:t>
      </w:r>
    </w:p>
    <w:p>
      <w:pPr>
        <w:spacing w:after="0" w:line="223" w:lineRule="exact"/>
        <w:rPr>
          <w:sz w:val="20"/>
          <w:szCs w:val="20"/>
          <w:color w:val="auto"/>
        </w:rPr>
      </w:pPr>
    </w:p>
    <w:p>
      <w:pPr>
        <w:ind w:left="120"/>
        <w:spacing w:after="0"/>
        <w:tabs>
          <w:tab w:leader="none" w:pos="3340" w:val="left"/>
          <w:tab w:leader="none" w:pos="5920" w:val="left"/>
          <w:tab w:leader="none" w:pos="8260" w:val="left"/>
        </w:tabs>
        <w:rPr>
          <w:sz w:val="20"/>
          <w:szCs w:val="20"/>
          <w:color w:val="auto"/>
        </w:rPr>
      </w:pPr>
      <w:r>
        <w:rPr>
          <w:rFonts w:ascii="Times New Roman" w:cs="Times New Roman" w:eastAsia="Times New Roman" w:hAnsi="Times New Roman"/>
          <w:sz w:val="14"/>
          <w:szCs w:val="14"/>
          <w:b w:val="1"/>
          <w:bCs w:val="1"/>
          <w:u w:val="single" w:color="auto"/>
          <w:color w:val="auto"/>
        </w:rPr>
        <w:t>Standard</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Adoption Timing</w:t>
      </w:r>
      <w:r>
        <w:rPr>
          <w:sz w:val="20"/>
          <w:szCs w:val="20"/>
          <w:color w:val="auto"/>
        </w:rPr>
        <w:tab/>
      </w:r>
      <w:r>
        <w:rPr>
          <w:rFonts w:ascii="Times New Roman" w:cs="Times New Roman" w:eastAsia="Times New Roman" w:hAnsi="Times New Roman"/>
          <w:sz w:val="14"/>
          <w:szCs w:val="14"/>
          <w:b w:val="1"/>
          <w:bCs w:val="1"/>
          <w:color w:val="auto"/>
        </w:rPr>
        <w:t>Impact on Financial Statements</w:t>
      </w:r>
    </w:p>
    <w:p>
      <w:pPr>
        <w:sectPr>
          <w:pgSz w:w="11900" w:h="16838" w:orient="portrait"/>
          <w:cols w:equalWidth="0" w:num="1">
            <w:col w:w="11140"/>
          </w:cols>
          <w:pgMar w:left="320" w:top="482" w:right="439" w:bottom="1440" w:gutter="0" w:footer="0" w:header="0"/>
        </w:sectPr>
      </w:pPr>
    </w:p>
    <w:p>
      <w:pPr>
        <w:spacing w:after="0" w:line="39"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6"/>
          <w:szCs w:val="16"/>
          <w:color w:val="auto"/>
        </w:rPr>
        <w:t>ASU No. 2020-04, Reference Rate Reform (Topic 848): Facilitation of the Effects of Reference Rate Reform on Financial Reporting</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Issued March</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2020</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3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162"/>
        </w:trPr>
        <w:tc>
          <w:tcPr>
            <w:tcW w:w="3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The FASB issued ASU 2020-04, Reference Rate</w:t>
            </w:r>
          </w:p>
        </w:tc>
        <w:tc>
          <w:tcPr>
            <w:tcW w:w="188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6"/>
                <w:szCs w:val="16"/>
                <w:color w:val="auto"/>
              </w:rPr>
              <w:t>1st Quarter 2020 through</w:t>
            </w:r>
          </w:p>
        </w:tc>
        <w:tc>
          <w:tcPr>
            <w:tcW w:w="37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The Company established a LIBOR Transition Task</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Reform: Facilitation of the Effects of Reference Rate</w:t>
            </w:r>
          </w:p>
        </w:tc>
        <w:tc>
          <w:tcPr>
            <w:tcW w:w="18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the 4th Quarter 2022</w:t>
            </w: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Force in 2020, which has inventoried our instruments</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Reform on Financial Reporting. The amendments in</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that reflect exposure to LIBOR, created a framework to</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this update provide temporary, optional guidance to</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manage the transition and established a timeline for key</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ease the potential burden in accounting for transitioning</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decisions and actions to complete the transition from</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away from reference rates such as LIBOR. The</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LIBOR in 2021. Although the Company is assessing the</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amendments provide optional expedients and</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impacts of this transition and exploring alternatives to</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exceptions for applying GAAP to transactions affected</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use in place of LIBOR for various financial instruments,</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by reference rate reform if certain criteria are met. The</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primarily related to our variable-rate loans, our</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amendments primarily include relief related to contract</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subordinated debentures, and interest rate swap</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modifications and hedging relationships, as well as</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derivatives that are indexed to LIBOR, we do not expect</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providing a one-time election for the sale or transfer of</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this ASU to have a material impact on the Company’s</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classified as held-to-maturity. This</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financial statements.</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guidance is effective immediately and the amendments</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may be applied prospectively through December 31,</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3810</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1700" w:space="200"/>
            <w:col w:w="9240"/>
          </w:cols>
          <w:pgMar w:left="320" w:top="482" w:right="439" w:bottom="1440" w:gutter="0" w:footer="0" w:header="0"/>
          <w:type w:val="continuous"/>
        </w:sectPr>
      </w:pPr>
    </w:p>
    <w:p>
      <w:pPr>
        <w:ind w:left="120"/>
        <w:spacing w:after="0"/>
        <w:tabs>
          <w:tab w:leader="none" w:pos="1880" w:val="left"/>
          <w:tab w:leader="none" w:pos="5620" w:val="left"/>
        </w:tabs>
        <w:rPr>
          <w:sz w:val="20"/>
          <w:szCs w:val="20"/>
          <w:color w:val="auto"/>
        </w:rPr>
      </w:pPr>
      <w:r>
        <w:rPr>
          <w:rFonts w:ascii="Times New Roman" w:cs="Times New Roman" w:eastAsia="Times New Roman" w:hAnsi="Times New Roman"/>
          <w:sz w:val="16"/>
          <w:szCs w:val="16"/>
          <w:color w:val="auto"/>
        </w:rPr>
        <w:t>ASU 2019-12, “Income</w:t>
        <w:tab/>
        <w:t>The FASB issued ASU 2019-12, “Income Taxes (Topic</w:t>
        <w:tab/>
        <w:t>1st Quarter 2021</w:t>
      </w:r>
    </w:p>
    <w:p>
      <w:pPr>
        <w:spacing w:after="0" w:line="26"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6"/>
          <w:szCs w:val="16"/>
          <w:color w:val="auto"/>
        </w:rPr>
        <w:t>Taxes (Topic 740):</w:t>
      </w:r>
      <w:r>
        <w:rPr>
          <w:sz w:val="20"/>
          <w:szCs w:val="20"/>
          <w:color w:val="auto"/>
        </w:rPr>
        <w:tab/>
      </w:r>
      <w:r>
        <w:rPr>
          <w:rFonts w:ascii="Times New Roman" w:cs="Times New Roman" w:eastAsia="Times New Roman" w:hAnsi="Times New Roman"/>
          <w:sz w:val="16"/>
          <w:szCs w:val="16"/>
          <w:color w:val="auto"/>
        </w:rPr>
        <w:t>740): Simplifying the Accounting for Income Taxes.”</w:t>
      </w:r>
    </w:p>
    <w:p>
      <w:pPr>
        <w:spacing w:after="0" w:line="19"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6"/>
          <w:szCs w:val="16"/>
          <w:color w:val="auto"/>
        </w:rPr>
        <w:t>Simplifying the</w:t>
      </w:r>
      <w:r>
        <w:rPr>
          <w:sz w:val="20"/>
          <w:szCs w:val="20"/>
          <w:color w:val="auto"/>
        </w:rPr>
        <w:tab/>
      </w:r>
      <w:r>
        <w:rPr>
          <w:rFonts w:ascii="Times New Roman" w:cs="Times New Roman" w:eastAsia="Times New Roman" w:hAnsi="Times New Roman"/>
          <w:sz w:val="16"/>
          <w:szCs w:val="16"/>
          <w:color w:val="auto"/>
        </w:rPr>
        <w:t>This ASU removes certain exceptions for: recognizing</w:t>
      </w:r>
    </w:p>
    <w:p>
      <w:pPr>
        <w:spacing w:after="0" w:line="19"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6"/>
          <w:szCs w:val="16"/>
          <w:color w:val="auto"/>
        </w:rPr>
        <w:t>Accounting for Income</w:t>
      </w:r>
      <w:r>
        <w:rPr>
          <w:sz w:val="20"/>
          <w:szCs w:val="20"/>
          <w:color w:val="auto"/>
        </w:rPr>
        <w:tab/>
      </w:r>
      <w:r>
        <w:rPr>
          <w:rFonts w:ascii="Times New Roman" w:cs="Times New Roman" w:eastAsia="Times New Roman" w:hAnsi="Times New Roman"/>
          <w:sz w:val="16"/>
          <w:szCs w:val="16"/>
          <w:color w:val="auto"/>
        </w:rPr>
        <w:t>deferred taxes for investments, performing intraperiod</w:t>
      </w:r>
    </w:p>
    <w:p>
      <w:pPr>
        <w:spacing w:after="0" w:line="19"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6"/>
          <w:szCs w:val="16"/>
          <w:color w:val="auto"/>
        </w:rPr>
        <w:t>Taxes”</w:t>
      </w:r>
      <w:r>
        <w:rPr>
          <w:sz w:val="20"/>
          <w:szCs w:val="20"/>
          <w:color w:val="auto"/>
        </w:rPr>
        <w:tab/>
      </w:r>
      <w:r>
        <w:rPr>
          <w:rFonts w:ascii="Times New Roman" w:cs="Times New Roman" w:eastAsia="Times New Roman" w:hAnsi="Times New Roman"/>
          <w:sz w:val="16"/>
          <w:szCs w:val="16"/>
          <w:color w:val="auto"/>
        </w:rPr>
        <w:t>allocation and calculating income taxes in interim</w:t>
      </w:r>
    </w:p>
    <w:p>
      <w:pPr>
        <w:spacing w:after="0" w:line="1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periods. This ASU also adds guidance to reduce</w:t>
      </w:r>
    </w:p>
    <w:p>
      <w:pPr>
        <w:spacing w:after="0" w:line="19"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6"/>
          <w:szCs w:val="16"/>
          <w:i w:val="1"/>
          <w:iCs w:val="1"/>
          <w:color w:val="auto"/>
        </w:rPr>
        <w:t>Issued December 2019</w:t>
      </w:r>
      <w:r>
        <w:rPr>
          <w:sz w:val="20"/>
          <w:szCs w:val="20"/>
          <w:color w:val="auto"/>
        </w:rPr>
        <w:tab/>
      </w:r>
      <w:r>
        <w:rPr>
          <w:rFonts w:ascii="Times New Roman" w:cs="Times New Roman" w:eastAsia="Times New Roman" w:hAnsi="Times New Roman"/>
          <w:sz w:val="16"/>
          <w:szCs w:val="16"/>
          <w:color w:val="auto"/>
        </w:rPr>
        <w:t>complexity in certain areas, including recognizing</w:t>
      </w:r>
    </w:p>
    <w:p>
      <w:pPr>
        <w:spacing w:after="0" w:line="2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deferred taxes for tax goodwill and allocating taxes to</w:t>
      </w:r>
    </w:p>
    <w:p>
      <w:pPr>
        <w:spacing w:after="0" w:line="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members of a consolidated group. ASU 2019-12 is</w:t>
      </w:r>
    </w:p>
    <w:p>
      <w:pPr>
        <w:spacing w:after="0" w:line="1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effective for interim and annual reporting periods</w:t>
      </w:r>
    </w:p>
    <w:p>
      <w:pPr>
        <w:spacing w:after="0" w:line="1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beginning after December 15, 2020; early adoption is</w:t>
      </w:r>
    </w:p>
    <w:p>
      <w:pPr>
        <w:spacing w:after="0" w:line="1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Times New Roman" w:cs="Times New Roman" w:eastAsia="Times New Roman" w:hAnsi="Times New Roman"/>
          <w:sz w:val="16"/>
          <w:szCs w:val="16"/>
          <w:color w:val="auto"/>
        </w:rPr>
        <w:t>We do not expect the adoption of this ASU to have a material impact on our consolidated financial statements.</w:t>
      </w:r>
    </w:p>
    <w:p>
      <w:pPr>
        <w:spacing w:after="0" w:line="2130" w:lineRule="exact"/>
        <w:rPr>
          <w:sz w:val="20"/>
          <w:szCs w:val="20"/>
          <w:color w:val="auto"/>
        </w:rPr>
      </w:pPr>
    </w:p>
    <w:p>
      <w:pPr>
        <w:sectPr>
          <w:pgSz w:w="11900" w:h="16838" w:orient="portrait"/>
          <w:cols w:equalWidth="0" w:num="2">
            <w:col w:w="6720" w:space="680"/>
            <w:col w:w="3740"/>
          </w:cols>
          <w:pgMar w:left="320" w:top="482"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Standard</w:t>
            </w:r>
          </w:p>
        </w:tc>
        <w:tc>
          <w:tcPr>
            <w:tcW w:w="1200" w:type="dxa"/>
            <w:vAlign w:val="bottom"/>
          </w:tcPr>
          <w:p>
            <w:pPr>
              <w:spacing w:after="0"/>
              <w:rPr>
                <w:sz w:val="15"/>
                <w:szCs w:val="15"/>
                <w:color w:val="auto"/>
              </w:rPr>
            </w:pPr>
          </w:p>
        </w:tc>
        <w:tc>
          <w:tcPr>
            <w:tcW w:w="362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5"/>
                <w:szCs w:val="15"/>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Adoption Timing</w:t>
            </w:r>
          </w:p>
        </w:tc>
        <w:tc>
          <w:tcPr>
            <w:tcW w:w="120" w:type="dxa"/>
            <w:vAlign w:val="bottom"/>
          </w:tcPr>
          <w:p>
            <w:pPr>
              <w:spacing w:after="0"/>
              <w:rPr>
                <w:sz w:val="15"/>
                <w:szCs w:val="15"/>
                <w:color w:val="auto"/>
              </w:rPr>
            </w:pPr>
          </w:p>
        </w:tc>
        <w:tc>
          <w:tcPr>
            <w:tcW w:w="374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Impact on Financial Statements</w:t>
            </w:r>
          </w:p>
        </w:tc>
      </w:tr>
      <w:tr>
        <w:trPr>
          <w:trHeight w:val="20"/>
        </w:trPr>
        <w:tc>
          <w:tcPr>
            <w:tcW w:w="1780" w:type="dxa"/>
            <w:vAlign w:val="bottom"/>
            <w:gridSpan w:val="2"/>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r>
      <w:tr>
        <w:trPr>
          <w:trHeight w:val="264"/>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ASU 2020-01,</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The FASB issued ASU 2020-01, Investments — Equity</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1st Quarter 2021</w:t>
            </w: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 adoption of this ASU will not have an impact on our</w:t>
            </w: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 — Equity</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Securities (Topic 321), Investments — Equity Method</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consolidated financial statements.</w:t>
            </w: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(Topic 321),</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and Joint Ventures (Topic 323), and Derivatives and</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 — Equity</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Hedging (Topic 815). This ASU clarifies the</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Method and Joint</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interactions between ASC 321, ASC 323 and ASC 815</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Ventures (Topic 323),</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and addresses accounting for the transition into and out</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Derivatives and</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of the equity method and also provides guidance on</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Hedging (Topic 815)</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whether equity method accounting would be applied to</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certain purchased options and forward contracts upon</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37"/>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Issued January 2020</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settlement.</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r>
      <w:tr>
        <w:trPr>
          <w:trHeight w:val="28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ASU 2020-06, Debt —</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The FASB issued ASU 2020-06, Debt — Debt with</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1st Quarter 2022</w:t>
            </w: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 adoption of this ASU is not expected to have a</w:t>
            </w: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 with Conversion</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Conversion and Other Options (Subtopic 470-20) and</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material impact on our consolidated financial statements.</w:t>
            </w: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Other Options</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Derivatives and Hedging — Contracts in Entity’s Own</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(Subtopic 470-20) and</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Equity (Subtopic 815-40): Accounting for Convertible</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Derivatives and</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Instruments and Contracts in an Entity’s Own Equity.</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2"/>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Hedging — Contracts in</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This ASU reduces the number of accounting models for</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Entity’s Own Equity</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convertible instruments and allows more contracts to</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(Subtopic 815-40):</w:t>
            </w: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qualify for equity classification.</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for</w:t>
            </w: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Convertible Instruments</w:t>
            </w: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3"/>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Contracts in an</w:t>
            </w: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10"/>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Entity’s Own Equity</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432"/>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Issued August 2020</w:t>
            </w:r>
          </w:p>
        </w:tc>
        <w:tc>
          <w:tcPr>
            <w:tcW w:w="3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pacing w:after="0" w:line="81" w:lineRule="exact"/>
        <w:rPr>
          <w:sz w:val="20"/>
          <w:szCs w:val="20"/>
          <w:color w:val="auto"/>
        </w:rPr>
      </w:pPr>
    </w:p>
    <w:p>
      <w:pPr>
        <w:sectPr>
          <w:pgSz w:w="11900" w:h="16838" w:orient="portrait"/>
          <w:cols w:equalWidth="0" w:num="1">
            <w:col w:w="11140"/>
          </w:cols>
          <w:pgMar w:left="320" w:top="482" w:right="439" w:bottom="1440" w:gutter="0" w:footer="0" w:header="0"/>
        </w:sectPr>
      </w:pPr>
    </w:p>
    <w:p>
      <w:pPr>
        <w:ind w:left="120"/>
        <w:spacing w:after="0"/>
        <w:tabs>
          <w:tab w:leader="none" w:pos="1880" w:val="left"/>
          <w:tab w:leader="none" w:pos="5620" w:val="left"/>
        </w:tabs>
        <w:rPr>
          <w:sz w:val="20"/>
          <w:szCs w:val="20"/>
          <w:color w:val="auto"/>
        </w:rPr>
      </w:pPr>
      <w:r>
        <w:rPr>
          <w:rFonts w:ascii="Times New Roman" w:cs="Times New Roman" w:eastAsia="Times New Roman" w:hAnsi="Times New Roman"/>
          <w:sz w:val="16"/>
          <w:szCs w:val="16"/>
          <w:color w:val="auto"/>
        </w:rPr>
        <w:t>ASU 2020-08</w:t>
      </w:r>
      <w:r>
        <w:rPr>
          <w:sz w:val="20"/>
          <w:szCs w:val="20"/>
          <w:color w:val="auto"/>
        </w:rPr>
        <w:tab/>
      </w:r>
      <w:r>
        <w:rPr>
          <w:rFonts w:ascii="Times New Roman" w:cs="Times New Roman" w:eastAsia="Times New Roman" w:hAnsi="Times New Roman"/>
          <w:sz w:val="16"/>
          <w:szCs w:val="16"/>
          <w:color w:val="auto"/>
        </w:rPr>
        <w:t>The FASB issued this amendment to clarify that an</w:t>
      </w:r>
      <w:r>
        <w:rPr>
          <w:sz w:val="20"/>
          <w:szCs w:val="20"/>
          <w:color w:val="auto"/>
        </w:rPr>
        <w:tab/>
      </w:r>
      <w:r>
        <w:rPr>
          <w:rFonts w:ascii="Times New Roman" w:cs="Times New Roman" w:eastAsia="Times New Roman" w:hAnsi="Times New Roman"/>
          <w:sz w:val="16"/>
          <w:szCs w:val="16"/>
          <w:color w:val="auto"/>
        </w:rPr>
        <w:t>1st Quarter 2021</w:t>
      </w:r>
    </w:p>
    <w:p>
      <w:pPr>
        <w:spacing w:after="0" w:line="26"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6"/>
          <w:szCs w:val="16"/>
          <w:color w:val="auto"/>
        </w:rPr>
        <w:t>Codification</w:t>
      </w:r>
      <w:r>
        <w:rPr>
          <w:sz w:val="20"/>
          <w:szCs w:val="20"/>
          <w:color w:val="auto"/>
        </w:rPr>
        <w:tab/>
      </w:r>
      <w:r>
        <w:rPr>
          <w:rFonts w:ascii="Times New Roman" w:cs="Times New Roman" w:eastAsia="Times New Roman" w:hAnsi="Times New Roman"/>
          <w:sz w:val="16"/>
          <w:szCs w:val="16"/>
          <w:color w:val="auto"/>
        </w:rPr>
        <w:t>entity should reevaluate whether a callable debt</w:t>
      </w:r>
    </w:p>
    <w:p>
      <w:pPr>
        <w:spacing w:after="0" w:line="19"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6"/>
          <w:szCs w:val="16"/>
          <w:color w:val="auto"/>
        </w:rPr>
        <w:t>Improvements to</w:t>
      </w:r>
      <w:r>
        <w:rPr>
          <w:sz w:val="20"/>
          <w:szCs w:val="20"/>
          <w:color w:val="auto"/>
        </w:rPr>
        <w:tab/>
      </w:r>
      <w:r>
        <w:rPr>
          <w:rFonts w:ascii="Times New Roman" w:cs="Times New Roman" w:eastAsia="Times New Roman" w:hAnsi="Times New Roman"/>
          <w:sz w:val="16"/>
          <w:szCs w:val="16"/>
          <w:color w:val="auto"/>
        </w:rPr>
        <w:t>security is within the scope of paragraph 310-20-35-33</w:t>
      </w:r>
    </w:p>
    <w:p>
      <w:pPr>
        <w:spacing w:after="0" w:line="19"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6"/>
          <w:szCs w:val="16"/>
          <w:color w:val="auto"/>
        </w:rPr>
        <w:t>Subtopic 310-20,</w:t>
      </w:r>
      <w:r>
        <w:rPr>
          <w:sz w:val="20"/>
          <w:szCs w:val="20"/>
          <w:color w:val="auto"/>
        </w:rPr>
        <w:tab/>
      </w:r>
      <w:r>
        <w:rPr>
          <w:rFonts w:ascii="Times New Roman" w:cs="Times New Roman" w:eastAsia="Times New Roman" w:hAnsi="Times New Roman"/>
          <w:sz w:val="16"/>
          <w:szCs w:val="16"/>
          <w:color w:val="auto"/>
        </w:rPr>
        <w:t>for each reporting period. The amendments in this</w:t>
      </w:r>
    </w:p>
    <w:p>
      <w:pPr>
        <w:spacing w:after="0" w:line="19"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6"/>
          <w:szCs w:val="16"/>
          <w:color w:val="auto"/>
        </w:rPr>
        <w:t>Receivables —</w:t>
      </w:r>
      <w:r>
        <w:rPr>
          <w:sz w:val="20"/>
          <w:szCs w:val="20"/>
          <w:color w:val="auto"/>
        </w:rPr>
        <w:tab/>
      </w:r>
      <w:r>
        <w:rPr>
          <w:rFonts w:ascii="Times New Roman" w:cs="Times New Roman" w:eastAsia="Times New Roman" w:hAnsi="Times New Roman"/>
          <w:sz w:val="16"/>
          <w:szCs w:val="16"/>
          <w:color w:val="auto"/>
        </w:rPr>
        <w:t>Update are effective for fiscal years, and interim</w:t>
      </w:r>
    </w:p>
    <w:p>
      <w:pPr>
        <w:spacing w:after="0" w:line="19"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6"/>
          <w:szCs w:val="16"/>
          <w:color w:val="auto"/>
        </w:rPr>
        <w:t>Nonrefundable Fees and</w:t>
        <w:tab/>
        <w:t>periods within those fiscal years, beginning after</w:t>
      </w:r>
    </w:p>
    <w:p>
      <w:pPr>
        <w:spacing w:after="0" w:line="19"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6"/>
          <w:szCs w:val="16"/>
          <w:color w:val="auto"/>
        </w:rPr>
        <w:t>Other Costs</w:t>
      </w:r>
      <w:r>
        <w:rPr>
          <w:sz w:val="20"/>
          <w:szCs w:val="20"/>
          <w:color w:val="auto"/>
        </w:rPr>
        <w:tab/>
      </w:r>
      <w:r>
        <w:rPr>
          <w:rFonts w:ascii="Times New Roman" w:cs="Times New Roman" w:eastAsia="Times New Roman" w:hAnsi="Times New Roman"/>
          <w:sz w:val="16"/>
          <w:szCs w:val="16"/>
          <w:color w:val="auto"/>
        </w:rPr>
        <w:t>December 15, 2020. Early adoption of the amendments</w:t>
      </w:r>
    </w:p>
    <w:p>
      <w:pPr>
        <w:spacing w:after="0" w:line="1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is not permitted.</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Issued October 2020</w:t>
      </w:r>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Times New Roman" w:cs="Times New Roman" w:eastAsia="Times New Roman" w:hAnsi="Times New Roman"/>
          <w:sz w:val="16"/>
          <w:szCs w:val="16"/>
          <w:color w:val="auto"/>
        </w:rPr>
        <w:t>The adoption of this ASU is not expected to have a material impact on our consolidated financial statements.</w:t>
      </w:r>
    </w:p>
    <w:p>
      <w:pPr>
        <w:spacing w:after="0" w:line="1536" w:lineRule="exact"/>
        <w:rPr>
          <w:sz w:val="20"/>
          <w:szCs w:val="20"/>
          <w:color w:val="auto"/>
        </w:rPr>
      </w:pPr>
    </w:p>
    <w:p>
      <w:pPr>
        <w:sectPr>
          <w:pgSz w:w="11900" w:h="16838" w:orient="portrait"/>
          <w:cols w:equalWidth="0" w:num="2">
            <w:col w:w="6720" w:space="680"/>
            <w:col w:w="3740"/>
          </w:cols>
          <w:pgMar w:left="320" w:top="482"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120" w:right="140" w:firstLine="551"/>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we reported net earnings of $177.2 million, compared with $207.8 million for 2019. This represented a $30.7 million, or 14.76%, decrease from the prior year. Diluted earnings per share were $1.30 for 2020, compared to $1.48 for 2019.</w:t>
      </w:r>
    </w:p>
    <w:p>
      <w:pPr>
        <w:spacing w:after="0" w:line="121" w:lineRule="exact"/>
        <w:rPr>
          <w:sz w:val="20"/>
          <w:szCs w:val="20"/>
          <w:color w:val="auto"/>
        </w:rPr>
      </w:pPr>
    </w:p>
    <w:p>
      <w:pPr>
        <w:ind w:left="120" w:right="40" w:firstLine="551"/>
        <w:spacing w:after="0" w:line="254" w:lineRule="auto"/>
        <w:rPr>
          <w:sz w:val="20"/>
          <w:szCs w:val="20"/>
          <w:color w:val="auto"/>
        </w:rPr>
      </w:pPr>
      <w:r>
        <w:rPr>
          <w:rFonts w:ascii="Times New Roman" w:cs="Times New Roman" w:eastAsia="Times New Roman" w:hAnsi="Times New Roman"/>
          <w:sz w:val="18"/>
          <w:szCs w:val="18"/>
          <w:color w:val="auto"/>
        </w:rPr>
        <w:t>The Company adopted ASU 2016-13, commonly referred to as CECL which replaced the “incurred loss” approach with an “expected loss” model over the life of the loan, effective on January 1, 2020. A $23.5 million provision for credit losses was recorded in the first half of 2020, due to the economic disruption and forecasted impact resulting from COVID-19. No provision for credit losses was recorded in either the third or fourth quarter of 2020. The Company’s economic forecast of macro-economic variables was generally consistent, with modest changes, from the end of the second quarter of 2020 to December 31, 2020. In comparison to the prior year, a $5.0 million loan loss provision was incurred for 2019. For the year ended December 31, 2020, we experienced minimal credit charge-offs of $666,000 and total recoveries of $358,000, resulting in net charge-offs of $308,000. During 2020, the Company originated, under the SBA Paycheck Protection Program, approximately 4,100 loans, of which $883.0 million was outstanding at December 31, 2020. Interest and fee income from PPP loans was approximately $28.5 million for 2020.</w:t>
      </w:r>
    </w:p>
    <w:p>
      <w:pPr>
        <w:spacing w:after="0" w:line="151" w:lineRule="exact"/>
        <w:rPr>
          <w:sz w:val="20"/>
          <w:szCs w:val="20"/>
          <w:color w:val="auto"/>
        </w:rPr>
      </w:pPr>
    </w:p>
    <w:p>
      <w:pPr>
        <w:jc w:val="both"/>
        <w:ind w:left="120" w:right="60" w:firstLine="551"/>
        <w:spacing w:after="0" w:line="272" w:lineRule="auto"/>
        <w:rPr>
          <w:sz w:val="20"/>
          <w:szCs w:val="20"/>
          <w:color w:val="auto"/>
        </w:rPr>
      </w:pPr>
      <w:r>
        <w:rPr>
          <w:rFonts w:ascii="Times New Roman" w:cs="Times New Roman" w:eastAsia="Times New Roman" w:hAnsi="Times New Roman"/>
          <w:sz w:val="17"/>
          <w:szCs w:val="17"/>
          <w:color w:val="auto"/>
        </w:rPr>
        <w:t>At December 31, 2020, total assets of $14.4 billion increased $3.14 billion, or 27.80%, from total assets of $11.28 billion at December 31, 2019. Interest-earning assets of $13.22 billion at December 31, 2020 increased $3.20 billion, or 31.88%, when compared with $10.03 billion at December 31, 2019. The increase in interest-earning assets includes a $1.81 billion increase in interest-earning balances due from the Federal Reserve, a</w:t>
      </w:r>
    </w:p>
    <w:p>
      <w:pPr>
        <w:spacing w:after="0" w:line="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$784.2 million increase in total loans, and a $562.8 million increase in investment securities. The increase in total loans was due to the origination of approximately $1.1 billion in PPP loans with a remaining outstanding balance totaling $883.0 million at December 31, 2020. Excluding PPP loans, total loans declined by $98.8 million from December 31, 2019. Our tax equivalent yield on interest-earning assets was 3.71% for 2020, compared to 4.58% for 2019.</w:t>
      </w:r>
    </w:p>
    <w:p>
      <w:pPr>
        <w:spacing w:after="0" w:line="162" w:lineRule="exact"/>
        <w:rPr>
          <w:sz w:val="20"/>
          <w:szCs w:val="20"/>
          <w:color w:val="auto"/>
        </w:rPr>
      </w:pPr>
    </w:p>
    <w:p>
      <w:pPr>
        <w:ind w:left="120" w:right="100" w:firstLine="551"/>
        <w:spacing w:after="0" w:line="257" w:lineRule="auto"/>
        <w:rPr>
          <w:sz w:val="20"/>
          <w:szCs w:val="20"/>
          <w:color w:val="auto"/>
        </w:rPr>
      </w:pPr>
      <w:r>
        <w:rPr>
          <w:rFonts w:ascii="Times New Roman" w:cs="Times New Roman" w:eastAsia="Times New Roman" w:hAnsi="Times New Roman"/>
          <w:sz w:val="18"/>
          <w:szCs w:val="18"/>
          <w:color w:val="auto"/>
        </w:rPr>
        <w:t>Total investment securities were $2.98 billion at December 31, 2020, an increase of $562.8 million, or 23.31%, from $2.41 billion at December 31, 2019. At December 31, 2020, investment securities HTM totaled $578.6 million. At December 31, 2020, investment securities AFS totaled $2.40 billion, inclusive of a pre-tax unrealized gain of $54.7 million, an increase of $32.8 from December 31, 2019. HTM securities declined by</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$95.8 million, or 14.21%, and AFS securities increased by $658.7 million, or 37.85%, from December 31, 2019. Our tax equivalent yield on investments was 2.10% for 2020, compared to 2.50% for 2019.</w:t>
      </w:r>
    </w:p>
    <w:p>
      <w:pPr>
        <w:spacing w:after="0" w:line="141" w:lineRule="exact"/>
        <w:rPr>
          <w:sz w:val="20"/>
          <w:szCs w:val="20"/>
          <w:color w:val="auto"/>
        </w:rPr>
      </w:pPr>
    </w:p>
    <w:p>
      <w:pPr>
        <w:ind w:left="120" w:right="140" w:firstLine="551"/>
        <w:spacing w:after="0" w:line="254" w:lineRule="auto"/>
        <w:rPr>
          <w:sz w:val="20"/>
          <w:szCs w:val="20"/>
          <w:color w:val="auto"/>
        </w:rPr>
      </w:pPr>
      <w:r>
        <w:rPr>
          <w:rFonts w:ascii="Times New Roman" w:cs="Times New Roman" w:eastAsia="Times New Roman" w:hAnsi="Times New Roman"/>
          <w:sz w:val="18"/>
          <w:szCs w:val="18"/>
          <w:color w:val="auto"/>
        </w:rPr>
        <w:t>Total loans and leases, net of deferred fees and discount, of $8.35 billion at December 31, 2020, increased by $784.2 million, or 10.37%, from $7.56 billion at December 31, 2019. The increase in total loans included $883.0 million in PPP loans. Excluding PPP loans, total loans declined by $98.8 million, or 1.31%. The $98.8 million decrease in loans included decreases of $123.1 million in commercial and industrial loans, $31.8 million in construction loans, $30.3 million in consumer loans, $22.6 million in dairy &amp; livestock and agribusiness loans, $13.0 million in SFR mortgage loans, and $4.9 million in other loans. Partially offsetting these declines was an increase in commercial real estate loans of $126.9 million. Our yield on loans was 4.68% for the year ended December 31, 2020, compared to 5.26% for 2019. This decline was primarily due to the impact of the Federal Reserve’s rate decreases and the decline in discount accretion income for acquired loans. Interest income for yield adjustments related to discount accretion on acquired loans was $17.4 million for 2020, compared to $28.8 million for 2019.</w:t>
      </w:r>
    </w:p>
    <w:p>
      <w:pPr>
        <w:spacing w:after="0" w:line="151" w:lineRule="exact"/>
        <w:rPr>
          <w:sz w:val="20"/>
          <w:szCs w:val="20"/>
          <w:color w:val="auto"/>
        </w:rPr>
      </w:pPr>
    </w:p>
    <w:p>
      <w:pPr>
        <w:ind w:left="120" w:right="80" w:firstLine="551"/>
        <w:spacing w:after="0" w:line="261" w:lineRule="auto"/>
        <w:rPr>
          <w:sz w:val="20"/>
          <w:szCs w:val="20"/>
          <w:color w:val="auto"/>
        </w:rPr>
      </w:pPr>
      <w:r>
        <w:rPr>
          <w:rFonts w:ascii="Times New Roman" w:cs="Times New Roman" w:eastAsia="Times New Roman" w:hAnsi="Times New Roman"/>
          <w:sz w:val="18"/>
          <w:szCs w:val="18"/>
          <w:color w:val="auto"/>
        </w:rPr>
        <w:t>Noninterest-bearing deposits were $7.46 billion at December 31, 2020, an increase of $2.21 billion, or 42.13%, compared to $5.25 billion at December 31, 2019. The significant deposit growth in 2020 was primarily due to our customers maintaining greater liquidity. At December 31, 2020, noninterest-bearing deposits were 63.52% of total deposits, compared to 60.26% at December 31, 2019. Our average cost of total deposits for 2020 was 0.12%, compared to 0.20% for 2019.</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551"/>
        <w:spacing w:after="0" w:line="282" w:lineRule="auto"/>
        <w:rPr>
          <w:sz w:val="20"/>
          <w:szCs w:val="20"/>
          <w:color w:val="auto"/>
        </w:rPr>
      </w:pPr>
      <w:r>
        <w:rPr>
          <w:rFonts w:ascii="Times New Roman" w:cs="Times New Roman" w:eastAsia="Times New Roman" w:hAnsi="Times New Roman"/>
          <w:sz w:val="18"/>
          <w:szCs w:val="18"/>
          <w:color w:val="auto"/>
        </w:rPr>
        <w:t>Customer repurchase agreements totaled $439.4 million at December 31, 2020, compared to $428.7 million at December 31, 2019. Our average cost of total deposits including customer repurchase agreements was 0.13% for 2020, compared to 0.21% for 2019.</w:t>
      </w:r>
    </w:p>
    <w:p>
      <w:pPr>
        <w:spacing w:after="0" w:line="135" w:lineRule="exact"/>
        <w:rPr>
          <w:sz w:val="20"/>
          <w:szCs w:val="20"/>
          <w:color w:val="auto"/>
        </w:rPr>
      </w:pPr>
    </w:p>
    <w:p>
      <w:pPr>
        <w:ind w:left="120" w:right="160" w:firstLine="551"/>
        <w:spacing w:after="0" w:line="266" w:lineRule="auto"/>
        <w:rPr>
          <w:sz w:val="20"/>
          <w:szCs w:val="20"/>
          <w:color w:val="auto"/>
        </w:rPr>
      </w:pPr>
      <w:r>
        <w:rPr>
          <w:rFonts w:ascii="Times New Roman" w:cs="Times New Roman" w:eastAsia="Times New Roman" w:hAnsi="Times New Roman"/>
          <w:sz w:val="18"/>
          <w:szCs w:val="18"/>
          <w:color w:val="auto"/>
        </w:rPr>
        <w:t>At December 31, 2020, we had $5.0 million in short short-term borrowing with 0% cost, compared to no borrowings at December 31, 2019. At December 31, 2020, we had $25.8 million of junior subordinated debentures, unchanged from December 31, 2019. These debentures bear interest at three-month LIBOR plus 1.38% and mature in 2036. Our average cost of funds was 0.13% for 2020, compared to 0.24% for 2019.</w:t>
      </w:r>
    </w:p>
    <w:p>
      <w:pPr>
        <w:spacing w:after="0" w:line="135" w:lineRule="exact"/>
        <w:rPr>
          <w:sz w:val="20"/>
          <w:szCs w:val="20"/>
          <w:color w:val="auto"/>
        </w:rPr>
      </w:pPr>
    </w:p>
    <w:p>
      <w:pPr>
        <w:ind w:left="120" w:right="200" w:firstLine="551"/>
        <w:spacing w:after="0" w:line="258" w:lineRule="auto"/>
        <w:rPr>
          <w:sz w:val="20"/>
          <w:szCs w:val="20"/>
          <w:color w:val="auto"/>
        </w:rPr>
      </w:pPr>
      <w:r>
        <w:rPr>
          <w:rFonts w:ascii="Times New Roman" w:cs="Times New Roman" w:eastAsia="Times New Roman" w:hAnsi="Times New Roman"/>
          <w:sz w:val="18"/>
          <w:szCs w:val="18"/>
          <w:color w:val="auto"/>
        </w:rPr>
        <w:t>The allowance for credit losses totaled $93.7 million at December 31, 2020, compared to $68.7 million at December 31, 2019. Due to the adoption of CECL, effective on January 1, 2020, a transition adjustment of $1.8 million was added to the beginning balance of the allowance and was increased by $23.5 million in provision for credit losses in 2020 due to the severe economic disruption forecasted to result from the COVID-19 pandemic. At December 31, 2020, ACL as a percentage of total loans and leases outstanding was 1.12%, or 1.25% when PPP loans are excluded. This compares to 0.91% at December 31, 2019. As of December 31, 2020, total discounts remaining on acquired loans were $30.9 million.</w:t>
      </w:r>
    </w:p>
    <w:p>
      <w:pPr>
        <w:spacing w:after="0" w:line="143" w:lineRule="exact"/>
        <w:rPr>
          <w:sz w:val="20"/>
          <w:szCs w:val="20"/>
          <w:color w:val="auto"/>
        </w:rPr>
      </w:pPr>
    </w:p>
    <w:p>
      <w:pPr>
        <w:ind w:left="120" w:right="120" w:firstLine="551"/>
        <w:spacing w:after="0" w:line="258" w:lineRule="auto"/>
        <w:rPr>
          <w:sz w:val="20"/>
          <w:szCs w:val="20"/>
          <w:color w:val="auto"/>
        </w:rPr>
      </w:pPr>
      <w:r>
        <w:rPr>
          <w:rFonts w:ascii="Times New Roman" w:cs="Times New Roman" w:eastAsia="Times New Roman" w:hAnsi="Times New Roman"/>
          <w:sz w:val="18"/>
          <w:szCs w:val="18"/>
          <w:color w:val="auto"/>
        </w:rPr>
        <w:t>The Company’s total equity was $2.01 billion at December 31, 2020. This represented an increase of $13.9 million, or 0.70%, from total equity of $1.99 billion at December 31, 2019. This increase was primarily due to net earnings of $177.2 million and a $22.7 million increase in other comprehensive income resulting from the tax effected impact of the increase in market value of our available-for-sale investment securities portfolio, partially offset by repurchases of common stock of $91.7 million under our 10b5-1 stock repurchase program, and $97.7 million in cash dividends. Our tangible common equity ratio was 9.6% at December 31, 2020.</w:t>
      </w:r>
    </w:p>
    <w:p>
      <w:pPr>
        <w:spacing w:after="0" w:line="156" w:lineRule="exact"/>
        <w:rPr>
          <w:sz w:val="20"/>
          <w:szCs w:val="20"/>
          <w:color w:val="auto"/>
        </w:rPr>
      </w:pPr>
    </w:p>
    <w:p>
      <w:pPr>
        <w:ind w:left="120" w:right="140" w:firstLine="551"/>
        <w:spacing w:after="0" w:line="261" w:lineRule="auto"/>
        <w:rPr>
          <w:sz w:val="20"/>
          <w:szCs w:val="20"/>
          <w:color w:val="auto"/>
        </w:rPr>
      </w:pPr>
      <w:r>
        <w:rPr>
          <w:rFonts w:ascii="Times New Roman" w:cs="Times New Roman" w:eastAsia="Times New Roman" w:hAnsi="Times New Roman"/>
          <w:sz w:val="18"/>
          <w:szCs w:val="18"/>
          <w:color w:val="auto"/>
        </w:rPr>
        <w:t xml:space="preserve">Our capital ratios under the revised capital framework referred to as Basel III remain well-above regulatory requirements. As of December 31, 2020, the Company’s Tier 1 leverage capital ratio totaled 9.90%, our common equity Tier 1 ratio totaled 14.77%, our Tier 1 risk-based capital ratio totaled 15.06%, and our total risk-based capital ratio totaled 16.24%. We did not elect to phase in the impact of CECL on regulatory capital, as allowed under the interim final rule of the FDIC and other U.S. banking agencies. Refer to our </w:t>
      </w:r>
      <w:r>
        <w:rPr>
          <w:rFonts w:ascii="Times New Roman" w:cs="Times New Roman" w:eastAsia="Times New Roman" w:hAnsi="Times New Roman"/>
          <w:sz w:val="18"/>
          <w:szCs w:val="18"/>
          <w:i w:val="1"/>
          <w:iCs w:val="1"/>
          <w:color w:val="auto"/>
        </w:rPr>
        <w:t>Analysis of Financial Condition — Capital Resources.</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ANALYSIS OF THE RESULTS OF OPERATIONS</w:t>
      </w: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9"/>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9"/>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right"/>
              <w:ind w:right="58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10"/>
          </w:tcPr>
          <w:p>
            <w:pPr>
              <w:jc w:val="right"/>
              <w:ind w:right="10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interest income</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416,053</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435,772</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349,045</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(19,719)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86,727</w:t>
            </w:r>
          </w:p>
        </w:tc>
        <w:tc>
          <w:tcPr>
            <w:tcW w:w="10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24.85%</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(23,500)</w:t>
            </w:r>
          </w:p>
        </w:tc>
        <w:tc>
          <w:tcPr>
            <w:tcW w:w="12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(18,500)</w:t>
            </w: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-370.00%</w:t>
            </w: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10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-233.33%</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Noninterest income</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49,870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59,042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43,481</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(9,172)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15,561</w:t>
            </w:r>
          </w:p>
        </w:tc>
        <w:tc>
          <w:tcPr>
            <w:tcW w:w="10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35.79%</w:t>
            </w:r>
          </w:p>
        </w:tc>
        <w:tc>
          <w:tcPr>
            <w:tcW w:w="0" w:type="dxa"/>
            <w:vAlign w:val="bottom"/>
          </w:tcPr>
          <w:p>
            <w:pPr>
              <w:spacing w:after="0"/>
              <w:rPr>
                <w:sz w:val="1"/>
                <w:szCs w:val="1"/>
                <w:color w:val="auto"/>
              </w:rPr>
            </w:pPr>
          </w:p>
        </w:tc>
      </w:tr>
      <w:tr>
        <w:trPr>
          <w:trHeight w:val="149"/>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Noninterest expense</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(192,903)</w:t>
            </w:r>
          </w:p>
        </w:tc>
        <w:tc>
          <w:tcPr>
            <w:tcW w:w="12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(198,740)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(179,911)</w:t>
            </w:r>
          </w:p>
        </w:tc>
        <w:tc>
          <w:tcPr>
            <w:tcW w:w="1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5,837</w:t>
            </w: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(18,829)</w:t>
            </w:r>
          </w:p>
        </w:tc>
        <w:tc>
          <w:tcPr>
            <w:tcW w:w="10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(72,361)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(83,247)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(59,112)</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10,886</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13.08%</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(24,135)</w:t>
            </w:r>
          </w:p>
        </w:tc>
        <w:tc>
          <w:tcPr>
            <w:tcW w:w="10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-40.83%</w:t>
            </w:r>
          </w:p>
        </w:tc>
        <w:tc>
          <w:tcPr>
            <w:tcW w:w="0" w:type="dxa"/>
            <w:vAlign w:val="bottom"/>
          </w:tcPr>
          <w:p>
            <w:pPr>
              <w:spacing w:after="0"/>
              <w:rPr>
                <w:sz w:val="1"/>
                <w:szCs w:val="1"/>
                <w:color w:val="auto"/>
              </w:rPr>
            </w:pPr>
          </w:p>
        </w:tc>
      </w:tr>
      <w:tr>
        <w:trPr>
          <w:trHeight w:val="155"/>
        </w:trPr>
        <w:tc>
          <w:tcPr>
            <w:tcW w:w="47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Net earnings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177,159</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w w:val="96"/>
              </w:rPr>
              <w:t>207,827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152,003</w:t>
            </w:r>
          </w:p>
        </w:tc>
        <w:tc>
          <w:tcPr>
            <w:tcW w:w="3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(30,668)</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-14.76%</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55,824</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Earnings per common share: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Return on average assets</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-0.47%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Return on average shareholders’ equity</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-0.29%</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Efficiency ratio</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41.40%</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45.83%</w:t>
            </w:r>
          </w:p>
        </w:tc>
        <w:tc>
          <w:tcPr>
            <w:tcW w:w="1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Noninterest expense to average assets</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-0.27%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Tangible Common Equity Reconciliations (Non-GAAP)</w:t>
      </w:r>
    </w:p>
    <w:p>
      <w:pPr>
        <w:spacing w:after="0" w:line="202" w:lineRule="exact"/>
        <w:rPr>
          <w:sz w:val="20"/>
          <w:szCs w:val="20"/>
          <w:color w:val="auto"/>
        </w:rPr>
      </w:pPr>
    </w:p>
    <w:p>
      <w:pPr>
        <w:ind w:left="120" w:right="80" w:firstLine="551"/>
        <w:spacing w:after="0" w:line="261" w:lineRule="auto"/>
        <w:rPr>
          <w:sz w:val="20"/>
          <w:szCs w:val="20"/>
          <w:color w:val="auto"/>
        </w:rPr>
      </w:pPr>
      <w:r>
        <w:rPr>
          <w:rFonts w:ascii="Times New Roman" w:cs="Times New Roman" w:eastAsia="Times New Roman" w:hAnsi="Times New Roman"/>
          <w:sz w:val="18"/>
          <w:szCs w:val="18"/>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200" w:lineRule="exact"/>
        <w:rPr>
          <w:sz w:val="20"/>
          <w:szCs w:val="20"/>
          <w:color w:val="auto"/>
        </w:rPr>
      </w:pPr>
    </w:p>
    <w:p>
      <w:pPr>
        <w:spacing w:after="0" w:line="279"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80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80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r>
      <w:tr>
        <w:trPr>
          <w:trHeight w:val="198"/>
        </w:trPr>
        <w:tc>
          <w:tcPr>
            <w:tcW w:w="80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64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177,159</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207,827</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152,003</w:t>
            </w:r>
          </w:p>
        </w:tc>
      </w:tr>
      <w:tr>
        <w:trPr>
          <w:trHeight w:val="203"/>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Add: Amortization of intangible assets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10,798</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5,254</w:t>
            </w:r>
          </w:p>
        </w:tc>
      </w:tr>
      <w:tr>
        <w:trPr>
          <w:trHeight w:val="203"/>
        </w:trPr>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Tax effect of amortization of intangible assets (1)</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(2,765)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(3,192)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(1,553)</w:t>
            </w:r>
          </w:p>
        </w:tc>
      </w:tr>
      <w:tr>
        <w:trPr>
          <w:trHeight w:val="207"/>
        </w:trPr>
        <w:tc>
          <w:tcPr>
            <w:tcW w:w="72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Tangible net income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215,433</w:t>
            </w:r>
          </w:p>
        </w:tc>
        <w:tc>
          <w:tcPr>
            <w:tcW w:w="3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155,704</w:t>
            </w:r>
          </w:p>
        </w:tc>
        <w:tc>
          <w:tcPr>
            <w:tcW w:w="1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80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stockholders’ equity</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1,991,664</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1,939,961</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1,382,392</w:t>
            </w:r>
          </w:p>
        </w:tc>
      </w:tr>
      <w:tr>
        <w:trPr>
          <w:trHeight w:val="203"/>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Less: Average goodwill</w:t>
            </w:r>
          </w:p>
        </w:tc>
        <w:tc>
          <w:tcPr>
            <w:tcW w:w="2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(663,707)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(665,026)</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(330,613)</w:t>
            </w:r>
          </w:p>
        </w:tc>
      </w:tr>
      <w:tr>
        <w:trPr>
          <w:trHeight w:val="203"/>
        </w:trPr>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Average intangible assets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(38,203)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(48,296)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(26,055)</w:t>
            </w:r>
          </w:p>
        </w:tc>
      </w:tr>
      <w:tr>
        <w:trPr>
          <w:trHeight w:val="207"/>
        </w:trPr>
        <w:tc>
          <w:tcPr>
            <w:tcW w:w="72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Average tangible common equity</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1,289,754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1,226,639</w:t>
            </w:r>
          </w:p>
        </w:tc>
        <w:tc>
          <w:tcPr>
            <w:tcW w:w="3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1,025,724</w:t>
            </w:r>
          </w:p>
        </w:tc>
        <w:tc>
          <w:tcPr>
            <w:tcW w:w="1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80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Return on average equity, annualized</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10.71%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11.00%</w:t>
            </w:r>
          </w:p>
        </w:tc>
      </w:tr>
      <w:tr>
        <w:trPr>
          <w:trHeight w:val="210"/>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Return on average tangible common equity</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17.56%</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15.18%</w:t>
            </w:r>
          </w:p>
        </w:tc>
      </w:tr>
      <w:tr>
        <w:trPr>
          <w:trHeight w:val="405"/>
        </w:trPr>
        <w:tc>
          <w:tcPr>
            <w:tcW w:w="8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w:t>
            </w:r>
          </w:p>
        </w:tc>
        <w:tc>
          <w:tcPr>
            <w:tcW w:w="6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effected at respective statutory rates.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189" w:lineRule="exact"/>
        <w:rPr>
          <w:sz w:val="20"/>
          <w:szCs w:val="20"/>
          <w:color w:val="auto"/>
        </w:rPr>
      </w:pPr>
    </w:p>
    <w:p>
      <w:pPr>
        <w:ind w:left="120" w:right="20" w:firstLine="551"/>
        <w:spacing w:after="0" w:line="253" w:lineRule="auto"/>
        <w:rPr>
          <w:sz w:val="20"/>
          <w:szCs w:val="20"/>
          <w:color w:val="auto"/>
        </w:rPr>
      </w:pPr>
      <w:r>
        <w:rPr>
          <w:rFonts w:ascii="Times New Roman" w:cs="Times New Roman" w:eastAsia="Times New Roman" w:hAnsi="Times New Roman"/>
          <w:sz w:val="18"/>
          <w:szCs w:val="18"/>
          <w:color w:val="auto"/>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years ended December 31, 2020, 2019 and 2018.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Item 7 — </w:t>
      </w:r>
      <w:r>
        <w:rPr>
          <w:rFonts w:ascii="Times New Roman" w:cs="Times New Roman" w:eastAsia="Times New Roman" w:hAnsi="Times New Roman"/>
          <w:sz w:val="18"/>
          <w:szCs w:val="18"/>
          <w:i w:val="1"/>
          <w:iCs w:val="1"/>
          <w:color w:val="auto"/>
        </w:rPr>
        <w:t>Management’s Discussion and Analysis of Financial Condition and Results of Operations — Asset/Liability and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 Management — Interest Rate Sensitivity Management </w:t>
      </w:r>
      <w:r>
        <w:rPr>
          <w:rFonts w:ascii="Times New Roman" w:cs="Times New Roman" w:eastAsia="Times New Roman" w:hAnsi="Times New Roman"/>
          <w:sz w:val="18"/>
          <w:szCs w:val="18"/>
          <w:color w:val="auto"/>
        </w:rPr>
        <w:t>included herein.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The table below presents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Interest-Earning Assets and Interest-Bearing Liabilities</w:t>
      </w:r>
    </w:p>
    <w:p>
      <w:pPr>
        <w:spacing w:after="0" w:line="200" w:lineRule="exact"/>
        <w:rPr>
          <w:sz w:val="20"/>
          <w:szCs w:val="20"/>
          <w:color w:val="auto"/>
        </w:rPr>
      </w:pP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8"/>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Yield/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ind w:left="120"/>
              <w:spacing w:after="0" w:line="109" w:lineRule="exact"/>
              <w:rPr>
                <w:sz w:val="20"/>
                <w:szCs w:val="20"/>
                <w:color w:val="auto"/>
              </w:rPr>
            </w:pPr>
            <w:r>
              <w:rPr>
                <w:rFonts w:ascii="Times New Roman" w:cs="Times New Roman" w:eastAsia="Times New Roman" w:hAnsi="Times New Roman"/>
                <w:sz w:val="12"/>
                <w:szCs w:val="12"/>
                <w:b w:val="1"/>
                <w:bCs w:val="1"/>
                <w:color w:val="auto"/>
              </w:rPr>
              <w:t>Yield/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Yield/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00" w:type="dxa"/>
            <w:vAlign w:val="bottom"/>
          </w:tcPr>
          <w:p>
            <w:pPr>
              <w:spacing w:after="0"/>
              <w:rPr>
                <w:sz w:val="13"/>
                <w:szCs w:val="13"/>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Rate</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4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8"/>
          </w:tcPr>
          <w:p>
            <w:pPr>
              <w:jc w:val="center"/>
              <w:ind w:left="37"/>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INTEREST-EARNING ASSETS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Investment securities (1)</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Available-for-sale securities: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Taxable</w:t>
            </w: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1,854,964</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35,129</w:t>
            </w:r>
          </w:p>
        </w:tc>
        <w:tc>
          <w:tcPr>
            <w:tcW w:w="6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1,580,850</w:t>
            </w:r>
          </w:p>
        </w:tc>
        <w:tc>
          <w:tcPr>
            <w:tcW w:w="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38,189</w:t>
            </w:r>
          </w:p>
        </w:tc>
        <w:tc>
          <w:tcPr>
            <w:tcW w:w="5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8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$ 1,869,842</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44,423</w:t>
            </w: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ind w:left="380"/>
              <w:spacing w:after="0" w:line="135" w:lineRule="exact"/>
              <w:rPr>
                <w:sz w:val="20"/>
                <w:szCs w:val="20"/>
                <w:color w:val="auto"/>
              </w:rPr>
            </w:pPr>
            <w:r>
              <w:rPr>
                <w:rFonts w:ascii="Times New Roman" w:cs="Times New Roman" w:eastAsia="Times New Roman" w:hAnsi="Times New Roman"/>
                <w:sz w:val="13"/>
                <w:szCs w:val="13"/>
                <w:color w:val="auto"/>
              </w:rPr>
              <w:t>Tax-advantaged</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37,110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923</w:t>
            </w:r>
          </w:p>
        </w:tc>
        <w:tc>
          <w:tcPr>
            <w:tcW w:w="62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41,991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1,141</w:t>
            </w:r>
          </w:p>
        </w:tc>
        <w:tc>
          <w:tcPr>
            <w:tcW w:w="58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3.76%</w:t>
            </w:r>
          </w:p>
        </w:tc>
        <w:tc>
          <w:tcPr>
            <w:tcW w:w="8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52,550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1,565</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0" w:type="dxa"/>
            <w:vAlign w:val="bottom"/>
          </w:tcPr>
          <w:p>
            <w:pPr>
              <w:spacing w:after="0"/>
              <w:rPr>
                <w:sz w:val="1"/>
                <w:szCs w:val="1"/>
                <w:color w:val="auto"/>
              </w:rPr>
            </w:pPr>
          </w:p>
        </w:tc>
      </w:tr>
      <w:tr>
        <w:trPr>
          <w:trHeight w:val="135"/>
        </w:trPr>
        <w:tc>
          <w:tcPr>
            <w:tcW w:w="48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Held-to-maturity securities: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ind w:left="380"/>
              <w:spacing w:after="0" w:line="135" w:lineRule="exact"/>
              <w:rPr>
                <w:sz w:val="20"/>
                <w:szCs w:val="20"/>
                <w:color w:val="auto"/>
              </w:rPr>
            </w:pPr>
            <w:r>
              <w:rPr>
                <w:rFonts w:ascii="Times New Roman" w:cs="Times New Roman" w:eastAsia="Times New Roman" w:hAnsi="Times New Roman"/>
                <w:sz w:val="13"/>
                <w:szCs w:val="13"/>
                <w:color w:val="auto"/>
              </w:rPr>
              <w:t>Taxable</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438,190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9,542</w:t>
            </w:r>
          </w:p>
        </w:tc>
        <w:tc>
          <w:tcPr>
            <w:tcW w:w="62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504,814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11,498</w:t>
            </w:r>
          </w:p>
        </w:tc>
        <w:tc>
          <w:tcPr>
            <w:tcW w:w="58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8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534,642</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11,848</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35"/>
        </w:trPr>
        <w:tc>
          <w:tcPr>
            <w:tcW w:w="48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Tax-advantaged</w:t>
            </w: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173,756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4,681</w:t>
            </w:r>
          </w:p>
        </w:tc>
        <w:tc>
          <w:tcPr>
            <w:tcW w:w="6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3.26%</w:t>
            </w:r>
          </w:p>
        </w:tc>
        <w:tc>
          <w:tcPr>
            <w:tcW w:w="8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211,899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5,890</w:t>
            </w:r>
          </w:p>
        </w:tc>
        <w:tc>
          <w:tcPr>
            <w:tcW w:w="5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3.36%</w:t>
            </w:r>
          </w:p>
        </w:tc>
        <w:tc>
          <w:tcPr>
            <w:tcW w:w="8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243,955</w:t>
            </w: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7,053</w:t>
            </w: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Investment in FHLB stock</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17,688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978</w:t>
            </w:r>
          </w:p>
        </w:tc>
        <w:tc>
          <w:tcPr>
            <w:tcW w:w="62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5.53%</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17,688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1,235</w:t>
            </w:r>
          </w:p>
        </w:tc>
        <w:tc>
          <w:tcPr>
            <w:tcW w:w="58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6.98%</w:t>
            </w:r>
          </w:p>
        </w:tc>
        <w:tc>
          <w:tcPr>
            <w:tcW w:w="8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19,441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2,045(4)</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10.52%</w:t>
            </w:r>
          </w:p>
        </w:tc>
        <w:tc>
          <w:tcPr>
            <w:tcW w:w="0" w:type="dxa"/>
            <w:vAlign w:val="bottom"/>
          </w:tcPr>
          <w:p>
            <w:pPr>
              <w:spacing w:after="0"/>
              <w:rPr>
                <w:sz w:val="1"/>
                <w:szCs w:val="1"/>
                <w:color w:val="auto"/>
              </w:rPr>
            </w:pPr>
          </w:p>
        </w:tc>
      </w:tr>
      <w:tr>
        <w:trPr>
          <w:trHeight w:val="135"/>
        </w:trPr>
        <w:tc>
          <w:tcPr>
            <w:tcW w:w="48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Interest-earning deposits with other institutions</w:t>
            </w: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1,098,814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1,682</w:t>
            </w:r>
          </w:p>
        </w:tc>
        <w:tc>
          <w:tcPr>
            <w:tcW w:w="6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0.15%</w:t>
            </w:r>
          </w:p>
        </w:tc>
        <w:tc>
          <w:tcPr>
            <w:tcW w:w="8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120,247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2,269</w:t>
            </w:r>
          </w:p>
        </w:tc>
        <w:tc>
          <w:tcPr>
            <w:tcW w:w="5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8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97,266</w:t>
            </w: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1,642</w:t>
            </w: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Loans (2)</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8,066,483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w w:val="94"/>
              </w:rPr>
              <w:t>377,402</w:t>
            </w:r>
          </w:p>
        </w:tc>
        <w:tc>
          <w:tcPr>
            <w:tcW w:w="62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4.68%</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7,552,505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4"/>
              </w:rPr>
              <w:t>397,628</w:t>
            </w:r>
          </w:p>
        </w:tc>
        <w:tc>
          <w:tcPr>
            <w:tcW w:w="58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5.26%</w:t>
            </w:r>
          </w:p>
        </w:tc>
        <w:tc>
          <w:tcPr>
            <w:tcW w:w="8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5,905,674</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9"/>
              </w:rPr>
              <w:t>293,284</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42"/>
        </w:trPr>
        <w:tc>
          <w:tcPr>
            <w:tcW w:w="48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11,687,005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4"/>
              </w:rPr>
              <w:t>430,337</w:t>
            </w:r>
          </w:p>
        </w:tc>
        <w:tc>
          <w:tcPr>
            <w:tcW w:w="6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auto"/>
              </w:rPr>
              <w:t>3.71%</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5"/>
              </w:rPr>
              <w:t>10,029,994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4"/>
              </w:rPr>
              <w:t>457,850</w:t>
            </w:r>
          </w:p>
        </w:tc>
        <w:tc>
          <w:tcPr>
            <w:tcW w:w="140" w:type="dxa"/>
            <w:vAlign w:val="bottom"/>
          </w:tcPr>
          <w:p>
            <w:pPr>
              <w:spacing w:after="0"/>
              <w:rPr>
                <w:sz w:val="12"/>
                <w:szCs w:val="12"/>
                <w:color w:val="auto"/>
              </w:rPr>
            </w:pPr>
          </w:p>
        </w:tc>
        <w:tc>
          <w:tcPr>
            <w:tcW w:w="5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color w:val="auto"/>
              </w:rPr>
              <w:t>4.58%</w:t>
            </w: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8,723,370</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361,860</w:t>
            </w:r>
          </w:p>
        </w:tc>
        <w:tc>
          <w:tcPr>
            <w:tcW w:w="260" w:type="dxa"/>
            <w:vAlign w:val="bottom"/>
          </w:tcPr>
          <w:p>
            <w:pPr>
              <w:spacing w:after="0"/>
              <w:rPr>
                <w:sz w:val="12"/>
                <w:szCs w:val="12"/>
                <w:color w:val="auto"/>
              </w:rPr>
            </w:pPr>
          </w:p>
        </w:tc>
        <w:tc>
          <w:tcPr>
            <w:tcW w:w="5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4.17%</w:t>
            </w: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Total noninterest-earning assets</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1,242,808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1,272,907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789,299</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12,929,813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5"/>
              </w:rPr>
              <w:t>11,302,901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$ 9,512,669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INTEREST-BEARING LIABILITIES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Savings deposits (3)</w:t>
            </w: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3,530,606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8,803</w:t>
            </w:r>
          </w:p>
        </w:tc>
        <w:tc>
          <w:tcPr>
            <w:tcW w:w="6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0.25%</w:t>
            </w: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3,048,785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12,698</w:t>
            </w:r>
          </w:p>
        </w:tc>
        <w:tc>
          <w:tcPr>
            <w:tcW w:w="5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0.42%</w:t>
            </w:r>
          </w:p>
        </w:tc>
        <w:tc>
          <w:tcPr>
            <w:tcW w:w="8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$ 2,656,660</w:t>
            </w: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7,250</w:t>
            </w: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0.27%</w:t>
            </w: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Time deposits</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445,962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3,799</w:t>
            </w:r>
          </w:p>
        </w:tc>
        <w:tc>
          <w:tcPr>
            <w:tcW w:w="62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0.85%</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487,221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4,422</w:t>
            </w:r>
          </w:p>
        </w:tc>
        <w:tc>
          <w:tcPr>
            <w:tcW w:w="58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0.91%</w:t>
            </w:r>
          </w:p>
        </w:tc>
        <w:tc>
          <w:tcPr>
            <w:tcW w:w="8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453,031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2,575</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0.57%</w:t>
            </w:r>
          </w:p>
        </w:tc>
        <w:tc>
          <w:tcPr>
            <w:tcW w:w="0" w:type="dxa"/>
            <w:vAlign w:val="bottom"/>
          </w:tcPr>
          <w:p>
            <w:pPr>
              <w:spacing w:after="0"/>
              <w:rPr>
                <w:sz w:val="1"/>
                <w:szCs w:val="1"/>
                <w:color w:val="auto"/>
              </w:rPr>
            </w:pPr>
          </w:p>
        </w:tc>
      </w:tr>
      <w:tr>
        <w:trPr>
          <w:trHeight w:val="142"/>
        </w:trPr>
        <w:tc>
          <w:tcPr>
            <w:tcW w:w="482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auto"/>
              </w:rPr>
              <w:t>Total interest-bearing deposits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3,976,568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12,602</w:t>
            </w:r>
          </w:p>
        </w:tc>
        <w:tc>
          <w:tcPr>
            <w:tcW w:w="6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auto"/>
              </w:rPr>
              <w:t>0.32%</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3,536,006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17,120</w:t>
            </w:r>
          </w:p>
        </w:tc>
        <w:tc>
          <w:tcPr>
            <w:tcW w:w="140" w:type="dxa"/>
            <w:vAlign w:val="bottom"/>
          </w:tcPr>
          <w:p>
            <w:pPr>
              <w:spacing w:after="0"/>
              <w:rPr>
                <w:sz w:val="12"/>
                <w:szCs w:val="12"/>
                <w:color w:val="auto"/>
              </w:rPr>
            </w:pPr>
          </w:p>
        </w:tc>
        <w:tc>
          <w:tcPr>
            <w:tcW w:w="5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color w:val="auto"/>
              </w:rPr>
              <w:t>0.48%</w:t>
            </w: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3,109,691</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9,825</w:t>
            </w:r>
          </w:p>
        </w:tc>
        <w:tc>
          <w:tcPr>
            <w:tcW w:w="260" w:type="dxa"/>
            <w:vAlign w:val="bottom"/>
          </w:tcPr>
          <w:p>
            <w:pPr>
              <w:spacing w:after="0"/>
              <w:rPr>
                <w:sz w:val="12"/>
                <w:szCs w:val="12"/>
                <w:color w:val="auto"/>
              </w:rPr>
            </w:pPr>
          </w:p>
        </w:tc>
        <w:tc>
          <w:tcPr>
            <w:tcW w:w="5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0.32%</w:t>
            </w: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FHLB advances, other borrowings, and customer repurchase agreements</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511,404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1,682</w:t>
            </w:r>
          </w:p>
        </w:tc>
        <w:tc>
          <w:tcPr>
            <w:tcW w:w="62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0.33%</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537,964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4,958</w:t>
            </w:r>
          </w:p>
        </w:tc>
        <w:tc>
          <w:tcPr>
            <w:tcW w:w="58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0.91%</w:t>
            </w:r>
          </w:p>
        </w:tc>
        <w:tc>
          <w:tcPr>
            <w:tcW w:w="8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499,526</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2,990</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0.60%</w:t>
            </w:r>
          </w:p>
        </w:tc>
        <w:tc>
          <w:tcPr>
            <w:tcW w:w="0" w:type="dxa"/>
            <w:vAlign w:val="bottom"/>
          </w:tcPr>
          <w:p>
            <w:pPr>
              <w:spacing w:after="0"/>
              <w:rPr>
                <w:sz w:val="1"/>
                <w:szCs w:val="1"/>
                <w:color w:val="auto"/>
              </w:rPr>
            </w:pPr>
          </w:p>
        </w:tc>
      </w:tr>
      <w:tr>
        <w:trPr>
          <w:trHeight w:val="149"/>
        </w:trPr>
        <w:tc>
          <w:tcPr>
            <w:tcW w:w="48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Interest-bearing liabilities</w:t>
            </w: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4,487,972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14,284</w:t>
            </w:r>
          </w:p>
        </w:tc>
        <w:tc>
          <w:tcPr>
            <w:tcW w:w="6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auto"/>
              </w:rPr>
              <w:t>0.32%</w:t>
            </w: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4,073,970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22,078</w:t>
            </w:r>
          </w:p>
        </w:tc>
        <w:tc>
          <w:tcPr>
            <w:tcW w:w="140" w:type="dxa"/>
            <w:vAlign w:val="bottom"/>
          </w:tcPr>
          <w:p>
            <w:pPr>
              <w:spacing w:after="0"/>
              <w:rPr>
                <w:sz w:val="12"/>
                <w:szCs w:val="12"/>
                <w:color w:val="auto"/>
              </w:rPr>
            </w:pPr>
          </w:p>
        </w:tc>
        <w:tc>
          <w:tcPr>
            <w:tcW w:w="5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color w:val="auto"/>
              </w:rPr>
              <w:t>0.54%</w:t>
            </w: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3,609,217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12,815</w:t>
            </w:r>
          </w:p>
        </w:tc>
        <w:tc>
          <w:tcPr>
            <w:tcW w:w="260" w:type="dxa"/>
            <w:vAlign w:val="bottom"/>
          </w:tcPr>
          <w:p>
            <w:pPr>
              <w:spacing w:after="0"/>
              <w:rPr>
                <w:sz w:val="12"/>
                <w:szCs w:val="12"/>
                <w:color w:val="auto"/>
              </w:rPr>
            </w:pPr>
          </w:p>
        </w:tc>
        <w:tc>
          <w:tcPr>
            <w:tcW w:w="5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0.35%</w:t>
            </w: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Noninterest-bearing deposits</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6,281,989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5,177,035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4,449,110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168,188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111,935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71,950</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1,991,664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1,939,961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1,382,392</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12,929,813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5"/>
              </w:rPr>
              <w:t>11,302,901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$ 9,512,669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interest income</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w w:val="94"/>
              </w:rPr>
              <w:t>416,053</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w w:val="94"/>
              </w:rPr>
              <w:t>435,772</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260"/>
              <w:spacing w:after="0" w:line="129" w:lineRule="exact"/>
              <w:rPr>
                <w:sz w:val="20"/>
                <w:szCs w:val="20"/>
                <w:color w:val="auto"/>
              </w:rPr>
            </w:pPr>
            <w:r>
              <w:rPr>
                <w:rFonts w:ascii="Times New Roman" w:cs="Times New Roman" w:eastAsia="Times New Roman" w:hAnsi="Times New Roman"/>
                <w:sz w:val="13"/>
                <w:szCs w:val="13"/>
                <w:color w:val="auto"/>
                <w:w w:val="99"/>
              </w:rPr>
              <w:t>349,045</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rPr>
              <w:t>Net interest spread - tax equivalent</w:t>
            </w: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3.39%</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auto"/>
              </w:rPr>
              <w:t>4.04%</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3.82%</w:t>
            </w:r>
          </w:p>
        </w:tc>
        <w:tc>
          <w:tcPr>
            <w:tcW w:w="0" w:type="dxa"/>
            <w:vAlign w:val="bottom"/>
          </w:tcPr>
          <w:p>
            <w:pPr>
              <w:spacing w:after="0" w:line="20" w:lineRule="exact"/>
              <w:rPr>
                <w:sz w:val="1"/>
                <w:szCs w:val="1"/>
                <w:color w:val="auto"/>
              </w:rPr>
            </w:pPr>
          </w:p>
        </w:tc>
      </w:tr>
      <w:tr>
        <w:trPr>
          <w:trHeight w:val="129"/>
        </w:trPr>
        <w:tc>
          <w:tcPr>
            <w:tcW w:w="4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Net interest margin</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3.57%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4.35%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64"/>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interest margin - tax equivalent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4.36%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4.03%</w:t>
            </w:r>
          </w:p>
        </w:tc>
        <w:tc>
          <w:tcPr>
            <w:tcW w:w="0" w:type="dxa"/>
            <w:vAlign w:val="bottom"/>
          </w:tcPr>
          <w:p>
            <w:pPr>
              <w:spacing w:after="0"/>
              <w:rPr>
                <w:sz w:val="1"/>
                <w:szCs w:val="1"/>
                <w:color w:val="auto"/>
              </w:rPr>
            </w:pPr>
          </w:p>
        </w:tc>
      </w:tr>
      <w:tr>
        <w:trPr>
          <w:trHeight w:val="106"/>
        </w:trPr>
        <w:tc>
          <w:tcPr>
            <w:tcW w:w="48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80" w:right="20" w:hanging="432"/>
        <w:spacing w:after="0" w:line="233"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equivalent (TE) adjustments utilizing a federal statutory rate of 21% in effect for the years ended December 31, 2020, 2019 and 2018. Non-tax equivalent (TE) rate was 2.04%, 2.43% and 2.41% for the years ended December 31, 2020, 2019 and 2018, respectively.</w:t>
      </w:r>
    </w:p>
    <w:p>
      <w:pPr>
        <w:ind w:left="980" w:right="760" w:hanging="432"/>
        <w:spacing w:after="0" w:line="221"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fees of $23.9 million, $3.1 million and $3.4 million for the years ended December 31, 2020, 2019 and 2018, respectively. Prepayment penalty fees of $8.2 million, $5.4 million and $3.0 million are included in interest income for the years ended December 31, 2020, 2019 and 2018, respectively.</w:t>
      </w:r>
    </w:p>
    <w:p>
      <w:pPr>
        <w:ind w:left="980" w:hanging="432"/>
        <w:spacing w:after="0" w:line="221"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interest-bearing demand and money market accounts.</w:t>
      </w:r>
    </w:p>
    <w:p>
      <w:pPr>
        <w:ind w:left="980" w:hanging="432"/>
        <w:spacing w:after="0"/>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special dividend from the FHLB of $520,000.</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551"/>
        <w:spacing w:after="0" w:line="258" w:lineRule="auto"/>
        <w:rPr>
          <w:sz w:val="20"/>
          <w:szCs w:val="20"/>
          <w:color w:val="auto"/>
        </w:rPr>
      </w:pPr>
      <w:r>
        <w:rPr>
          <w:rFonts w:ascii="Times New Roman" w:cs="Times New Roman" w:eastAsia="Times New Roman" w:hAnsi="Times New Roman"/>
          <w:sz w:val="18"/>
          <w:szCs w:val="18"/>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w:t>
      </w:r>
    </w:p>
    <w:p>
      <w:pPr>
        <w:spacing w:after="0" w:line="3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Rate and Volume Analysis for Changes in Interest Income, Interest Expense and Net Interest Income</w:t>
      </w:r>
    </w:p>
    <w:p>
      <w:pPr>
        <w:spacing w:after="0" w:line="200" w:lineRule="exact"/>
        <w:rPr>
          <w:sz w:val="20"/>
          <w:szCs w:val="20"/>
          <w:color w:val="auto"/>
        </w:rPr>
      </w:pP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60" w:type="dxa"/>
            <w:vAlign w:val="bottom"/>
            <w:gridSpan w:val="1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Comparision of Year Ended December 31,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8"/>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2020 Compared to 2019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6"/>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2019 Compared to 2018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10"/>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Increase (Decrease) Due to</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Increase (Decrease) Due to</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Rate/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Pr>
          <w:p>
            <w:pPr>
              <w:spacing w:after="0"/>
              <w:rPr>
                <w:sz w:val="10"/>
                <w:szCs w:val="10"/>
                <w:color w:val="auto"/>
              </w:rPr>
            </w:pPr>
          </w:p>
        </w:tc>
        <w:tc>
          <w:tcPr>
            <w:tcW w:w="70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Rate/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6"/>
          </w:tcPr>
          <w:p>
            <w:pPr>
              <w:jc w:val="right"/>
              <w:ind w:right="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Available-for-sale securities: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Taxable investment securities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5,679</w:t>
            </w: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(7,608)</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1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(3,060)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(6,919)</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(6,234)</w:t>
            </w:r>
          </w:p>
        </w:tc>
        <w:tc>
          <w:tcPr>
            <w:tcW w:w="0" w:type="dxa"/>
            <w:vAlign w:val="bottom"/>
          </w:tcPr>
          <w:p>
            <w:pPr>
              <w:spacing w:after="0"/>
              <w:rPr>
                <w:sz w:val="1"/>
                <w:szCs w:val="1"/>
                <w:color w:val="auto"/>
              </w:rPr>
            </w:pPr>
          </w:p>
        </w:tc>
      </w:tr>
      <w:tr>
        <w:trPr>
          <w:trHeight w:val="148"/>
        </w:trPr>
        <w:tc>
          <w:tcPr>
            <w:tcW w:w="4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Tax-advantaged investment securities</w:t>
            </w: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Held-to-maturity securities: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Taxable investment securities</w:t>
            </w: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Tax-advantaged investment securities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148"/>
        </w:trPr>
        <w:tc>
          <w:tcPr>
            <w:tcW w:w="4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Investment in FHLB stock</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18,465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(16,967)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49"/>
        </w:trPr>
        <w:tc>
          <w:tcPr>
            <w:tcW w:w="4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27,060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(44,273)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(20,226)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81,775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17,648</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4,921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104,344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interest income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48,512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(55,026)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(20,999)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(27,513)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73,112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17,932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4,946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95,990</w:t>
            </w:r>
          </w:p>
        </w:tc>
        <w:tc>
          <w:tcPr>
            <w:tcW w:w="0" w:type="dxa"/>
            <w:vAlign w:val="bottom"/>
          </w:tcPr>
          <w:p>
            <w:pPr>
              <w:spacing w:after="0"/>
              <w:rPr>
                <w:sz w:val="1"/>
                <w:szCs w:val="1"/>
                <w:color w:val="auto"/>
              </w:rPr>
            </w:pPr>
          </w:p>
        </w:tc>
      </w:tr>
      <w:tr>
        <w:trPr>
          <w:trHeight w:val="156"/>
        </w:trPr>
        <w:tc>
          <w:tcPr>
            <w:tcW w:w="45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Savings deposits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3,815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5,448</w:t>
            </w:r>
          </w:p>
        </w:tc>
        <w:tc>
          <w:tcPr>
            <w:tcW w:w="0" w:type="dxa"/>
            <w:vAlign w:val="bottom"/>
          </w:tcPr>
          <w:p>
            <w:pPr>
              <w:spacing w:after="0"/>
              <w:rPr>
                <w:sz w:val="1"/>
                <w:szCs w:val="1"/>
                <w:color w:val="auto"/>
              </w:rPr>
            </w:pPr>
          </w:p>
        </w:tc>
      </w:tr>
      <w:tr>
        <w:trPr>
          <w:trHeight w:val="148"/>
        </w:trPr>
        <w:tc>
          <w:tcPr>
            <w:tcW w:w="4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Time deposits</w:t>
            </w: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1,537</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FHLB advances, other borrowings, and customer repurchase agreements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1,968</w:t>
            </w:r>
          </w:p>
        </w:tc>
        <w:tc>
          <w:tcPr>
            <w:tcW w:w="0" w:type="dxa"/>
            <w:vAlign w:val="bottom"/>
          </w:tcPr>
          <w:p>
            <w:pPr>
              <w:spacing w:after="0"/>
              <w:rPr>
                <w:sz w:val="1"/>
                <w:szCs w:val="1"/>
                <w:color w:val="auto"/>
              </w:rPr>
            </w:pPr>
          </w:p>
        </w:tc>
      </w:tr>
      <w:tr>
        <w:trPr>
          <w:trHeight w:val="163"/>
        </w:trPr>
        <w:tc>
          <w:tcPr>
            <w:tcW w:w="45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Total interest expense</w:t>
            </w: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1,388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6,962</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803</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9,263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interest income</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47,124</w:t>
            </w: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(46,469)</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(20,374)</w:t>
            </w:r>
          </w:p>
        </w:tc>
        <w:tc>
          <w:tcPr>
            <w:tcW w:w="1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(19,719)</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71,614</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10,970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4,143</w:t>
            </w:r>
          </w:p>
        </w:tc>
        <w:tc>
          <w:tcPr>
            <w:tcW w:w="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86,727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interest income, before provision for credit losses, of $416.1 million for 2020 decreased $19.7 million, or 4.53%, compared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$435.8 million for 2019. Interest-earning assets increased on average by $1.66 billion, or 16.52%, from $10.03 billion for 2019 to $11.69 billion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 Our net interest margin (TE) was 3.59% for 2020, compared to 4.36% for 2019.</w:t>
      </w:r>
    </w:p>
    <w:p>
      <w:pPr>
        <w:spacing w:after="0" w:line="166" w:lineRule="exact"/>
        <w:rPr>
          <w:sz w:val="20"/>
          <w:szCs w:val="20"/>
          <w:color w:val="auto"/>
        </w:rPr>
      </w:pPr>
    </w:p>
    <w:p>
      <w:pPr>
        <w:ind w:left="120" w:right="160" w:firstLine="551"/>
        <w:spacing w:after="0" w:line="255" w:lineRule="auto"/>
        <w:rPr>
          <w:sz w:val="20"/>
          <w:szCs w:val="20"/>
          <w:color w:val="auto"/>
        </w:rPr>
      </w:pPr>
      <w:r>
        <w:rPr>
          <w:rFonts w:ascii="Times New Roman" w:cs="Times New Roman" w:eastAsia="Times New Roman" w:hAnsi="Times New Roman"/>
          <w:sz w:val="18"/>
          <w:szCs w:val="18"/>
          <w:color w:val="auto"/>
        </w:rPr>
        <w:t>Interest income for 2020 was $430.3 million, which represented a $27.5 million, or 6.01%, decrease when compared to 2019. Average interest-earning assets increased to $11.69 billion and the average earning asset yield was 3.71% for 2020, compared to 4.58% for 2019. The 87 basis point decrease in the interest-earning asset yield over 2019 was primarily due to a combination of a 58 basis point decrease in loan yields, a 39 basis point decline in the non-tax equivalent investment yields, and a change in mix of earning assets, with average balances at the Federal Reserve growing to 9.11% of earning assets for 2020, compared to 1.14% for 2019. The increase in balances at the Federal Reserve was impacted by $1.54 billion in average deposit growth for 2020. The net interest margin for 2020 would have been about 30 basis points higher without the $950.7 million year-over-year increase in average deposits at the Federal Reserve, earning just 10 basis points.</w:t>
      </w:r>
    </w:p>
    <w:p>
      <w:pPr>
        <w:spacing w:after="0" w:line="148" w:lineRule="exact"/>
        <w:rPr>
          <w:sz w:val="20"/>
          <w:szCs w:val="20"/>
          <w:color w:val="auto"/>
        </w:rPr>
      </w:pPr>
    </w:p>
    <w:p>
      <w:pPr>
        <w:ind w:left="120" w:right="20" w:firstLine="551"/>
        <w:spacing w:after="0" w:line="282" w:lineRule="auto"/>
        <w:rPr>
          <w:sz w:val="20"/>
          <w:szCs w:val="20"/>
          <w:color w:val="auto"/>
        </w:rPr>
      </w:pPr>
      <w:r>
        <w:rPr>
          <w:rFonts w:ascii="Times New Roman" w:cs="Times New Roman" w:eastAsia="Times New Roman" w:hAnsi="Times New Roman"/>
          <w:sz w:val="18"/>
          <w:szCs w:val="18"/>
          <w:color w:val="auto"/>
        </w:rPr>
        <w:t>Interest income and fees on loans for 2020 of $377.4 million decreased $20.2 million, or 5.09% when compared to 2019 Average loans increased $514.0 million for 2020 when compared to 2019, primarily due to</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$702.1 million in average PPP loans originated in the second quarter of 2020. The PPP loans we originated resulted in approximately $21.4 million in fee income and $7.1 million in loan interest during 2020. Discount accretion on acquired loans and nonrecurring nonaccrual interest paid decreased by $12.6 million compared to 2019. Loan yields decreased by 58 basis points from 2019. The significant decline in interest rates since the start of the pandemic has had a negative impact on loan yields, which after excluding the impact from PPP loans, discount accretion and nonaccrual interest income, causing loan yields to decline by 36 basis points from 2019.</w:t>
      </w:r>
    </w:p>
    <w:p>
      <w:pPr>
        <w:spacing w:after="0" w:line="156" w:lineRule="exact"/>
        <w:rPr>
          <w:sz w:val="20"/>
          <w:szCs w:val="20"/>
          <w:color w:val="auto"/>
        </w:rPr>
      </w:pPr>
    </w:p>
    <w:p>
      <w:pPr>
        <w:ind w:left="120" w:right="40" w:firstLine="551"/>
        <w:spacing w:after="0" w:line="258" w:lineRule="auto"/>
        <w:rPr>
          <w:sz w:val="20"/>
          <w:szCs w:val="20"/>
          <w:color w:val="auto"/>
        </w:rPr>
      </w:pPr>
      <w:r>
        <w:rPr>
          <w:rFonts w:ascii="Times New Roman" w:cs="Times New Roman" w:eastAsia="Times New Roman" w:hAnsi="Times New Roman"/>
          <w:sz w:val="18"/>
          <w:szCs w:val="18"/>
          <w:color w:val="auto"/>
        </w:rPr>
        <w:t>In general, we stop accruing interest on a loan after its principal or interest becomes 90 days or more past due. When a loan is placed on nonaccrual, all interest previously accrued but not collected is charged against earnings. There was no interest income that was accrued and not reversed on nonaccrual loans at December 31, 2020 and 2019. As of December 31, 2020 and 2019, we had $14.3 million and $5.3 million of nonaccrual loans, respectively. Had these nonaccrual loans for which interest was no longer accruing complied with the original terms and conditions, interest income would have been approximately $843,000 and $526,000 greater for 2020 and 2019, respectively.</w:t>
      </w:r>
    </w:p>
    <w:p>
      <w:pPr>
        <w:spacing w:after="0" w:line="143" w:lineRule="exact"/>
        <w:rPr>
          <w:sz w:val="20"/>
          <w:szCs w:val="20"/>
          <w:color w:val="auto"/>
        </w:rPr>
      </w:pPr>
    </w:p>
    <w:p>
      <w:pPr>
        <w:ind w:left="120" w:right="140" w:firstLine="551"/>
        <w:spacing w:after="0" w:line="258" w:lineRule="auto"/>
        <w:rPr>
          <w:sz w:val="20"/>
          <w:szCs w:val="20"/>
          <w:color w:val="auto"/>
        </w:rPr>
      </w:pPr>
      <w:r>
        <w:rPr>
          <w:rFonts w:ascii="Times New Roman" w:cs="Times New Roman" w:eastAsia="Times New Roman" w:hAnsi="Times New Roman"/>
          <w:sz w:val="18"/>
          <w:szCs w:val="18"/>
          <w:color w:val="auto"/>
        </w:rPr>
        <w:t>Interest income from investment securities was $50.3 million for 2020, a $6.4 million, or 11.36%, decrease from $56.7 million for 2019. The decrease was primarily the result of a 39 basis point decline in the non-tax equivalent yield on investments as the decline in interest rates over the past four quarters decreased yields on investment securities due to higher levels of premium amortization, as well as lower yields on investments purchased during 2020. Partially offsetting the decline from lower rates was a $164.5 million increase in the average investment securities for 2020 compared to 2019.</w:t>
      </w:r>
    </w:p>
    <w:p>
      <w:pPr>
        <w:spacing w:after="0" w:line="143" w:lineRule="exact"/>
        <w:rPr>
          <w:sz w:val="20"/>
          <w:szCs w:val="20"/>
          <w:color w:val="auto"/>
        </w:rPr>
      </w:pPr>
    </w:p>
    <w:p>
      <w:pPr>
        <w:ind w:left="120" w:right="40" w:firstLine="551"/>
        <w:spacing w:after="0" w:line="256" w:lineRule="auto"/>
        <w:rPr>
          <w:sz w:val="20"/>
          <w:szCs w:val="20"/>
          <w:color w:val="auto"/>
        </w:rPr>
      </w:pPr>
      <w:r>
        <w:rPr>
          <w:rFonts w:ascii="Times New Roman" w:cs="Times New Roman" w:eastAsia="Times New Roman" w:hAnsi="Times New Roman"/>
          <w:sz w:val="18"/>
          <w:szCs w:val="18"/>
          <w:color w:val="auto"/>
        </w:rPr>
        <w:t>Interest expense of $14.3 million for 2020 decreased $7.8 million, or 35.30%, compared to $22.1 million for 2019. The average rate paid on interest-bearing liabilities decreased by 22 basis points, to 0.32% for 2020, from 0.54% for 2019. The rate on interest-bearing deposits for 2020 decreased by 16 basis points from 2019. Average interest-bearing liabilities were $414.0 million higher for 2020 when compared to 2019. On average, noninterest-bearing deposits were 61.24% of our total deposits for 2020, compared to 59.42% for 2019. In comparison to 2020, our overall cost of funds decreased 11 basis points, as our average noninterest-bearing deposits grew by $1.10 billion. Average interest-bearing deposits increased by $440.6 million for 2020, while the cost of interest-bearing deposits decreased by 16 basis points.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Compared to 2018</w:t>
      </w:r>
    </w:p>
    <w:p>
      <w:pPr>
        <w:spacing w:after="0" w:line="187" w:lineRule="exact"/>
        <w:rPr>
          <w:sz w:val="20"/>
          <w:szCs w:val="20"/>
          <w:color w:val="auto"/>
        </w:rPr>
      </w:pPr>
    </w:p>
    <w:p>
      <w:pPr>
        <w:jc w:val="both"/>
        <w:ind w:left="120" w:firstLine="551"/>
        <w:spacing w:after="0" w:line="261" w:lineRule="auto"/>
        <w:rPr>
          <w:sz w:val="20"/>
          <w:szCs w:val="20"/>
          <w:color w:val="auto"/>
        </w:rPr>
      </w:pPr>
      <w:r>
        <w:rPr>
          <w:rFonts w:ascii="Times New Roman" w:cs="Times New Roman" w:eastAsia="Times New Roman" w:hAnsi="Times New Roman"/>
          <w:sz w:val="18"/>
          <w:szCs w:val="18"/>
          <w:color w:val="auto"/>
        </w:rPr>
        <w:t>Net interest income, before provision for loan losses, of $435.8 million for 2019 increased $86.7 million, or 24.85%, compared to $349.0 million for 2018. Interest-earning assets increased on average by $1.31 billion, or 14.98%, from $8.72 billion for 2018 to $10.03 billion for 2019. The growth in interest-earning assets was primarily the result of loan growth from the acquisition of Community Bank (“CB”). Our net interest margin (TE) was 4.36% for 2019, compared to 4.03% for 2018.</w:t>
      </w:r>
    </w:p>
    <w:p>
      <w:pPr>
        <w:spacing w:after="0" w:line="139" w:lineRule="exact"/>
        <w:rPr>
          <w:sz w:val="20"/>
          <w:szCs w:val="20"/>
          <w:color w:val="auto"/>
        </w:rPr>
      </w:pPr>
    </w:p>
    <w:p>
      <w:pPr>
        <w:ind w:left="120" w:right="40" w:firstLine="551"/>
        <w:spacing w:after="0" w:line="258" w:lineRule="auto"/>
        <w:rPr>
          <w:sz w:val="20"/>
          <w:szCs w:val="20"/>
          <w:color w:val="auto"/>
        </w:rPr>
      </w:pPr>
      <w:r>
        <w:rPr>
          <w:rFonts w:ascii="Times New Roman" w:cs="Times New Roman" w:eastAsia="Times New Roman" w:hAnsi="Times New Roman"/>
          <w:sz w:val="18"/>
          <w:szCs w:val="18"/>
          <w:color w:val="auto"/>
        </w:rPr>
        <w:t>Interest income for 2019 was $457.9 million, which represented a $96.0 million, or 26.53%, increase when compared to 2018. Average interest-earning assets increased by $1.31 billion and the average interest-earning asset yield of 4.58%, compared to 4.17% for 2018. The 41 basis point increase in the interest-earning asset yield over 2018 resulted from the combination of a 29 basis point increase in loan yields and the change in mix of earning assets. Average loans as a percentage of earning assets grew from 67.7% in 2018 to 75.3% in 2019. Conversely, average investment securities declined as a percentage of earning assets from 31.0% in the prior year to 23.3% in 2019.</w:t>
      </w:r>
    </w:p>
    <w:p>
      <w:pPr>
        <w:spacing w:after="0" w:line="156" w:lineRule="exact"/>
        <w:rPr>
          <w:sz w:val="20"/>
          <w:szCs w:val="20"/>
          <w:color w:val="auto"/>
        </w:rPr>
      </w:pPr>
    </w:p>
    <w:p>
      <w:pPr>
        <w:ind w:left="120" w:right="20" w:firstLine="551"/>
        <w:spacing w:after="0" w:line="258" w:lineRule="auto"/>
        <w:rPr>
          <w:sz w:val="20"/>
          <w:szCs w:val="20"/>
          <w:color w:val="auto"/>
        </w:rPr>
      </w:pPr>
      <w:r>
        <w:rPr>
          <w:rFonts w:ascii="Times New Roman" w:cs="Times New Roman" w:eastAsia="Times New Roman" w:hAnsi="Times New Roman"/>
          <w:sz w:val="18"/>
          <w:szCs w:val="18"/>
          <w:color w:val="auto"/>
        </w:rPr>
        <w:t>Interest income and fees on loans for 2019 of $397.6 million increased $104.3 million, or 35.58% when compared to 2018 primarily due to loans acquired from CB. Average loans increased $1.65 billion for 2019 when compared with 2018. Discount accretion on acquired loans and nonrecurring nonaccrual interest paid was $30.8 million for 2019, compared to $16.9 million for 2018, which increased loan yields by nine basis points. In addition, loan yields increased by an additional 20 basis points from the prior year primarily due to higher rates on loans indexed to variable interest rates, such as the Bank’s prime rate.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551"/>
        <w:spacing w:after="0" w:line="261" w:lineRule="auto"/>
        <w:rPr>
          <w:sz w:val="20"/>
          <w:szCs w:val="20"/>
          <w:color w:val="auto"/>
        </w:rPr>
      </w:pPr>
      <w:r>
        <w:rPr>
          <w:rFonts w:ascii="Times New Roman" w:cs="Times New Roman" w:eastAsia="Times New Roman" w:hAnsi="Times New Roman"/>
          <w:sz w:val="18"/>
          <w:szCs w:val="18"/>
          <w:color w:val="auto"/>
        </w:rPr>
        <w:t>There was no interest income that was accrued and not reversed on nonaccrual loans at December 31, 2019 and 2018. As of December 31, 2019 and 2018, we had $5.3 million and $20.0 million of nonaccrual loans, respectively. Had these nonaccrual loans for which interest was no longer accruing complied with the original terms and conditions, interest income would have been approximately $526,000 and $1.3 million greater for 2019 and 2018, respectively.</w:t>
      </w:r>
    </w:p>
    <w:p>
      <w:pPr>
        <w:spacing w:after="0" w:line="153" w:lineRule="exact"/>
        <w:rPr>
          <w:sz w:val="20"/>
          <w:szCs w:val="20"/>
          <w:color w:val="auto"/>
        </w:rPr>
      </w:pPr>
    </w:p>
    <w:p>
      <w:pPr>
        <w:ind w:left="120" w:right="180" w:firstLine="551"/>
        <w:spacing w:after="0" w:line="261" w:lineRule="auto"/>
        <w:rPr>
          <w:sz w:val="20"/>
          <w:szCs w:val="20"/>
          <w:color w:val="auto"/>
        </w:rPr>
      </w:pPr>
      <w:r>
        <w:rPr>
          <w:rFonts w:ascii="Times New Roman" w:cs="Times New Roman" w:eastAsia="Times New Roman" w:hAnsi="Times New Roman"/>
          <w:sz w:val="18"/>
          <w:szCs w:val="18"/>
          <w:color w:val="auto"/>
        </w:rPr>
        <w:t>Interest income from investment securities was $56.7 million for 2019, an $8.2 million, or 12.59%, decrease from $64.9 million for 2018. This decrease was the net result of a $361.4 million decrease in the average investment securities for 2019 compared to 2018, partially offset by a two basis point increase in the non tax-equivalent yield on securities. Dividend income from FHLB stock decreased by $810,000 from 2019, primarily due to a special dividend of $520,000 received from the FHLB in the fourth quarter of 2018.</w:t>
      </w:r>
    </w:p>
    <w:p>
      <w:pPr>
        <w:spacing w:after="0" w:line="139" w:lineRule="exact"/>
        <w:rPr>
          <w:sz w:val="20"/>
          <w:szCs w:val="20"/>
          <w:color w:val="auto"/>
        </w:rPr>
      </w:pPr>
    </w:p>
    <w:p>
      <w:pPr>
        <w:ind w:left="120" w:right="200" w:firstLine="551"/>
        <w:spacing w:after="0" w:line="255" w:lineRule="auto"/>
        <w:rPr>
          <w:sz w:val="20"/>
          <w:szCs w:val="20"/>
          <w:color w:val="auto"/>
        </w:rPr>
      </w:pPr>
      <w:r>
        <w:rPr>
          <w:rFonts w:ascii="Times New Roman" w:cs="Times New Roman" w:eastAsia="Times New Roman" w:hAnsi="Times New Roman"/>
          <w:sz w:val="18"/>
          <w:szCs w:val="18"/>
          <w:color w:val="auto"/>
        </w:rPr>
        <w:t>Interest expense of $22.1 million for 2019 increased $9.3 million, or 72.28%, compared to $12.8 million for 2018. The average rate paid on interest-bearing liabilities increased by 19 basis points, to 0.54% for 2019, from 0.35% for 2018. The rate on interest-bearing deposits for 2019 increased by 16 basis points from 2018, as a result of higher rates on deposits acquired from CB and competition from higher interest rates offered by our competitors. Average interest-bearing liabilities increased by $464.8 million when compared to 2018, primarily due to deposits assumed from CB. Average noninterest-bearing deposits represented 59.42% of our total deposits for 2019, compared to 58.86% for 2018. The overall cost of funds increased by only eight basis points due to the continued strength and growth of noninterest-bearing deposits, during a period of higher short-term interest rates.</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02" w:lineRule="exact"/>
        <w:rPr>
          <w:sz w:val="20"/>
          <w:szCs w:val="20"/>
          <w:color w:val="auto"/>
        </w:rPr>
      </w:pPr>
    </w:p>
    <w:p>
      <w:pPr>
        <w:ind w:left="120" w:right="60" w:firstLine="551"/>
        <w:spacing w:after="0" w:line="266" w:lineRule="auto"/>
        <w:rPr>
          <w:sz w:val="20"/>
          <w:szCs w:val="20"/>
          <w:color w:val="auto"/>
        </w:rPr>
      </w:pPr>
      <w:r>
        <w:rPr>
          <w:rFonts w:ascii="Times New Roman" w:cs="Times New Roman" w:eastAsia="Times New Roman" w:hAnsi="Times New Roman"/>
          <w:sz w:val="18"/>
          <w:szCs w:val="18"/>
          <w:color w:val="auto"/>
        </w:rPr>
        <w:t>The provision for credit losses is a charge to earnings to maintain the allowance for credit losses at a level consistent with management’s assessment of expected lifetime losses in the loan portfolio at the balance sheet date. On January 1, 2020, we adopted ASU 2016-13, commonly referred to as CECL, which replaces the “incurred loss” approach with an “expected loss” model over the life of the loan.</w:t>
      </w:r>
    </w:p>
    <w:p>
      <w:pPr>
        <w:spacing w:after="0" w:line="135" w:lineRule="exact"/>
        <w:rPr>
          <w:sz w:val="20"/>
          <w:szCs w:val="20"/>
          <w:color w:val="auto"/>
        </w:rPr>
      </w:pPr>
    </w:p>
    <w:p>
      <w:pPr>
        <w:ind w:left="120" w:right="40" w:firstLine="551"/>
        <w:spacing w:after="0" w:line="253" w:lineRule="auto"/>
        <w:rPr>
          <w:sz w:val="20"/>
          <w:szCs w:val="20"/>
          <w:color w:val="auto"/>
        </w:rPr>
      </w:pPr>
      <w:r>
        <w:rPr>
          <w:rFonts w:ascii="Times New Roman" w:cs="Times New Roman" w:eastAsia="Times New Roman" w:hAnsi="Times New Roman"/>
          <w:sz w:val="18"/>
          <w:szCs w:val="18"/>
          <w:color w:val="auto"/>
        </w:rPr>
        <w:t>The allowance for credit losses totaled $93.7 million at December 31, 2020, compared to $68.7 million at December 31, 2019. Upon adoption of CECL, a transition adjustment of $1.8 million was added to the beginning balance of the allowance, with no impact on the consolidated statement of earnings, and was increased by $23.5 million in provision for credit losses in the first half of 2020, due to the severe economic disruption forecasted as a result of the COVID-19 pandemic. No provision for credit losses was recorded in the third or fourth quarter of 2020. For 2020, we experienced minimal credit charge-offs of $666,000 and total recoveries of $358,000, resulting in net charge-offs of $308,000. This compares to a $5.0 million loan loss provision and net recoveries of $47,000 for 2019 and a $1.5 million loan loss provision and net recoveries of $2.5 million for 2018. The ratio of the allowance for credit losses to total loans and leases outstanding, net of deferred fees and discount, as of December 31, 2020, was 1.12%, or 1.25% when</w:t>
      </w:r>
    </w:p>
    <w:p>
      <w:pPr>
        <w:spacing w:after="0" w:line="3" w:lineRule="exact"/>
        <w:rPr>
          <w:sz w:val="20"/>
          <w:szCs w:val="20"/>
          <w:color w:val="auto"/>
        </w:rPr>
      </w:pPr>
    </w:p>
    <w:p>
      <w:pPr>
        <w:ind w:left="120" w:right="380" w:hanging="4"/>
        <w:spacing w:after="0" w:line="260" w:lineRule="auto"/>
        <w:tabs>
          <w:tab w:leader="none" w:pos="4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excluded. This compares to 0.91% and 0.82%, as of December 31, 2019 and 2018, respectively. As of December 31, 2020, remaining discounts on acquired loans were $30.9 million.</w:t>
      </w:r>
    </w:p>
    <w:p>
      <w:pPr>
        <w:spacing w:after="0" w:line="141" w:lineRule="exact"/>
        <w:rPr>
          <w:sz w:val="20"/>
          <w:szCs w:val="20"/>
          <w:color w:val="auto"/>
        </w:rPr>
      </w:pPr>
    </w:p>
    <w:p>
      <w:pPr>
        <w:ind w:left="120" w:right="140" w:firstLine="551"/>
        <w:spacing w:after="0" w:line="261" w:lineRule="auto"/>
        <w:rPr>
          <w:sz w:val="20"/>
          <w:szCs w:val="20"/>
          <w:color w:val="auto"/>
        </w:rPr>
      </w:pPr>
      <w:r>
        <w:rPr>
          <w:rFonts w:ascii="Times New Roman" w:cs="Times New Roman" w:eastAsia="Times New Roman" w:hAnsi="Times New Roman"/>
          <w:sz w:val="18"/>
          <w:szCs w:val="18"/>
          <w:color w:val="auto"/>
        </w:rPr>
        <w:t xml:space="preserve">No assurance can be given that economic conditions which adversely affect the Company’s service areas or other circumstances will or will not be reflected in increased provisions for credit losses in the future, as the nature of this process requires considerable judgment. We may experience increases in the provision for credit losses, in future periods, due to further deterioration in economic conditions from the COVID-19 pandemic. See “Allowance for Credit Losses” under </w:t>
      </w:r>
      <w:r>
        <w:rPr>
          <w:rFonts w:ascii="Times New Roman" w:cs="Times New Roman" w:eastAsia="Times New Roman" w:hAnsi="Times New Roman"/>
          <w:sz w:val="18"/>
          <w:szCs w:val="18"/>
          <w:i w:val="1"/>
          <w:iCs w:val="1"/>
          <w:color w:val="auto"/>
        </w:rPr>
        <w:t>Analysis of Financial Condition</w:t>
      </w:r>
      <w:r>
        <w:rPr>
          <w:rFonts w:ascii="Times New Roman" w:cs="Times New Roman" w:eastAsia="Times New Roman" w:hAnsi="Times New Roman"/>
          <w:sz w:val="18"/>
          <w:szCs w:val="18"/>
          <w:color w:val="auto"/>
        </w:rPr>
        <w:t xml:space="preserve"> herein.</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89" w:lineRule="exact"/>
        <w:rPr>
          <w:sz w:val="20"/>
          <w:szCs w:val="20"/>
          <w:color w:val="auto"/>
        </w:rPr>
      </w:pPr>
    </w:p>
    <w:p>
      <w:pPr>
        <w:ind w:left="120" w:firstLine="551"/>
        <w:spacing w:after="0" w:line="289" w:lineRule="auto"/>
        <w:rPr>
          <w:sz w:val="20"/>
          <w:szCs w:val="20"/>
          <w:color w:val="auto"/>
        </w:rPr>
      </w:pPr>
      <w:r>
        <w:rPr>
          <w:rFonts w:ascii="Times New Roman" w:cs="Times New Roman" w:eastAsia="Times New Roman" w:hAnsi="Times New Roman"/>
          <w:sz w:val="17"/>
          <w:szCs w:val="17"/>
          <w:color w:val="auto"/>
        </w:rPr>
        <w:t>Noninterest income includes income derived from financial services offered, such as CitizensTrust, BankCard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noninterest income for the periods presented.</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8"/>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8"/>
            <w:vMerge w:val="continue"/>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52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right"/>
              <w:ind w:right="6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7"/>
          </w:tcPr>
          <w:p>
            <w:pPr>
              <w:ind w:left="40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Noninterest income: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Service charges on deposit accounts</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16,561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20,010</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17,070</w:t>
            </w: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 (3,449)</w:t>
            </w:r>
          </w:p>
        </w:tc>
        <w:tc>
          <w:tcPr>
            <w:tcW w:w="116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  2,940</w:t>
            </w:r>
          </w:p>
        </w:tc>
        <w:tc>
          <w:tcPr>
            <w:tcW w:w="9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17.22%</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Trust and investment services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9,978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9,525</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8,774</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16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9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0" w:type="dxa"/>
            <w:vAlign w:val="bottom"/>
          </w:tcPr>
          <w:p>
            <w:pPr>
              <w:spacing w:after="0"/>
              <w:rPr>
                <w:sz w:val="1"/>
                <w:szCs w:val="1"/>
                <w:color w:val="auto"/>
              </w:rPr>
            </w:pPr>
          </w:p>
        </w:tc>
      </w:tr>
      <w:tr>
        <w:trPr>
          <w:trHeight w:val="148"/>
        </w:trPr>
        <w:tc>
          <w:tcPr>
            <w:tcW w:w="5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Bankcard services</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1,886</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3,163</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3,485</w:t>
            </w: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(1,277)</w:t>
            </w:r>
          </w:p>
        </w:tc>
        <w:tc>
          <w:tcPr>
            <w:tcW w:w="116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-40.37%</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9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BOLI income</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8,100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5,798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4,018</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2,302</w:t>
            </w:r>
          </w:p>
        </w:tc>
        <w:tc>
          <w:tcPr>
            <w:tcW w:w="116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39.70%</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1,780</w:t>
            </w:r>
          </w:p>
        </w:tc>
        <w:tc>
          <w:tcPr>
            <w:tcW w:w="9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44.30%</w:t>
            </w:r>
          </w:p>
        </w:tc>
        <w:tc>
          <w:tcPr>
            <w:tcW w:w="0" w:type="dxa"/>
            <w:vAlign w:val="bottom"/>
          </w:tcPr>
          <w:p>
            <w:pPr>
              <w:spacing w:after="0"/>
              <w:rPr>
                <w:sz w:val="1"/>
                <w:szCs w:val="1"/>
                <w:color w:val="auto"/>
              </w:rPr>
            </w:pPr>
          </w:p>
        </w:tc>
      </w:tr>
      <w:tr>
        <w:trPr>
          <w:trHeight w:val="148"/>
        </w:trPr>
        <w:tc>
          <w:tcPr>
            <w:tcW w:w="5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Swap fee income</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5,025</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1,806</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3,219</w:t>
            </w:r>
          </w:p>
        </w:tc>
        <w:tc>
          <w:tcPr>
            <w:tcW w:w="116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178.24%</w:t>
            </w: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1,466</w:t>
            </w:r>
          </w:p>
        </w:tc>
        <w:tc>
          <w:tcPr>
            <w:tcW w:w="9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431.18%</w:t>
            </w: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Gain on OREO, net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3,546</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16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200.78%</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(3,417)</w:t>
            </w:r>
          </w:p>
        </w:tc>
        <w:tc>
          <w:tcPr>
            <w:tcW w:w="9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-96.36%</w:t>
            </w:r>
          </w:p>
        </w:tc>
        <w:tc>
          <w:tcPr>
            <w:tcW w:w="0" w:type="dxa"/>
            <w:vAlign w:val="bottom"/>
          </w:tcPr>
          <w:p>
            <w:pPr>
              <w:spacing w:after="0"/>
              <w:rPr>
                <w:sz w:val="1"/>
                <w:szCs w:val="1"/>
                <w:color w:val="auto"/>
              </w:rPr>
            </w:pPr>
          </w:p>
        </w:tc>
      </w:tr>
      <w:tr>
        <w:trPr>
          <w:trHeight w:val="148"/>
        </w:trPr>
        <w:tc>
          <w:tcPr>
            <w:tcW w:w="5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Gain on sale of building, net</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4,776</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(3,096)</w:t>
            </w:r>
          </w:p>
        </w:tc>
        <w:tc>
          <w:tcPr>
            <w:tcW w:w="116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-64.82%</w:t>
            </w: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4,776</w:t>
            </w:r>
          </w:p>
        </w:tc>
        <w:tc>
          <w:tcPr>
            <w:tcW w:w="9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Gain on eminent domain condemnation, net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5,685</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(5,685)</w:t>
            </w:r>
          </w:p>
        </w:tc>
        <w:tc>
          <w:tcPr>
            <w:tcW w:w="116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5,685</w:t>
            </w:r>
          </w:p>
        </w:tc>
        <w:tc>
          <w:tcPr>
            <w:tcW w:w="9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6,252</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8,150</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6,248</w:t>
            </w: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(1,898)</w:t>
            </w:r>
          </w:p>
        </w:tc>
        <w:tc>
          <w:tcPr>
            <w:tcW w:w="116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-23.29%</w:t>
            </w: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1,902</w:t>
            </w:r>
          </w:p>
        </w:tc>
        <w:tc>
          <w:tcPr>
            <w:tcW w:w="9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noninterest income</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49,870</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59,042</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43,481</w:t>
            </w: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 (9,172)</w:t>
            </w:r>
          </w:p>
        </w:tc>
        <w:tc>
          <w:tcPr>
            <w:tcW w:w="116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$ 15,561</w:t>
            </w:r>
          </w:p>
        </w:tc>
        <w:tc>
          <w:tcPr>
            <w:tcW w:w="9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187" w:lineRule="exact"/>
        <w:rPr>
          <w:sz w:val="20"/>
          <w:szCs w:val="20"/>
          <w:color w:val="auto"/>
        </w:rPr>
      </w:pPr>
    </w:p>
    <w:p>
      <w:pPr>
        <w:ind w:left="120" w:right="20" w:firstLine="551"/>
        <w:spacing w:after="0" w:line="255" w:lineRule="auto"/>
        <w:rPr>
          <w:sz w:val="20"/>
          <w:szCs w:val="20"/>
          <w:color w:val="auto"/>
        </w:rPr>
      </w:pPr>
      <w:r>
        <w:rPr>
          <w:rFonts w:ascii="Times New Roman" w:cs="Times New Roman" w:eastAsia="Times New Roman" w:hAnsi="Times New Roman"/>
          <w:sz w:val="18"/>
          <w:szCs w:val="18"/>
          <w:color w:val="auto"/>
        </w:rPr>
        <w:t>Noninterest income for 2019 included a $5.7 million net gain from the legal settlement of an eminent domain condemnation of one of our banking center buildings in Bakersfield and $4.8 million in net gains on the sale of bank owned buildings, compared with a $1.7 million net gain on the sale of one of our owned buildings in 2020. Service charges on deposit accounts decreased by $3.4 million from 2019. This decrease was primarily due to the higher earnings credits generated by the significant increase in our customer’s noninterest-bearing deposits held at the Bank. In addition, bankcard services decreased by approximately $1.3 million when compared to 2019, primarily due to the Durbin Amendment’s cap on debit card interchange fees. The $1.9 million decrease in other income in 2020 included decreases in dividend income from various equity investments, other banking fee income and SBA servicing income when compared to 2019.</w:t>
      </w:r>
    </w:p>
    <w:p>
      <w:pPr>
        <w:spacing w:after="0" w:line="148" w:lineRule="exact"/>
        <w:rPr>
          <w:sz w:val="20"/>
          <w:szCs w:val="20"/>
          <w:color w:val="auto"/>
        </w:rPr>
      </w:pPr>
    </w:p>
    <w:p>
      <w:pPr>
        <w:ind w:left="120" w:right="120" w:firstLine="551"/>
        <w:spacing w:after="0" w:line="258" w:lineRule="auto"/>
        <w:rPr>
          <w:sz w:val="20"/>
          <w:szCs w:val="20"/>
          <w:color w:val="auto"/>
        </w:rPr>
      </w:pPr>
      <w:r>
        <w:rPr>
          <w:rFonts w:ascii="Times New Roman" w:cs="Times New Roman" w:eastAsia="Times New Roman" w:hAnsi="Times New Roman"/>
          <w:sz w:val="18"/>
          <w:szCs w:val="18"/>
          <w:color w:val="auto"/>
        </w:rPr>
        <w:t xml:space="preserve">The Bank enters into interest rate swap agreements with our customers to manage our interest rate risk and enters into identical offsetting swaps with a counterparty. The changes in the fair value of the swaps primarily offset each other resulting in swap fee income (refer to Note 20 —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of the notes to the unaudited condensed consolidated financial statements of this report for additional information). Swap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increased $3.2 million compared to 2019, due to higher volume of swap transactions. We executed on swap agreements related to new loan originations with a notional amount totaling $280.4 million for 2020, compared to $96.4 million for 2019.</w:t>
      </w:r>
    </w:p>
    <w:p>
      <w:pPr>
        <w:spacing w:after="0" w:line="156" w:lineRule="exact"/>
        <w:rPr>
          <w:sz w:val="20"/>
          <w:szCs w:val="20"/>
          <w:color w:val="auto"/>
        </w:rPr>
      </w:pPr>
    </w:p>
    <w:p>
      <w:pPr>
        <w:ind w:left="120" w:right="160" w:firstLine="551"/>
        <w:spacing w:after="0" w:line="256" w:lineRule="auto"/>
        <w:rPr>
          <w:sz w:val="20"/>
          <w:szCs w:val="20"/>
          <w:color w:val="auto"/>
        </w:rPr>
      </w:pPr>
      <w:r>
        <w:rPr>
          <w:rFonts w:ascii="Times New Roman" w:cs="Times New Roman" w:eastAsia="Times New Roman" w:hAnsi="Times New Roman"/>
          <w:sz w:val="18"/>
          <w:szCs w:val="18"/>
          <w:color w:val="auto"/>
        </w:rPr>
        <w:t>CitizensTrust consists of Wealth Management and Investment Services income. The Wealth Management group provides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December 31, 2020, CitizensTrust had approximately $3.04 billion in assets under management and administration, including $2.18 billion in assets under management. CitizensTrust generated fees of $10.0 million for 2020, an increase of $453,000 compared to $9.5 million for 2019, due to the growth in assets under management.</w:t>
      </w:r>
    </w:p>
    <w:p>
      <w:pPr>
        <w:spacing w:after="0" w:line="147" w:lineRule="exact"/>
        <w:rPr>
          <w:sz w:val="20"/>
          <w:szCs w:val="20"/>
          <w:color w:val="auto"/>
        </w:rPr>
      </w:pPr>
    </w:p>
    <w:p>
      <w:pPr>
        <w:ind w:left="120" w:right="120" w:firstLine="551"/>
        <w:spacing w:after="0" w:line="258" w:lineRule="auto"/>
        <w:rPr>
          <w:sz w:val="20"/>
          <w:szCs w:val="20"/>
          <w:color w:val="auto"/>
        </w:rPr>
      </w:pPr>
      <w:r>
        <w:rPr>
          <w:rFonts w:ascii="Times New Roman" w:cs="Times New Roman" w:eastAsia="Times New Roman" w:hAnsi="Times New Roman"/>
          <w:sz w:val="18"/>
          <w:szCs w:val="18"/>
          <w:color w:val="auto"/>
        </w:rPr>
        <w:t>The Bank’s investment in BOLI includes life insurance policies acquired through acquisitions and the purchase of life insurance by the Bank on a selected group of employees.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Income from our BOLI policies for 2020 included $2.8 million of death benefits that exceeded cash surrender values, compared to $502,000 of death benefits for 2019.</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Compared to 2018</w:t>
      </w:r>
    </w:p>
    <w:p>
      <w:pPr>
        <w:spacing w:after="0" w:line="200" w:lineRule="exact"/>
        <w:rPr>
          <w:sz w:val="20"/>
          <w:szCs w:val="20"/>
          <w:color w:val="auto"/>
        </w:rPr>
      </w:pPr>
    </w:p>
    <w:p>
      <w:pPr>
        <w:ind w:left="120" w:right="20" w:firstLine="551"/>
        <w:spacing w:after="0" w:line="255" w:lineRule="auto"/>
        <w:rPr>
          <w:sz w:val="20"/>
          <w:szCs w:val="20"/>
          <w:color w:val="auto"/>
        </w:rPr>
      </w:pPr>
      <w:r>
        <w:rPr>
          <w:rFonts w:ascii="Times New Roman" w:cs="Times New Roman" w:eastAsia="Times New Roman" w:hAnsi="Times New Roman"/>
          <w:sz w:val="18"/>
          <w:szCs w:val="18"/>
          <w:color w:val="auto"/>
        </w:rPr>
        <w:t>The $15.6 million growth in noninterest income was primarily due to a $5.7 million net gain from the legal settlement of an eminent domain condemnation of one of our business financial center buildings in Bakersfield and a $4.8 million net gain on the sale of our bank owned buildings, compared with a $3.5 million net gain on the sale of one OREO in 2018. Service charges on deposit accounts increased by $2.9 million from 2018, primarily due to growth in service charges on deposits assumed in the acquisition of CB. The $3.4 million increase in other income included increases of $1.5 million in swap fee income, $1.0 million increase in international banking fee income, and $1.1 million in SBA servicing income and dividend income from various equity investments. For 2019, the Durbin Amendment’s cap on interchange fees became effective for the Company, which reduced our debit card interchange fee income for bankcard services by approximately $600,000 when compared to 2018.</w:t>
      </w:r>
    </w:p>
    <w:p>
      <w:pPr>
        <w:spacing w:after="0" w:line="148" w:lineRule="exact"/>
        <w:rPr>
          <w:sz w:val="20"/>
          <w:szCs w:val="20"/>
          <w:color w:val="auto"/>
        </w:rPr>
      </w:pPr>
    </w:p>
    <w:p>
      <w:pPr>
        <w:jc w:val="both"/>
        <w:ind w:left="120" w:right="60" w:firstLine="551"/>
        <w:spacing w:after="0" w:line="266" w:lineRule="auto"/>
        <w:rPr>
          <w:sz w:val="20"/>
          <w:szCs w:val="20"/>
          <w:color w:val="auto"/>
        </w:rPr>
      </w:pPr>
      <w:r>
        <w:rPr>
          <w:rFonts w:ascii="Times New Roman" w:cs="Times New Roman" w:eastAsia="Times New Roman" w:hAnsi="Times New Roman"/>
          <w:sz w:val="18"/>
          <w:szCs w:val="18"/>
          <w:color w:val="auto"/>
        </w:rPr>
        <w:t>At December 31, 2019, CitizensTrust had approximately $2.86 billion in assets under management and administration, including $2.01 billion in assets under management. CitizensTrust generated fees of $9.5 million for 2019, an increase of $751,000 compared to $8.8 million for 2018, due to the growth in assets under management.</w:t>
      </w:r>
    </w:p>
    <w:p>
      <w:pPr>
        <w:spacing w:after="0" w:line="135" w:lineRule="exact"/>
        <w:rPr>
          <w:sz w:val="20"/>
          <w:szCs w:val="20"/>
          <w:color w:val="auto"/>
        </w:rPr>
      </w:pPr>
    </w:p>
    <w:p>
      <w:pPr>
        <w:ind w:left="120" w:right="100" w:firstLine="551"/>
        <w:spacing w:after="0" w:line="282" w:lineRule="auto"/>
        <w:rPr>
          <w:sz w:val="20"/>
          <w:szCs w:val="20"/>
          <w:color w:val="auto"/>
        </w:rPr>
      </w:pPr>
      <w:r>
        <w:rPr>
          <w:rFonts w:ascii="Times New Roman" w:cs="Times New Roman" w:eastAsia="Times New Roman" w:hAnsi="Times New Roman"/>
          <w:sz w:val="18"/>
          <w:szCs w:val="18"/>
          <w:color w:val="auto"/>
        </w:rPr>
        <w:t>The $1.8 million increase in BOLI income included a $1.2 million increase in income from $70.9 million of BOLI policies acquired from CB in the third quarter of 2018. Death benefits of $502,000 were included in our BOLI policies for 2019.</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various components of noninterest expense for the periods presented.</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8"/>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8"/>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6"/>
          </w:tcPr>
          <w:p>
            <w:pPr>
              <w:jc w:val="right"/>
              <w:ind w:right="2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Noninterest expense: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119,759</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119,475</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100,601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18,874</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16,677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16,565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16,386</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0.68%</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8"/>
        </w:trPr>
        <w:tc>
          <w:tcPr>
            <w:tcW w:w="4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Equipment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3,945</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3,892</w:t>
            </w:r>
          </w:p>
        </w:tc>
        <w:tc>
          <w:tcPr>
            <w:tcW w:w="1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3,767</w:t>
            </w:r>
          </w:p>
        </w:tc>
        <w:tc>
          <w:tcPr>
            <w:tcW w:w="1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Professional services</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9,460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7,752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6,477</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1,708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22.03%</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19.69%</w:t>
            </w:r>
          </w:p>
        </w:tc>
        <w:tc>
          <w:tcPr>
            <w:tcW w:w="0" w:type="dxa"/>
            <w:vAlign w:val="bottom"/>
          </w:tcPr>
          <w:p>
            <w:pPr>
              <w:spacing w:after="0"/>
              <w:rPr>
                <w:sz w:val="1"/>
                <w:szCs w:val="1"/>
                <w:color w:val="auto"/>
              </w:rPr>
            </w:pPr>
          </w:p>
        </w:tc>
      </w:tr>
      <w:tr>
        <w:trPr>
          <w:trHeight w:val="149"/>
        </w:trPr>
        <w:tc>
          <w:tcPr>
            <w:tcW w:w="4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Computer software expense</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11,302</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10,658</w:t>
            </w:r>
          </w:p>
        </w:tc>
        <w:tc>
          <w:tcPr>
            <w:tcW w:w="1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9,343</w:t>
            </w:r>
          </w:p>
        </w:tc>
        <w:tc>
          <w:tcPr>
            <w:tcW w:w="1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2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1,315</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Marketing and promotion</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4,488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5,890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5,302</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-23.80%</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48"/>
        </w:trPr>
        <w:tc>
          <w:tcPr>
            <w:tcW w:w="4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9,352</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10,798</w:t>
            </w:r>
          </w:p>
        </w:tc>
        <w:tc>
          <w:tcPr>
            <w:tcW w:w="1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5,254</w:t>
            </w:r>
          </w:p>
        </w:tc>
        <w:tc>
          <w:tcPr>
            <w:tcW w:w="1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2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5,544</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105.52%</w:t>
            </w: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Telecommunications expense</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2,566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2,785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2,564</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148"/>
        </w:trPr>
        <w:tc>
          <w:tcPr>
            <w:tcW w:w="4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Regulatory assessments</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1,958</w:t>
            </w:r>
          </w:p>
        </w:tc>
        <w:tc>
          <w:tcPr>
            <w:tcW w:w="1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3,218</w:t>
            </w:r>
          </w:p>
        </w:tc>
        <w:tc>
          <w:tcPr>
            <w:tcW w:w="1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21.30%</w:t>
            </w:r>
          </w:p>
        </w:tc>
        <w:tc>
          <w:tcPr>
            <w:tcW w:w="2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-39.15%</w:t>
            </w: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Insurance</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1,636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1,475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1,735</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-14.99%</w:t>
            </w:r>
          </w:p>
        </w:tc>
        <w:tc>
          <w:tcPr>
            <w:tcW w:w="0" w:type="dxa"/>
            <w:vAlign w:val="bottom"/>
          </w:tcPr>
          <w:p>
            <w:pPr>
              <w:spacing w:after="0"/>
              <w:rPr>
                <w:sz w:val="1"/>
                <w:szCs w:val="1"/>
                <w:color w:val="auto"/>
              </w:rPr>
            </w:pPr>
          </w:p>
        </w:tc>
      </w:tr>
      <w:tr>
        <w:trPr>
          <w:trHeight w:val="148"/>
        </w:trPr>
        <w:tc>
          <w:tcPr>
            <w:tcW w:w="4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Loan expense</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1,159</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1,439</w:t>
            </w:r>
          </w:p>
        </w:tc>
        <w:tc>
          <w:tcPr>
            <w:tcW w:w="1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1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-19.46%</w:t>
            </w:r>
          </w:p>
        </w:tc>
        <w:tc>
          <w:tcPr>
            <w:tcW w:w="2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30.46%</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OREO expense</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7"/>
              </w:rPr>
              <w:t>1848.44%</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814.29%</w:t>
            </w:r>
          </w:p>
        </w:tc>
        <w:tc>
          <w:tcPr>
            <w:tcW w:w="0" w:type="dxa"/>
            <w:vAlign w:val="bottom"/>
          </w:tcPr>
          <w:p>
            <w:pPr>
              <w:spacing w:after="0"/>
              <w:rPr>
                <w:sz w:val="1"/>
                <w:szCs w:val="1"/>
                <w:color w:val="auto"/>
              </w:rPr>
            </w:pPr>
          </w:p>
        </w:tc>
      </w:tr>
      <w:tr>
        <w:trPr>
          <w:trHeight w:val="149"/>
        </w:trPr>
        <w:tc>
          <w:tcPr>
            <w:tcW w:w="4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Recapture of provision for unfunded loan commitments</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Directors’ expenses</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1,073</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15.45%</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14.63%</w:t>
            </w:r>
          </w:p>
        </w:tc>
        <w:tc>
          <w:tcPr>
            <w:tcW w:w="0" w:type="dxa"/>
            <w:vAlign w:val="bottom"/>
          </w:tcPr>
          <w:p>
            <w:pPr>
              <w:spacing w:after="0"/>
              <w:rPr>
                <w:sz w:val="1"/>
                <w:szCs w:val="1"/>
                <w:color w:val="auto"/>
              </w:rPr>
            </w:pPr>
          </w:p>
        </w:tc>
      </w:tr>
      <w:tr>
        <w:trPr>
          <w:trHeight w:val="148"/>
        </w:trPr>
        <w:tc>
          <w:tcPr>
            <w:tcW w:w="4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Stationery and supplies</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1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1,207</w:t>
            </w:r>
          </w:p>
        </w:tc>
        <w:tc>
          <w:tcPr>
            <w:tcW w:w="1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-0.59%</w:t>
            </w:r>
          </w:p>
        </w:tc>
        <w:tc>
          <w:tcPr>
            <w:tcW w:w="2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Acquisition related expenses</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6,447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16,404</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(6,447)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(9,957)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-60.70%</w:t>
            </w:r>
          </w:p>
        </w:tc>
        <w:tc>
          <w:tcPr>
            <w:tcW w:w="0" w:type="dxa"/>
            <w:vAlign w:val="bottom"/>
          </w:tcPr>
          <w:p>
            <w:pPr>
              <w:spacing w:after="0"/>
              <w:rPr>
                <w:sz w:val="1"/>
                <w:szCs w:val="1"/>
                <w:color w:val="auto"/>
              </w:rPr>
            </w:pPr>
          </w:p>
        </w:tc>
      </w:tr>
      <w:tr>
        <w:trPr>
          <w:trHeight w:val="148"/>
        </w:trPr>
        <w:tc>
          <w:tcPr>
            <w:tcW w:w="49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7,133</w:t>
            </w:r>
          </w:p>
        </w:tc>
        <w:tc>
          <w:tcPr>
            <w:tcW w:w="1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5,720</w:t>
            </w:r>
          </w:p>
        </w:tc>
        <w:tc>
          <w:tcPr>
            <w:tcW w:w="1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2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1,413</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24.70%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noninterest expense</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192,903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198,740</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179,911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(5,837)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2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18,829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 to average assets</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1.49%</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1.76%</w:t>
            </w: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1.89%</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
        </w:trPr>
        <w:tc>
          <w:tcPr>
            <w:tcW w:w="4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Efficiency ratio (1)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41.40%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40.16%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45.83%</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432"/>
        <w:spacing w:after="0"/>
        <w:tabs>
          <w:tab w:leader="none" w:pos="9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Noninterest expense divided by net interest income before provision for credit losses plus noninterest income.</w:t>
      </w:r>
    </w:p>
    <w:p>
      <w:pPr>
        <w:spacing w:after="0" w:line="190" w:lineRule="exact"/>
        <w:rPr>
          <w:sz w:val="20"/>
          <w:szCs w:val="20"/>
          <w:color w:val="auto"/>
        </w:rPr>
      </w:pPr>
    </w:p>
    <w:p>
      <w:pPr>
        <w:ind w:left="120" w:right="180" w:firstLine="551"/>
        <w:spacing w:after="0" w:line="266"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asset growth can be measured in terms of total noninterest expenses as a percentage of average assets. Noninterest expense as a percentage of average assets was 1.49% for 2020, compared to 1.76% and 1.89% for 2019 and 2018, respectively. The decrease in this ratio for 2020 was significantly impacted by the $950 million increase in average balances at the Federal Reserve.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551"/>
        <w:spacing w:after="0" w:line="266"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the level of total revenue (net interest income before provision for credit losses plus noninterest income) is measured by the efficiency ratio and indicates the percentage of net revenue that is used to cover expenses. The efficiency ratio was 41.40% for 2020, compared to 40.16% for 2019 and 45.83% for 2018.</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187"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Noninterest expense of $192.9 million for the year ended December 31, 2020 was $5.8 million, or 2.9% lower than 2019. There were no merger related expenses related to the Community Bank acquisition for 2020, compared to $6.4 million for 2019 and the year-over-year decrease also included a $1.4 million decrease in CDI amortization. A decrease in marketing and promotion expense in 2020 of $1.4 million was primarily due to COVID-19 restrictions on travel and entertainment. These decreases were partially offset by a $1.7 million increase in professional services expense, related to legal, audit, and other professional services. OREO expense also increased in 2020 by $1.2 million primarily due to a $700,000 write-down of one OREO property.</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Compared to 2018</w:t>
      </w:r>
    </w:p>
    <w:p>
      <w:pPr>
        <w:spacing w:after="0" w:line="200" w:lineRule="exact"/>
        <w:rPr>
          <w:sz w:val="20"/>
          <w:szCs w:val="20"/>
          <w:color w:val="auto"/>
        </w:rPr>
      </w:pPr>
    </w:p>
    <w:p>
      <w:pPr>
        <w:ind w:left="120" w:right="20" w:firstLine="551"/>
        <w:spacing w:after="0" w:line="254" w:lineRule="auto"/>
        <w:rPr>
          <w:sz w:val="20"/>
          <w:szCs w:val="20"/>
          <w:color w:val="auto"/>
        </w:rPr>
      </w:pPr>
      <w:r>
        <w:rPr>
          <w:rFonts w:ascii="Times New Roman" w:cs="Times New Roman" w:eastAsia="Times New Roman" w:hAnsi="Times New Roman"/>
          <w:sz w:val="18"/>
          <w:szCs w:val="18"/>
          <w:color w:val="auto"/>
        </w:rPr>
        <w:t>Noninterest expense of $198.7 million for the year ended December 31, 2019 was $18.8 million higher than 2018. Salaries and employee benefit costs increased $18.9 million primarily due to additional compensation related to the newly hired and former CB employees who were retained after the merger and $1.9 million in higher stock related compensation expense. Higher expense for accelerated vesting of stock grants related to the amended employment agreement and additional stock grants related to the consulting agreement for the Company’s retiring Chief Executive Officer contributed to the increase in compensation costs for 2019. The year-over-year increase also included a $5.5 million increase in CDI amortization as a result of core deposits assumed from CB. Increases of $1.3 million in professional services, $1.2 million in software licenses and maintenance, and $1.5 million in other expense was primarily related to higher expenses related to the operations of a larger bank after the merger with CB. These increases were partially offset by a $10.0 million decrease in merger related expenses.</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left="120" w:right="300" w:firstLine="551"/>
        <w:spacing w:after="0" w:line="266" w:lineRule="auto"/>
        <w:rPr>
          <w:sz w:val="20"/>
          <w:szCs w:val="20"/>
          <w:color w:val="auto"/>
        </w:rPr>
      </w:pPr>
      <w:r>
        <w:rPr>
          <w:rFonts w:ascii="Times New Roman" w:cs="Times New Roman" w:eastAsia="Times New Roman" w:hAnsi="Times New Roman"/>
          <w:sz w:val="18"/>
          <w:szCs w:val="18"/>
          <w:color w:val="auto"/>
        </w:rPr>
        <w:t xml:space="preserve">The Company’s effective tax rate for the year ended December 31, 2020 was 29.00%, compared with 28.60% and 28.00% for the year ended December 31, 2019 and 2018, respectively. Our estimated annual effective tax rate also varies depending upon the level of tax-advantaged income as well as available tax credits. Refer to Note 11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consolidated financial statements for more information.</w:t>
      </w:r>
    </w:p>
    <w:p>
      <w:pPr>
        <w:spacing w:after="0" w:line="149" w:lineRule="exact"/>
        <w:rPr>
          <w:sz w:val="20"/>
          <w:szCs w:val="20"/>
          <w:color w:val="auto"/>
        </w:rPr>
      </w:pPr>
    </w:p>
    <w:p>
      <w:pPr>
        <w:ind w:left="120" w:right="220" w:firstLine="551"/>
        <w:spacing w:after="0" w:line="282" w:lineRule="auto"/>
        <w:rPr>
          <w:sz w:val="20"/>
          <w:szCs w:val="20"/>
          <w:color w:val="auto"/>
        </w:rPr>
      </w:pPr>
      <w:r>
        <w:rPr>
          <w:rFonts w:ascii="Times New Roman" w:cs="Times New Roman" w:eastAsia="Times New Roman" w:hAnsi="Times New Roman"/>
          <w:sz w:val="18"/>
          <w:szCs w:val="18"/>
          <w:color w:val="auto"/>
        </w:rPr>
        <w:t>The effective tax rates are below the nominal combined Federal and State tax rate as a result of tax-advantaged income from certain municipal security investments, municipal loans and leases and BOLI, as well as available tax credits for each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202" w:lineRule="exact"/>
        <w:rPr>
          <w:sz w:val="20"/>
          <w:szCs w:val="20"/>
          <w:color w:val="auto"/>
        </w:rPr>
      </w:pPr>
    </w:p>
    <w:p>
      <w:pPr>
        <w:ind w:left="120" w:right="40" w:firstLine="551"/>
        <w:spacing w:after="0" w:line="256" w:lineRule="auto"/>
        <w:rPr>
          <w:sz w:val="20"/>
          <w:szCs w:val="20"/>
          <w:color w:val="auto"/>
        </w:rPr>
      </w:pPr>
      <w:r>
        <w:rPr>
          <w:rFonts w:ascii="Times New Roman" w:cs="Times New Roman" w:eastAsia="Times New Roman" w:hAnsi="Times New Roman"/>
          <w:sz w:val="18"/>
          <w:szCs w:val="18"/>
          <w:color w:val="auto"/>
        </w:rPr>
        <w:t>Total assets of $14.42 billion at December 31, 2020 increased $3.14 billion, or 27.80%, from total assets of $11.28 billion at December 31, 2019. Interest-earning assets totaled $13.22 billion at December 31, 2020, an increase of $3.20 billion, or 31.88%, when compared with $10.03 billion at December 31, 2019. The increase in interest-earning assets includes a $1.81 billion increase in interest-earning balances due from the Federal Reserve, a $784.2 million increase in total loans, and a $562.8 million increase in investment securities. The increase in total loans was due to the origination of approximately $1.10 billion in PPP loans with a remaining outstanding balance totaling $883.0 million as of December 31, 2020. Excluding PPP loans, total loans declined by $98.8 million from December 31, 2019.</w:t>
      </w:r>
    </w:p>
    <w:p>
      <w:pPr>
        <w:spacing w:after="0" w:line="147" w:lineRule="exact"/>
        <w:rPr>
          <w:sz w:val="20"/>
          <w:szCs w:val="20"/>
          <w:color w:val="auto"/>
        </w:rPr>
      </w:pPr>
    </w:p>
    <w:p>
      <w:pPr>
        <w:ind w:left="120" w:right="100" w:firstLine="551"/>
        <w:spacing w:after="0" w:line="268" w:lineRule="auto"/>
        <w:rPr>
          <w:sz w:val="20"/>
          <w:szCs w:val="20"/>
          <w:color w:val="auto"/>
        </w:rPr>
      </w:pPr>
      <w:r>
        <w:rPr>
          <w:rFonts w:ascii="Times New Roman" w:cs="Times New Roman" w:eastAsia="Times New Roman" w:hAnsi="Times New Roman"/>
          <w:sz w:val="17"/>
          <w:szCs w:val="17"/>
          <w:color w:val="auto"/>
        </w:rPr>
        <w:t>Total liabilities were $12.41 billion at December 31, 2020, an increase of $3.12 billion, or 33.62%, from total liabilities of $9.29 billion at December 31, 2019. Total deposits grew by $3.03 billion, or 34.83%. This significant deposit growth in 2020 was primarily due to our customers maintaining greater liquidity in their deposit accounts. Total equity increased $13.9 million, or 0.70%, to $2.01 billion at December 31, 2020, compared to total equity of $1.99 billion at December 31, 2019. The $13.9 million increase in equity was primarily due to net earnings of $177.2 million and a $22.7 million increase in other comprehensive income from the tax effected impact of the increase in market value of available-for-sale investment securities, partially offset by $97.7 million in cash dividends and the repurchase of 4.9 million shares of common stock for $91.7 million under our</w:t>
      </w:r>
    </w:p>
    <w:p>
      <w:pPr>
        <w:spacing w:after="0" w:line="5"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10b5-1 stock repurchase program. Our equity also decreased by $1.3 million as a result of a cumulative effect adjustment to beginning retained earnings, net of tax, due to the adoption of CECL on January 1, 2020.</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02" w:lineRule="exact"/>
        <w:rPr>
          <w:sz w:val="20"/>
          <w:szCs w:val="20"/>
          <w:color w:val="auto"/>
        </w:rPr>
      </w:pPr>
    </w:p>
    <w:p>
      <w:pPr>
        <w:ind w:left="120" w:right="120" w:firstLine="551"/>
        <w:spacing w:after="0" w:line="253" w:lineRule="auto"/>
        <w:rPr>
          <w:sz w:val="20"/>
          <w:szCs w:val="20"/>
          <w:color w:val="auto"/>
        </w:rPr>
      </w:pPr>
      <w:r>
        <w:rPr>
          <w:rFonts w:ascii="Times New Roman" w:cs="Times New Roman" w:eastAsia="Times New Roman" w:hAnsi="Times New Roman"/>
          <w:sz w:val="18"/>
          <w:szCs w:val="18"/>
          <w:color w:val="auto"/>
        </w:rPr>
        <w:t>The Company maintains a portfolio of investment securities to provide interest income and to serve as a source of liquidity for its ongoing operations. At December 31, 2020, total investment securities were $2.98 billion. This represented an increase of $562.8 million, or 23.31%, from total investment securities of $2.41 billion at December 31, 2019. The increase in investment securities was primarily due to new securities purchased exceeding cash outflow from the portfolio in 2020. At December 31, 2020, investment securities HTM totaled $578.6 million. At December 31, 2020, our AFS investment securities totaled $2.40 billion, inclusive of a pre-tax net unrealized gain of $54.7 million. The after-tax unrealized gain reported in AOCI on AFS investment securities was $38.6 million. The changes in the net unrealized holding gain resulted primarily from fluctuations in market interest rates. For the years ended December 31, 2020 and 2019, repayments/maturities of investment securities totaled $798.7 million and</w:t>
      </w:r>
    </w:p>
    <w:p>
      <w:pPr>
        <w:spacing w:after="0" w:line="3"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$485.8 million, respectively. The Company purchased additional investment securities totaling $1.28 billion and $540.6 million for the years ended December 31, 2020 and 2019, respectively. There were no investment securities sold during the year ended December 31, 2020. During 2019, we sold 14 investment securities at book value of approximately $152.6 million.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set forth our investment securities AFS and HTM portfolio by type for the dates presented.</w:t>
      </w: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6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60" w:type="dxa"/>
            <w:vAlign w:val="bottom"/>
          </w:tcPr>
          <w:p>
            <w:pPr>
              <w:spacing w:after="0"/>
              <w:rPr>
                <w:sz w:val="18"/>
                <w:szCs w:val="18"/>
                <w:color w:val="auto"/>
              </w:rPr>
            </w:pPr>
          </w:p>
        </w:tc>
      </w:tr>
      <w:tr>
        <w:trPr>
          <w:trHeight w:val="198"/>
        </w:trPr>
        <w:tc>
          <w:tcPr>
            <w:tcW w:w="6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1,904,935</w:t>
            </w:r>
          </w:p>
        </w:tc>
        <w:tc>
          <w:tcPr>
            <w:tcW w:w="2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79.41%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1,206,313</w:t>
            </w:r>
          </w:p>
        </w:tc>
        <w:tc>
          <w:tcPr>
            <w:tcW w:w="2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69.32%</w:t>
            </w:r>
          </w:p>
        </w:tc>
      </w:tr>
      <w:tr>
        <w:trPr>
          <w:trHeight w:val="203"/>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CMO/REMIC</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462,814</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493,710</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28.37%</w:t>
            </w:r>
          </w:p>
        </w:tc>
      </w:tr>
      <w:tr>
        <w:trPr>
          <w:trHeight w:val="203"/>
        </w:trPr>
        <w:tc>
          <w:tcPr>
            <w:tcW w:w="6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30,285</w:t>
            </w:r>
          </w:p>
        </w:tc>
        <w:tc>
          <w:tcPr>
            <w:tcW w:w="2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39,354</w:t>
            </w:r>
          </w:p>
        </w:tc>
        <w:tc>
          <w:tcPr>
            <w:tcW w:w="2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w:t>
            </w:r>
          </w:p>
        </w:tc>
      </w:tr>
      <w:tr>
        <w:trPr>
          <w:trHeight w:val="203"/>
        </w:trPr>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securities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0.05%</w:t>
            </w:r>
          </w:p>
        </w:tc>
      </w:tr>
      <w:tr>
        <w:trPr>
          <w:trHeight w:val="207"/>
        </w:trPr>
        <w:tc>
          <w:tcPr>
            <w:tcW w:w="6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2,398,923</w:t>
            </w:r>
          </w:p>
        </w:tc>
        <w:tc>
          <w:tcPr>
            <w:tcW w:w="2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1,740,257</w:t>
            </w:r>
          </w:p>
        </w:tc>
        <w:tc>
          <w:tcPr>
            <w:tcW w:w="2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7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2"/>
        </w:trPr>
        <w:tc>
          <w:tcPr>
            <w:tcW w:w="7140" w:type="dxa"/>
            <w:vAlign w:val="bottom"/>
          </w:tcPr>
          <w:p>
            <w:pPr>
              <w:spacing w:after="0"/>
              <w:rPr>
                <w:sz w:val="15"/>
                <w:szCs w:val="15"/>
                <w:color w:val="auto"/>
              </w:rPr>
            </w:pPr>
          </w:p>
        </w:tc>
        <w:tc>
          <w:tcPr>
            <w:tcW w:w="1100" w:type="dxa"/>
            <w:vAlign w:val="bottom"/>
            <w:gridSpan w:val="3"/>
          </w:tcPr>
          <w:p>
            <w:pPr>
              <w:jc w:val="right"/>
              <w:ind w:right="360"/>
              <w:spacing w:after="0" w:line="182"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gridSpan w:val="3"/>
          </w:tcPr>
          <w:p>
            <w:pPr>
              <w:jc w:val="right"/>
              <w:ind w:right="360"/>
              <w:spacing w:after="0" w:line="182"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5"/>
        </w:trPr>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8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99"/>
        </w:trPr>
        <w:tc>
          <w:tcPr>
            <w:tcW w:w="7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Government agency/GSE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98,663</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17.05%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117,366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17.40%</w:t>
            </w:r>
          </w:p>
        </w:tc>
      </w:tr>
      <w:tr>
        <w:trPr>
          <w:trHeight w:val="203"/>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146,382</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25.30%</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168,479</w:t>
            </w: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24.98%</w:t>
            </w:r>
          </w:p>
        </w:tc>
      </w:tr>
      <w:tr>
        <w:trPr>
          <w:trHeight w:val="203"/>
        </w:trPr>
        <w:tc>
          <w:tcPr>
            <w:tcW w:w="7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CMO/REMIC</w:t>
            </w: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145,309</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25.11%</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192,548</w:t>
            </w:r>
          </w:p>
        </w:tc>
        <w:tc>
          <w:tcPr>
            <w:tcW w:w="3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28.55%</w:t>
            </w:r>
          </w:p>
        </w:tc>
      </w:tr>
      <w:tr>
        <w:trPr>
          <w:trHeight w:val="203"/>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Municipal bonds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188,272</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32.54%</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196,059</w:t>
            </w: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29.07%</w:t>
            </w:r>
          </w:p>
        </w:tc>
      </w:tr>
      <w:tr>
        <w:trPr>
          <w:trHeight w:val="207"/>
        </w:trPr>
        <w:tc>
          <w:tcPr>
            <w:tcW w:w="7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578,626</w:t>
            </w:r>
          </w:p>
        </w:tc>
        <w:tc>
          <w:tcPr>
            <w:tcW w:w="3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674,452</w:t>
            </w:r>
          </w:p>
        </w:tc>
        <w:tc>
          <w:tcPr>
            <w:tcW w:w="3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7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604,223</w:t>
            </w: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678,948</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maturity distribution of the AFS and HTM portfolios consist of the following as of the date presented.</w:t>
      </w: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After One</w:t>
            </w:r>
          </w:p>
        </w:tc>
        <w:tc>
          <w:tcPr>
            <w:tcW w:w="160" w:type="dxa"/>
            <w:vAlign w:val="bottom"/>
          </w:tcPr>
          <w:p>
            <w:pPr>
              <w:spacing w:after="0"/>
              <w:rPr>
                <w:sz w:val="15"/>
                <w:szCs w:val="15"/>
                <w:color w:val="auto"/>
              </w:rPr>
            </w:pPr>
          </w:p>
        </w:tc>
        <w:tc>
          <w:tcPr>
            <w:tcW w:w="8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After</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Five Years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One Year or</w:t>
            </w:r>
          </w:p>
        </w:tc>
        <w:tc>
          <w:tcPr>
            <w:tcW w:w="12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Through</w:t>
            </w: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After Ten</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Percent to</w:t>
            </w:r>
          </w:p>
        </w:tc>
      </w:tr>
      <w:tr>
        <w:trPr>
          <w:trHeight w:val="215"/>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Less</w:t>
            </w: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Five Years</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Ten Years</w:t>
            </w:r>
          </w:p>
        </w:tc>
        <w:tc>
          <w:tcPr>
            <w:tcW w:w="120" w:type="dxa"/>
            <w:vAlign w:val="bottom"/>
          </w:tcPr>
          <w:p>
            <w:pPr>
              <w:spacing w:after="0"/>
              <w:rPr>
                <w:sz w:val="18"/>
                <w:szCs w:val="18"/>
                <w:color w:val="auto"/>
              </w:rPr>
            </w:pPr>
          </w:p>
        </w:tc>
        <w:tc>
          <w:tcPr>
            <w:tcW w:w="7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99"/>
        </w:trPr>
        <w:tc>
          <w:tcPr>
            <w:tcW w:w="50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1,903,307</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1,904,935</w:t>
            </w:r>
          </w:p>
        </w:tc>
        <w:tc>
          <w:tcPr>
            <w:tcW w:w="2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79.41%</w:t>
            </w:r>
          </w:p>
        </w:tc>
      </w:tr>
      <w:tr>
        <w:trPr>
          <w:trHeight w:val="203"/>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CMO/REMIC</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8,803</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350,905</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81,052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462,814</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19.29%</w:t>
            </w:r>
          </w:p>
        </w:tc>
      </w:tr>
      <w:tr>
        <w:trPr>
          <w:trHeight w:val="202"/>
        </w:trPr>
        <w:tc>
          <w:tcPr>
            <w:tcW w:w="5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Municipal bonds (1)</w:t>
            </w:r>
          </w:p>
        </w:tc>
        <w:tc>
          <w:tcPr>
            <w:tcW w:w="20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1,088</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30,285</w:t>
            </w:r>
          </w:p>
        </w:tc>
        <w:tc>
          <w:tcPr>
            <w:tcW w:w="2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r>
      <w:tr>
        <w:trPr>
          <w:trHeight w:val="203"/>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securities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0.04%</w:t>
            </w:r>
          </w:p>
        </w:tc>
      </w:tr>
      <w:tr>
        <w:trPr>
          <w:trHeight w:val="207"/>
        </w:trPr>
        <w:tc>
          <w:tcPr>
            <w:tcW w:w="5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10,499</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2,255,300</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94,795</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38,329</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2,398,923</w:t>
            </w:r>
          </w:p>
        </w:tc>
        <w:tc>
          <w:tcPr>
            <w:tcW w:w="2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yield:</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0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1.84%</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CMO/REMIC</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0.48%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2.52%</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1.66%</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Municipal bonds (1)</w:t>
            </w:r>
          </w:p>
        </w:tc>
        <w:tc>
          <w:tcPr>
            <w:tcW w:w="20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4.03%</w:t>
            </w:r>
          </w:p>
        </w:tc>
        <w:tc>
          <w:tcPr>
            <w:tcW w:w="16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2.55%</w:t>
            </w:r>
          </w:p>
        </w:tc>
        <w:tc>
          <w:tcPr>
            <w:tcW w:w="1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2.58%</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securities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2.74%</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5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1.78%</w:t>
            </w: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2.53%</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1.81%</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194" w:lineRule="exact"/>
        <w:rPr>
          <w:sz w:val="20"/>
          <w:szCs w:val="20"/>
          <w:color w:val="auto"/>
        </w:rPr>
      </w:pPr>
    </w:p>
    <w:p>
      <w:pPr>
        <w:ind w:left="1420" w:right="80" w:hanging="427"/>
        <w:spacing w:after="0" w:line="298" w:lineRule="auto"/>
        <w:tabs>
          <w:tab w:leader="none" w:pos="14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yield for the portfolio is based on projected duration and is not tax-equivalent. The tax-equivalent yield at December 31, 2020 was 3.26%.</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82"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3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After One</w:t>
            </w:r>
          </w:p>
        </w:tc>
        <w:tc>
          <w:tcPr>
            <w:tcW w:w="140" w:type="dxa"/>
            <w:vAlign w:val="bottom"/>
          </w:tcPr>
          <w:p>
            <w:pPr>
              <w:spacing w:after="0"/>
              <w:rPr>
                <w:sz w:val="15"/>
                <w:szCs w:val="15"/>
                <w:color w:val="auto"/>
              </w:rPr>
            </w:pPr>
          </w:p>
        </w:tc>
        <w:tc>
          <w:tcPr>
            <w:tcW w:w="94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3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Five Years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2280" w:type="dxa"/>
            <w:vAlign w:val="bottom"/>
            <w:gridSpan w:val="4"/>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w w:val="98"/>
              </w:rPr>
              <w:t>One Year or</w:t>
            </w: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Through</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After Ten</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Percent to</w:t>
            </w:r>
          </w:p>
        </w:tc>
      </w:tr>
      <w:tr>
        <w:trPr>
          <w:trHeight w:val="215"/>
        </w:trPr>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Less</w:t>
            </w: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Ten Years</w:t>
            </w:r>
          </w:p>
        </w:tc>
        <w:tc>
          <w:tcPr>
            <w:tcW w:w="16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99"/>
        </w:trPr>
        <w:tc>
          <w:tcPr>
            <w:tcW w:w="3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Government agency/GSE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98,663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98,663</w:t>
            </w:r>
          </w:p>
        </w:tc>
        <w:tc>
          <w:tcPr>
            <w:tcW w:w="3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17.05%</w:t>
            </w:r>
          </w:p>
        </w:tc>
      </w:tr>
      <w:tr>
        <w:trPr>
          <w:trHeight w:val="203"/>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134,978</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9,031</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2,111</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146,382</w:t>
            </w: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25.30%</w:t>
            </w:r>
          </w:p>
        </w:tc>
      </w:tr>
      <w:tr>
        <w:trPr>
          <w:trHeight w:val="203"/>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CMO/REMIC</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145,309</w:t>
            </w:r>
          </w:p>
        </w:tc>
        <w:tc>
          <w:tcPr>
            <w:tcW w:w="14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145,309</w:t>
            </w:r>
          </w:p>
        </w:tc>
        <w:tc>
          <w:tcPr>
            <w:tcW w:w="3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25.11%</w:t>
            </w:r>
          </w:p>
        </w:tc>
      </w:tr>
      <w:tr>
        <w:trPr>
          <w:trHeight w:val="203"/>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Municipal bonds (1)</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24,961</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66,530</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94,319</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188,272</w:t>
            </w: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32.54%</w:t>
            </w:r>
          </w:p>
        </w:tc>
      </w:tr>
      <w:tr>
        <w:trPr>
          <w:trHeight w:val="207"/>
        </w:trPr>
        <w:tc>
          <w:tcPr>
            <w:tcW w:w="3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305,248</w:t>
            </w: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75,561</w:t>
            </w: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195,093</w:t>
            </w: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578,626</w:t>
            </w:r>
          </w:p>
        </w:tc>
        <w:tc>
          <w:tcPr>
            <w:tcW w:w="3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yield:</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Government agency/GSE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1.92%</w:t>
            </w: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1.92%</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3.16%</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2.21%</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2.43%</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3.43%</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2.25%</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CMO/REMIC</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2.26%</w:t>
            </w:r>
          </w:p>
        </w:tc>
        <w:tc>
          <w:tcPr>
            <w:tcW w:w="14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2.26%</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Municipal bonds (1)</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3.11%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2.64%</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2.10%</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2.40%</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3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3.12%</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2.61%</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2.02%</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2.24%</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194" w:lineRule="exact"/>
        <w:rPr>
          <w:sz w:val="20"/>
          <w:szCs w:val="20"/>
          <w:color w:val="auto"/>
        </w:rPr>
      </w:pPr>
    </w:p>
    <w:p>
      <w:pPr>
        <w:ind w:left="1420" w:right="100" w:hanging="427"/>
        <w:spacing w:after="0" w:line="298"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yield for the portfolio is based on projected duration and is not tax-equivalent. The tax equivalent yield at December 31, 2020 was 3.03%.</w:t>
      </w:r>
    </w:p>
    <w:p>
      <w:pPr>
        <w:spacing w:after="0" w:line="160" w:lineRule="exact"/>
        <w:rPr>
          <w:sz w:val="20"/>
          <w:szCs w:val="20"/>
          <w:color w:val="auto"/>
        </w:rPr>
      </w:pPr>
    </w:p>
    <w:p>
      <w:pPr>
        <w:ind w:left="120" w:right="40" w:firstLine="551"/>
        <w:spacing w:after="0" w:line="254" w:lineRule="auto"/>
        <w:rPr>
          <w:sz w:val="20"/>
          <w:szCs w:val="20"/>
          <w:color w:val="auto"/>
        </w:rPr>
      </w:pPr>
      <w:r>
        <w:rPr>
          <w:rFonts w:ascii="Times New Roman" w:cs="Times New Roman" w:eastAsia="Times New Roman" w:hAnsi="Times New Roman"/>
          <w:sz w:val="18"/>
          <w:szCs w:val="18"/>
          <w:color w:val="auto"/>
        </w:rPr>
        <w:t>The maturity of each security category is defined as the contractual maturity except for the categories of mortgage-backed securities and CMO/REMIC whose maturities are defined as the estimated average life. The final maturity of mortgage-backed securities and CMO/REMIC will differ from their contractual maturities because the underlying mortgages have the right to repay such obligations without penalty. The speed at which the underlying mortgages repay is influenced by many factors, one of which is interest rates. Mortgages tend to repay faster as interest rates fall and slower as interest rate rise. This will either shorten or extend the estimated average life. Also, the yield on mortgage-backed securities and CMO/REMIC are affected by the speed at which the underlying mortgages repay. This is caused by the change in the amount of amortization of premiums or accretion of discounts of each security as repayments increase or decrease. The Company obtains the estimated average life of each security from independent third parties.</w:t>
      </w:r>
    </w:p>
    <w:p>
      <w:pPr>
        <w:spacing w:after="0" w:line="192" w:lineRule="exact"/>
        <w:rPr>
          <w:sz w:val="20"/>
          <w:szCs w:val="20"/>
          <w:color w:val="auto"/>
        </w:rPr>
      </w:pPr>
    </w:p>
    <w:p>
      <w:pPr>
        <w:ind w:left="120" w:right="240" w:firstLine="551"/>
        <w:spacing w:after="0" w:line="261" w:lineRule="auto"/>
        <w:rPr>
          <w:sz w:val="20"/>
          <w:szCs w:val="20"/>
          <w:color w:val="auto"/>
        </w:rPr>
      </w:pPr>
      <w:r>
        <w:rPr>
          <w:rFonts w:ascii="Times New Roman" w:cs="Times New Roman" w:eastAsia="Times New Roman" w:hAnsi="Times New Roman"/>
          <w:sz w:val="18"/>
          <w:szCs w:val="18"/>
          <w:color w:val="auto"/>
        </w:rPr>
        <w:t>The weighted-average yield on the total investment portfolio at December 31, 2020 was 1.92% with a weighted-average life of 2.9 years. This compares to a weighted-average yield of 2.54% at December 31, 2019 with a weighted-average life of 3.6 years. The weighted 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spacing w:after="0" w:line="180" w:lineRule="exact"/>
        <w:rPr>
          <w:sz w:val="20"/>
          <w:szCs w:val="20"/>
          <w:color w:val="auto"/>
        </w:rPr>
      </w:pPr>
    </w:p>
    <w:p>
      <w:pPr>
        <w:ind w:left="120" w:right="460" w:firstLine="551"/>
        <w:spacing w:after="0" w:line="281" w:lineRule="auto"/>
        <w:rPr>
          <w:sz w:val="20"/>
          <w:szCs w:val="20"/>
          <w:color w:val="auto"/>
        </w:rPr>
      </w:pPr>
      <w:r>
        <w:rPr>
          <w:rFonts w:ascii="Times New Roman" w:cs="Times New Roman" w:eastAsia="Times New Roman" w:hAnsi="Times New Roman"/>
          <w:sz w:val="17"/>
          <w:szCs w:val="17"/>
          <w:color w:val="auto"/>
        </w:rPr>
        <w:t>Approximately 93% of the securities in the total investment portfolio, at December 31, 2020, are issued by the U.S. government or U.S. government-sponsored agencies and enterprises, which have the implied guarantee of payment of principal and interest. As of December 31, 2020, approximately $64.4 million in U.S. government agency bonds are callable. The Agency CMO/REMIC are backed by agency-pooled collateral. Municipal bonds, which represented approximately 7% of the total investment portfolio, are predominately AA or higher rated securities.</w:t>
      </w:r>
    </w:p>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82"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held investment securities in excess of 10% of shareholders’ equity from the following issuers as of the dates presented.</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3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34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Book Value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Book Value</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60" w:type="dxa"/>
            <w:vAlign w:val="bottom"/>
          </w:tcPr>
          <w:p>
            <w:pPr>
              <w:spacing w:after="0"/>
              <w:rPr>
                <w:sz w:val="19"/>
                <w:szCs w:val="19"/>
                <w:color w:val="auto"/>
              </w:rPr>
            </w:pPr>
          </w:p>
        </w:tc>
      </w:tr>
      <w:tr>
        <w:trPr>
          <w:trHeight w:val="210"/>
        </w:trPr>
        <w:tc>
          <w:tcPr>
            <w:tcW w:w="5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Major issuer:</w:t>
            </w:r>
          </w:p>
        </w:tc>
        <w:tc>
          <w:tcPr>
            <w:tcW w:w="1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National Mortgage Association</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$ 1,133,321</w:t>
            </w:r>
          </w:p>
        </w:tc>
        <w:tc>
          <w:tcPr>
            <w:tcW w:w="2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1,166,735</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963,002</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976,431</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Home Loan Mortgage Corporation</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1,058,957</w:t>
            </w:r>
          </w:p>
        </w:tc>
        <w:tc>
          <w:tcPr>
            <w:tcW w:w="2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1,084,494</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805,841</w:t>
            </w:r>
          </w:p>
        </w:tc>
        <w:tc>
          <w:tcPr>
            <w:tcW w:w="7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815,311</w:t>
            </w:r>
          </w:p>
        </w:tc>
      </w:tr>
      <w:tr>
        <w:trPr>
          <w:trHeight w:val="234"/>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National Mortgage Association</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413,991</w:t>
            </w:r>
          </w:p>
        </w:tc>
        <w:tc>
          <w:tcPr>
            <w:tcW w:w="2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421,025</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271,154</w:t>
            </w:r>
          </w:p>
        </w:tc>
        <w:tc>
          <w:tcPr>
            <w:tcW w:w="7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268,879</w:t>
            </w:r>
          </w:p>
        </w:tc>
      </w:tr>
    </w:tbl>
    <w:p>
      <w:pPr>
        <w:spacing w:after="0" w:line="152" w:lineRule="exact"/>
        <w:rPr>
          <w:sz w:val="20"/>
          <w:szCs w:val="20"/>
          <w:color w:val="auto"/>
        </w:rPr>
      </w:pPr>
    </w:p>
    <w:p>
      <w:pPr>
        <w:ind w:left="120" w:right="560" w:firstLine="551"/>
        <w:spacing w:after="0" w:line="282" w:lineRule="auto"/>
        <w:rPr>
          <w:sz w:val="20"/>
          <w:szCs w:val="20"/>
          <w:color w:val="auto"/>
        </w:rPr>
      </w:pPr>
      <w:r>
        <w:rPr>
          <w:rFonts w:ascii="Times New Roman" w:cs="Times New Roman" w:eastAsia="Times New Roman" w:hAnsi="Times New Roman"/>
          <w:sz w:val="18"/>
          <w:szCs w:val="18"/>
          <w:color w:val="auto"/>
        </w:rPr>
        <w:t>Municipal securities held by the Company are issued by various states and their various local municipalities. The following tables present municipal securities by the top holdings by state as of the dates presented.</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400" w:type="dxa"/>
            <w:vAlign w:val="bottom"/>
            <w:gridSpan w:val="2"/>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Percent of</w:t>
            </w:r>
          </w:p>
        </w:tc>
        <w:tc>
          <w:tcPr>
            <w:tcW w:w="120" w:type="dxa"/>
            <w:vAlign w:val="bottom"/>
          </w:tcPr>
          <w:p>
            <w:pPr>
              <w:spacing w:after="0"/>
              <w:rPr>
                <w:sz w:val="16"/>
                <w:szCs w:val="16"/>
                <w:color w:val="auto"/>
              </w:rPr>
            </w:pPr>
          </w:p>
        </w:tc>
        <w:tc>
          <w:tcPr>
            <w:tcW w:w="1100" w:type="dxa"/>
            <w:vAlign w:val="bottom"/>
            <w:gridSpan w:val="2"/>
          </w:tcPr>
          <w:p>
            <w:pPr>
              <w:jc w:val="right"/>
              <w:ind w:right="68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7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6"/>
              </w:rPr>
              <w:t>Percent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 available-for-sale:</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Minnesota</w:t>
            </w:r>
          </w:p>
        </w:tc>
        <w:tc>
          <w:tcPr>
            <w:tcW w:w="21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11,055</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11,588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Connecticut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5,653</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5,910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Massachusetts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4,147</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4,394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Iowa</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2,345</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2,430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Ohio</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2,115</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2,194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Maine</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1,506</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 other states (2 states)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1,886</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2,171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28,707</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30,285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Municipal Securities held-to-maturity:</w:t>
            </w: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Minnesota</w:t>
            </w:r>
          </w:p>
        </w:tc>
        <w:tc>
          <w:tcPr>
            <w:tcW w:w="216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44,820</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46,243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Massachusetts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22,361</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23,573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Ohio</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17,781</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18,502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Texas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17,135</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17,706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Wisconsin</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12,236</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12,755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Connecticut</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8,759</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9,001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other states (20 states)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65,180</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67,398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188,272</w:t>
            </w:r>
          </w:p>
        </w:tc>
        <w:tc>
          <w:tcPr>
            <w:tcW w:w="460" w:type="dxa"/>
            <w:vAlign w:val="bottom"/>
            <w:vMerge w:val="continue"/>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195,178</w:t>
            </w:r>
          </w:p>
        </w:tc>
        <w:tc>
          <w:tcPr>
            <w:tcW w:w="46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0" w:type="dxa"/>
            <w:vAlign w:val="bottom"/>
          </w:tcPr>
          <w:p>
            <w:pPr>
              <w:spacing w:after="0"/>
              <w:rPr>
                <w:sz w:val="1"/>
                <w:szCs w:val="1"/>
                <w:color w:val="auto"/>
              </w:rPr>
            </w:pPr>
          </w:p>
        </w:tc>
      </w:tr>
      <w:tr>
        <w:trPr>
          <w:trHeight w:val="199"/>
        </w:trPr>
        <w:tc>
          <w:tcPr>
            <w:tcW w:w="68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Municipal Securities available-for-sale: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Minnesota</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11,067</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28.7%</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11,274</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Connecticut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15.5%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3"/>
        </w:trPr>
        <w:tc>
          <w:tcPr>
            <w:tcW w:w="6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Iowa</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2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15.1%</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California</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3"/>
        </w:trPr>
        <w:tc>
          <w:tcPr>
            <w:tcW w:w="6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Massachusetts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2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10.8%</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Ohio</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3"/>
        </w:trPr>
        <w:tc>
          <w:tcPr>
            <w:tcW w:w="6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All other states (3 states)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2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38,506</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39,354</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Municipal Securities held-to-maturity: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Minnesota</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47,999</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24.5%</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48,695</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03"/>
        </w:trPr>
        <w:tc>
          <w:tcPr>
            <w:tcW w:w="6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Massachusetts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24,700</w:t>
            </w:r>
          </w:p>
        </w:tc>
        <w:tc>
          <w:tcPr>
            <w:tcW w:w="2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25,328</w:t>
            </w: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Texas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21,586</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21,758</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3"/>
        </w:trPr>
        <w:tc>
          <w:tcPr>
            <w:tcW w:w="6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Wisconsin</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12,276</w:t>
            </w:r>
          </w:p>
        </w:tc>
        <w:tc>
          <w:tcPr>
            <w:tcW w:w="2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12,416</w:t>
            </w: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Washington</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11,680</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11,873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6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Ohio</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9,523</w:t>
            </w:r>
          </w:p>
        </w:tc>
        <w:tc>
          <w:tcPr>
            <w:tcW w:w="2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All other states (20 states)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68,295</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34.8%</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69,382</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07"/>
        </w:trPr>
        <w:tc>
          <w:tcPr>
            <w:tcW w:w="68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196,059</w:t>
            </w:r>
          </w:p>
        </w:tc>
        <w:tc>
          <w:tcPr>
            <w:tcW w:w="2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199,361</w:t>
            </w:r>
          </w:p>
        </w:tc>
        <w:tc>
          <w:tcPr>
            <w:tcW w:w="3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right="40" w:firstLine="551"/>
        <w:spacing w:after="0" w:line="258" w:lineRule="auto"/>
        <w:rPr>
          <w:sz w:val="20"/>
          <w:szCs w:val="20"/>
          <w:color w:val="auto"/>
        </w:rPr>
      </w:pPr>
      <w:r>
        <w:rPr>
          <w:rFonts w:ascii="Times New Roman" w:cs="Times New Roman" w:eastAsia="Times New Roman" w:hAnsi="Times New Roman"/>
          <w:sz w:val="18"/>
          <w:szCs w:val="18"/>
          <w:color w:val="auto"/>
        </w:rPr>
        <w:t>We adopted ASU 2016-13 on January 1, 2020, on a prospective basis. Under the new guidance, once it is determined that a credit loss has occurred, an allowance for credit losses is established on our available-for-sale and held-to-maturity securities. Prior to adoption of this standard, when a decline in fair value of a debt security was determined to be other than temporary, an impairment charge for the credit component was recorded, and a new cost basis in the investment was established. As of December 31, 2020, management determined that credit losses did not exist for securities in an unrealized loss position.</w:t>
      </w:r>
    </w:p>
    <w:p>
      <w:pPr>
        <w:spacing w:after="0" w:line="143" w:lineRule="exact"/>
        <w:rPr>
          <w:sz w:val="20"/>
          <w:szCs w:val="20"/>
          <w:color w:val="auto"/>
        </w:rPr>
      </w:pPr>
    </w:p>
    <w:p>
      <w:pPr>
        <w:ind w:left="120" w:right="24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investment securities, by investment category, in an unrealized loss position for which an allowance for credit losses has not been recorded as of December 31, 2020.</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44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4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5"/>
                <w:szCs w:val="15"/>
                <w:color w:val="auto"/>
              </w:rPr>
            </w:pPr>
          </w:p>
        </w:tc>
      </w:tr>
      <w:tr>
        <w:trPr>
          <w:trHeight w:val="202"/>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03"/>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7"/>
              </w:rPr>
              <w:t>Holding</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15"/>
        </w:trPr>
        <w:tc>
          <w:tcPr>
            <w:tcW w:w="44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0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199"/>
        </w:trPr>
        <w:tc>
          <w:tcPr>
            <w:tcW w:w="4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72,219</w:t>
            </w: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72,219</w:t>
            </w:r>
          </w:p>
        </w:tc>
        <w:tc>
          <w:tcPr>
            <w:tcW w:w="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r>
      <w:tr>
        <w:trPr>
          <w:trHeight w:val="203"/>
        </w:trPr>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CMO/REMIC</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(249)</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96,974</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w:t>
            </w:r>
          </w:p>
        </w:tc>
      </w:tr>
      <w:tr>
        <w:trPr>
          <w:trHeight w:val="203"/>
        </w:trPr>
        <w:tc>
          <w:tcPr>
            <w:tcW w:w="4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Municipal bonds</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4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4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169,193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169,193</w:t>
            </w:r>
          </w:p>
        </w:tc>
        <w:tc>
          <w:tcPr>
            <w:tcW w:w="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r>
      <w:tr>
        <w:trPr>
          <w:trHeight w:val="20"/>
        </w:trPr>
        <w:tc>
          <w:tcPr>
            <w:tcW w:w="4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right="120" w:firstLine="551"/>
        <w:spacing w:after="0" w:line="258" w:lineRule="auto"/>
        <w:rPr>
          <w:sz w:val="20"/>
          <w:szCs w:val="20"/>
          <w:color w:val="auto"/>
        </w:rPr>
      </w:pPr>
      <w:r>
        <w:rPr>
          <w:rFonts w:ascii="Times New Roman" w:cs="Times New Roman" w:eastAsia="Times New Roman" w:hAnsi="Times New Roman"/>
          <w:sz w:val="18"/>
          <w:szCs w:val="18"/>
          <w:color w:val="auto"/>
        </w:rPr>
        <w:t>The table below presents the Company’s investment securities’ gross unrealized losses and fair value by investment category and length of time that individual securities have been in a continuous unrealized loss position at December 31, 2019, prior to adoption of ASU 2016-13. Management previously reviewed individual securities to determine whether a decline in fair value below the amortized cost basis is other-than-temporary. The unrealized losses on these securities were primarily attributed to changes in interest rates. The issuers of these securities have not, to our knowledge, evidenced any cause for default on these securities. These securities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82"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312" w:lineRule="auto"/>
        <w:rPr>
          <w:sz w:val="20"/>
          <w:szCs w:val="20"/>
          <w:color w:val="auto"/>
        </w:rPr>
      </w:pPr>
      <w:r>
        <w:rPr>
          <w:rFonts w:ascii="Times New Roman" w:cs="Times New Roman" w:eastAsia="Times New Roman" w:hAnsi="Times New Roman"/>
          <w:sz w:val="17"/>
          <w:szCs w:val="17"/>
          <w:color w:val="auto"/>
        </w:rPr>
        <w:t>have fluctuated in value since their purchase dates as market interest rates have fluctuated. However, we have the ability and the intention to hold these securities until their fair values recover to cost or maturity. As such, management does not deem these securities to be other-than-temporarily-impaired.</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8"/>
                <w:szCs w:val="18"/>
                <w:color w:val="auto"/>
              </w:rPr>
            </w:pPr>
          </w:p>
        </w:tc>
        <w:tc>
          <w:tcPr>
            <w:tcW w:w="222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4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4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8"/>
                <w:szCs w:val="18"/>
                <w:color w:val="auto"/>
              </w:rPr>
            </w:pPr>
          </w:p>
        </w:tc>
        <w:tc>
          <w:tcPr>
            <w:tcW w:w="110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40" w:type="dxa"/>
            <w:vAlign w:val="bottom"/>
          </w:tcPr>
          <w:p>
            <w:pPr>
              <w:spacing w:after="0"/>
              <w:rPr>
                <w:sz w:val="18"/>
                <w:szCs w:val="18"/>
                <w:color w:val="auto"/>
              </w:rPr>
            </w:pPr>
          </w:p>
        </w:tc>
        <w:tc>
          <w:tcPr>
            <w:tcW w:w="110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199"/>
        </w:trPr>
        <w:tc>
          <w:tcPr>
            <w:tcW w:w="4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20,289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97,964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(744)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118,253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CMO/REMIC</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177,517</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(705)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34,565</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(191)</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212,082</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203"/>
        </w:trPr>
        <w:tc>
          <w:tcPr>
            <w:tcW w:w="4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Municipal bonds</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563</w:t>
            </w:r>
          </w:p>
        </w:tc>
        <w:tc>
          <w:tcPr>
            <w:tcW w:w="14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563</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197,806</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133,092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(937)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330,898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(1,648)</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Government agency/GSE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28,359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19,405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47,764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203"/>
        </w:trPr>
        <w:tc>
          <w:tcPr>
            <w:tcW w:w="4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10,411</w:t>
            </w:r>
          </w:p>
        </w:tc>
        <w:tc>
          <w:tcPr>
            <w:tcW w:w="14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(54)</w:t>
            </w:r>
          </w:p>
        </w:tc>
        <w:tc>
          <w:tcPr>
            <w:tcW w:w="16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10,411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CMO/REMIC</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23,897</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166,193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(2,354)</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190,090</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(2,458)</w:t>
            </w:r>
          </w:p>
        </w:tc>
        <w:tc>
          <w:tcPr>
            <w:tcW w:w="0" w:type="dxa"/>
            <w:vAlign w:val="bottom"/>
          </w:tcPr>
          <w:p>
            <w:pPr>
              <w:spacing w:after="0"/>
              <w:rPr>
                <w:sz w:val="1"/>
                <w:szCs w:val="1"/>
                <w:color w:val="auto"/>
              </w:rPr>
            </w:pPr>
          </w:p>
        </w:tc>
      </w:tr>
      <w:tr>
        <w:trPr>
          <w:trHeight w:val="203"/>
        </w:trPr>
        <w:tc>
          <w:tcPr>
            <w:tcW w:w="4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Municipal bonds</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7,583</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29,981</w:t>
            </w:r>
          </w:p>
        </w:tc>
        <w:tc>
          <w:tcPr>
            <w:tcW w:w="14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(533)</w:t>
            </w:r>
          </w:p>
        </w:tc>
        <w:tc>
          <w:tcPr>
            <w:tcW w:w="16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37,564</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70,250</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215,579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(3,292)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285,829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(3,734)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record any charges for other-than-temporary impairment losses for the year ended December 31, 2019.</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189" w:lineRule="exact"/>
        <w:rPr>
          <w:sz w:val="20"/>
          <w:szCs w:val="20"/>
          <w:color w:val="auto"/>
        </w:rPr>
      </w:pPr>
    </w:p>
    <w:p>
      <w:pPr>
        <w:ind w:left="120" w:right="40" w:firstLine="551"/>
        <w:spacing w:after="0" w:line="256" w:lineRule="auto"/>
        <w:rPr>
          <w:sz w:val="20"/>
          <w:szCs w:val="20"/>
          <w:color w:val="auto"/>
        </w:rPr>
      </w:pPr>
      <w:r>
        <w:rPr>
          <w:rFonts w:ascii="Times New Roman" w:cs="Times New Roman" w:eastAsia="Times New Roman" w:hAnsi="Times New Roman"/>
          <w:sz w:val="18"/>
          <w:szCs w:val="18"/>
          <w:color w:val="auto"/>
        </w:rPr>
        <w:t>Total loans and leases, net of deferred fees and discounts, of $8.35 billion at December 31, 2020, increased by $784.2 million, or 10.37%, from $7.56 billion at December 31, 2019. The increase in total loans included $883.0 million in PPP loans. Excluding PPP loans, total loans declined by $98.8 million, or 1.31%. The $98.8 million decrease in loans included decreases of $123.1 million in commercial and industrial loans, $31.8 million in construction loans, $26.5 million in consumer and other loans, $22.6 million in dairy &amp; livestock and agribusiness loans, $13.0 million in SFR mortgage loans, $7.6 million in municipal lease financings, and $1.1 million in other SBA loans. Partially offsetting these declines was an increase in commercial real estate loans of $126.9 million.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551"/>
        <w:spacing w:after="0" w:line="282" w:lineRule="auto"/>
        <w:rPr>
          <w:sz w:val="20"/>
          <w:szCs w:val="20"/>
          <w:color w:val="auto"/>
        </w:rPr>
      </w:pPr>
      <w:r>
        <w:rPr>
          <w:rFonts w:ascii="Times New Roman" w:cs="Times New Roman" w:eastAsia="Times New Roman" w:hAnsi="Times New Roman"/>
          <w:sz w:val="18"/>
          <w:szCs w:val="18"/>
          <w:color w:val="auto"/>
        </w:rPr>
        <w:t>Total loans, net of deferred loan fees, comprise 63.14% of our total earning assets as of December 31, 2020. The following table presents our loan portfolio by type for the periods presented.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Distribution of Loan Portfolio by Type</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4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4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4"/>
              <w:spacing w:after="0" w:line="169" w:lineRule="exact"/>
              <w:rPr>
                <w:sz w:val="20"/>
                <w:szCs w:val="20"/>
                <w:color w:val="auto"/>
              </w:rPr>
            </w:pPr>
            <w:r>
              <w:rPr>
                <w:rFonts w:ascii="Times New Roman" w:cs="Times New Roman" w:eastAsia="Times New Roman" w:hAnsi="Times New Roman"/>
                <w:sz w:val="15"/>
                <w:szCs w:val="15"/>
                <w:b w:val="1"/>
                <w:bCs w:val="1"/>
                <w:color w:val="auto"/>
              </w:rPr>
              <w:t>2019 (1)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rPr>
              <w:t>2018</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4"/>
              <w:spacing w:after="0" w:line="169" w:lineRule="exact"/>
              <w:rPr>
                <w:sz w:val="20"/>
                <w:szCs w:val="20"/>
                <w:color w:val="auto"/>
              </w:rPr>
            </w:pPr>
            <w:r>
              <w:rPr>
                <w:rFonts w:ascii="Times New Roman" w:cs="Times New Roman" w:eastAsia="Times New Roman" w:hAnsi="Times New Roman"/>
                <w:sz w:val="15"/>
                <w:szCs w:val="15"/>
                <w:b w:val="1"/>
                <w:bCs w:val="1"/>
                <w:color w:val="auto"/>
              </w:rPr>
              <w:t>2017</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4"/>
              <w:spacing w:after="0" w:line="169" w:lineRule="exact"/>
              <w:rPr>
                <w:sz w:val="20"/>
                <w:szCs w:val="20"/>
                <w:color w:val="auto"/>
              </w:rPr>
            </w:pPr>
            <w:r>
              <w:rPr>
                <w:rFonts w:ascii="Times New Roman" w:cs="Times New Roman" w:eastAsia="Times New Roman" w:hAnsi="Times New Roman"/>
                <w:sz w:val="15"/>
                <w:szCs w:val="15"/>
                <w:b w:val="1"/>
                <w:bCs w:val="1"/>
                <w:color w:val="auto"/>
              </w:rPr>
              <w:t>2016</w:t>
            </w:r>
          </w:p>
        </w:tc>
        <w:tc>
          <w:tcPr>
            <w:tcW w:w="12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Commercial real estate</w:t>
            </w:r>
          </w:p>
        </w:tc>
        <w:tc>
          <w:tcPr>
            <w:tcW w:w="980" w:type="dxa"/>
            <w:vAlign w:val="bottom"/>
            <w:gridSpan w:val="2"/>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5,501,509</w:t>
            </w:r>
          </w:p>
        </w:tc>
        <w:tc>
          <w:tcPr>
            <w:tcW w:w="2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5,374,617</w:t>
            </w:r>
          </w:p>
        </w:tc>
        <w:tc>
          <w:tcPr>
            <w:tcW w:w="400" w:type="dxa"/>
            <w:vAlign w:val="bottom"/>
            <w:gridSpan w:val="2"/>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5,394,229</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3,376,713</w:t>
            </w:r>
          </w:p>
        </w:tc>
        <w:tc>
          <w:tcPr>
            <w:tcW w:w="200" w:type="dxa"/>
            <w:vAlign w:val="bottom"/>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2,930,141</w:t>
            </w:r>
          </w:p>
        </w:tc>
      </w:tr>
      <w:tr>
        <w:trPr>
          <w:trHeight w:val="162"/>
        </w:trPr>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Construction</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85,145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116,925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122,782</w:t>
            </w:r>
          </w:p>
        </w:tc>
        <w:tc>
          <w:tcPr>
            <w:tcW w:w="160" w:type="dxa"/>
            <w:vAlign w:val="bottom"/>
          </w:tcPr>
          <w:p>
            <w:pPr>
              <w:spacing w:after="0"/>
              <w:rPr>
                <w:sz w:val="14"/>
                <w:szCs w:val="14"/>
                <w:color w:val="auto"/>
              </w:rPr>
            </w:pPr>
          </w:p>
        </w:tc>
        <w:tc>
          <w:tcPr>
            <w:tcW w:w="1040" w:type="dxa"/>
            <w:vAlign w:val="bottom"/>
            <w:gridSpan w:val="2"/>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77,982</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85,879</w:t>
            </w: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SBA</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303,896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305,008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350,043</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122,055</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97,184</w:t>
            </w:r>
          </w:p>
        </w:tc>
      </w:tr>
      <w:tr>
        <w:trPr>
          <w:trHeight w:val="162"/>
        </w:trPr>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SBA - PPP</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882,986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Commercial and industrial</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812,062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935,127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1,002,209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513,325</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485,078</w:t>
            </w:r>
          </w:p>
        </w:tc>
      </w:tr>
      <w:tr>
        <w:trPr>
          <w:trHeight w:val="162"/>
        </w:trPr>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Dairy &amp; livestock and agribusiness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361,146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383,709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393,843</w:t>
            </w:r>
          </w:p>
        </w:tc>
        <w:tc>
          <w:tcPr>
            <w:tcW w:w="160" w:type="dxa"/>
            <w:vAlign w:val="bottom"/>
          </w:tcPr>
          <w:p>
            <w:pPr>
              <w:spacing w:after="0"/>
              <w:rPr>
                <w:sz w:val="14"/>
                <w:szCs w:val="14"/>
                <w:color w:val="auto"/>
              </w:rPr>
            </w:pPr>
          </w:p>
        </w:tc>
        <w:tc>
          <w:tcPr>
            <w:tcW w:w="1040" w:type="dxa"/>
            <w:vAlign w:val="bottom"/>
            <w:gridSpan w:val="2"/>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347,289</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338,631</w:t>
            </w: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Municipal lease finance receivables</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45,547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53,146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64,186</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70,243</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64,639</w:t>
            </w:r>
          </w:p>
        </w:tc>
      </w:tr>
      <w:tr>
        <w:trPr>
          <w:trHeight w:val="162"/>
        </w:trPr>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SFR mortgage</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270,511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283,468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296,504</w:t>
            </w:r>
          </w:p>
        </w:tc>
        <w:tc>
          <w:tcPr>
            <w:tcW w:w="160" w:type="dxa"/>
            <w:vAlign w:val="bottom"/>
          </w:tcPr>
          <w:p>
            <w:pPr>
              <w:spacing w:after="0"/>
              <w:rPr>
                <w:sz w:val="14"/>
                <w:szCs w:val="14"/>
                <w:color w:val="auto"/>
              </w:rPr>
            </w:pPr>
          </w:p>
        </w:tc>
        <w:tc>
          <w:tcPr>
            <w:tcW w:w="1040" w:type="dxa"/>
            <w:vAlign w:val="bottom"/>
            <w:gridSpan w:val="2"/>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236,202</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250,605</w:t>
            </w: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Consumer and other loans</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86,006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116,319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128,429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64,229</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78,274</w:t>
            </w:r>
          </w:p>
        </w:tc>
      </w:tr>
      <w:tr>
        <w:trPr>
          <w:trHeight w:val="169"/>
        </w:trPr>
        <w:tc>
          <w:tcPr>
            <w:tcW w:w="4360" w:type="dxa"/>
            <w:vAlign w:val="bottom"/>
          </w:tcPr>
          <w:p>
            <w:pPr>
              <w:ind w:left="460"/>
              <w:spacing w:after="0" w:line="169" w:lineRule="exact"/>
              <w:rPr>
                <w:sz w:val="20"/>
                <w:szCs w:val="20"/>
                <w:color w:val="auto"/>
              </w:rPr>
            </w:pPr>
            <w:r>
              <w:rPr>
                <w:rFonts w:ascii="Times New Roman" w:cs="Times New Roman" w:eastAsia="Times New Roman" w:hAnsi="Times New Roman"/>
                <w:sz w:val="15"/>
                <w:szCs w:val="15"/>
                <w:color w:val="auto"/>
              </w:rPr>
              <w:t>Gross loans (Non-PCI)</w:t>
            </w:r>
          </w:p>
        </w:tc>
        <w:tc>
          <w:tcPr>
            <w:tcW w:w="8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8,348,808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7,568,319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7,752,225</w:t>
            </w: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4,808,038</w:t>
            </w: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4,330,431</w:t>
            </w:r>
          </w:p>
        </w:tc>
        <w:tc>
          <w:tcPr>
            <w:tcW w:w="120" w:type="dxa"/>
            <w:vAlign w:val="bottom"/>
          </w:tcPr>
          <w:p>
            <w:pPr>
              <w:spacing w:after="0"/>
              <w:rPr>
                <w:sz w:val="14"/>
                <w:szCs w:val="14"/>
                <w:color w:val="auto"/>
              </w:rPr>
            </w:pP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Less: Deferred loan fees, net (2)</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(3,742)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(4,828)</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(6,289)</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(6,952)</w:t>
            </w:r>
          </w:p>
        </w:tc>
      </w:tr>
      <w:tr>
        <w:trPr>
          <w:trHeight w:val="169"/>
        </w:trPr>
        <w:tc>
          <w:tcPr>
            <w:tcW w:w="4360" w:type="dxa"/>
            <w:vAlign w:val="bottom"/>
          </w:tcPr>
          <w:p>
            <w:pPr>
              <w:ind w:left="460"/>
              <w:spacing w:after="0" w:line="169" w:lineRule="exact"/>
              <w:rPr>
                <w:sz w:val="20"/>
                <w:szCs w:val="20"/>
                <w:color w:val="auto"/>
              </w:rPr>
            </w:pPr>
            <w:r>
              <w:rPr>
                <w:rFonts w:ascii="Times New Roman" w:cs="Times New Roman" w:eastAsia="Times New Roman" w:hAnsi="Times New Roman"/>
                <w:sz w:val="15"/>
                <w:szCs w:val="15"/>
                <w:color w:val="auto"/>
              </w:rPr>
              <w:t>Gross loans, net of deferred loan fees (Non-PCI)</w:t>
            </w:r>
          </w:p>
        </w:tc>
        <w:tc>
          <w:tcPr>
            <w:tcW w:w="8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8,348,808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7,564,577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7,747,397</w:t>
            </w: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4,801,749</w:t>
            </w: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4,323,479</w:t>
            </w:r>
          </w:p>
        </w:tc>
        <w:tc>
          <w:tcPr>
            <w:tcW w:w="120" w:type="dxa"/>
            <w:vAlign w:val="bottom"/>
          </w:tcPr>
          <w:p>
            <w:pPr>
              <w:spacing w:after="0"/>
              <w:rPr>
                <w:sz w:val="14"/>
                <w:szCs w:val="14"/>
                <w:color w:val="auto"/>
              </w:rPr>
            </w:pP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Less: Allowance for credit losses</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(93,692)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(68,660)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(63,409)</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(59,218)</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(60,321)</w:t>
            </w:r>
          </w:p>
        </w:tc>
      </w:tr>
      <w:tr>
        <w:trPr>
          <w:trHeight w:val="169"/>
        </w:trPr>
        <w:tc>
          <w:tcPr>
            <w:tcW w:w="4360" w:type="dxa"/>
            <w:vAlign w:val="bottom"/>
          </w:tcPr>
          <w:p>
            <w:pPr>
              <w:ind w:left="460"/>
              <w:spacing w:after="0" w:line="169" w:lineRule="exact"/>
              <w:rPr>
                <w:sz w:val="20"/>
                <w:szCs w:val="20"/>
                <w:color w:val="auto"/>
              </w:rPr>
            </w:pPr>
            <w:r>
              <w:rPr>
                <w:rFonts w:ascii="Times New Roman" w:cs="Times New Roman" w:eastAsia="Times New Roman" w:hAnsi="Times New Roman"/>
                <w:sz w:val="15"/>
                <w:szCs w:val="15"/>
                <w:color w:val="auto"/>
              </w:rPr>
              <w:t>Net loans (Non-PCI)</w:t>
            </w:r>
          </w:p>
        </w:tc>
        <w:tc>
          <w:tcPr>
            <w:tcW w:w="8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8,255,116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7,495,917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7,683,988</w:t>
            </w: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4,742,531</w:t>
            </w: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4,263,158</w:t>
            </w:r>
          </w:p>
        </w:tc>
        <w:tc>
          <w:tcPr>
            <w:tcW w:w="120" w:type="dxa"/>
            <w:vAlign w:val="bottom"/>
          </w:tcPr>
          <w:p>
            <w:pPr>
              <w:spacing w:after="0"/>
              <w:rPr>
                <w:sz w:val="14"/>
                <w:szCs w:val="14"/>
                <w:color w:val="auto"/>
              </w:rPr>
            </w:pPr>
          </w:p>
        </w:tc>
      </w:tr>
      <w:tr>
        <w:trPr>
          <w:trHeight w:val="20"/>
        </w:trPr>
        <w:tc>
          <w:tcPr>
            <w:tcW w:w="4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4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PCI Loans</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0"/>
              <w:spacing w:after="0" w:line="156" w:lineRule="exact"/>
              <w:rPr>
                <w:sz w:val="20"/>
                <w:szCs w:val="20"/>
                <w:color w:val="auto"/>
              </w:rPr>
            </w:pPr>
            <w:r>
              <w:rPr>
                <w:rFonts w:ascii="Times New Roman" w:cs="Times New Roman" w:eastAsia="Times New Roman" w:hAnsi="Times New Roman"/>
                <w:sz w:val="15"/>
                <w:szCs w:val="15"/>
                <w:color w:val="auto"/>
              </w:rPr>
              <w:t>17,214</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0"/>
              <w:spacing w:after="0" w:line="156" w:lineRule="exact"/>
              <w:rPr>
                <w:sz w:val="20"/>
                <w:szCs w:val="20"/>
                <w:color w:val="auto"/>
              </w:rPr>
            </w:pPr>
            <w:r>
              <w:rPr>
                <w:rFonts w:ascii="Times New Roman" w:cs="Times New Roman" w:eastAsia="Times New Roman" w:hAnsi="Times New Roman"/>
                <w:sz w:val="15"/>
                <w:szCs w:val="15"/>
                <w:color w:val="auto"/>
              </w:rPr>
              <w:t>30,908</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73,093</w:t>
            </w:r>
          </w:p>
        </w:tc>
      </w:tr>
      <w:tr>
        <w:trPr>
          <w:trHeight w:val="162"/>
        </w:trPr>
        <w:tc>
          <w:tcPr>
            <w:tcW w:w="4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Discount on PCI loans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(2,026)</w:t>
            </w:r>
          </w:p>
        </w:tc>
        <w:tc>
          <w:tcPr>
            <w:tcW w:w="200" w:type="dxa"/>
            <w:vAlign w:val="bottom"/>
          </w:tcPr>
          <w:p>
            <w:pPr>
              <w:spacing w:after="0"/>
              <w:rPr>
                <w:sz w:val="14"/>
                <w:szCs w:val="14"/>
                <w:color w:val="auto"/>
              </w:rPr>
            </w:pPr>
          </w:p>
        </w:tc>
        <w:tc>
          <w:tcPr>
            <w:tcW w:w="8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(1,508)</w:t>
            </w: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Less: Allowance for credit losses</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(204)</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(367)</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(1,219)</w:t>
            </w:r>
          </w:p>
        </w:tc>
      </w:tr>
      <w:tr>
        <w:trPr>
          <w:trHeight w:val="176"/>
        </w:trPr>
        <w:tc>
          <w:tcPr>
            <w:tcW w:w="4360" w:type="dxa"/>
            <w:vAlign w:val="bottom"/>
          </w:tcPr>
          <w:p>
            <w:pPr>
              <w:ind w:left="760"/>
              <w:spacing w:after="0" w:line="169" w:lineRule="exact"/>
              <w:rPr>
                <w:sz w:val="20"/>
                <w:szCs w:val="20"/>
                <w:color w:val="auto"/>
              </w:rPr>
            </w:pPr>
            <w:r>
              <w:rPr>
                <w:rFonts w:ascii="Times New Roman" w:cs="Times New Roman" w:eastAsia="Times New Roman" w:hAnsi="Times New Roman"/>
                <w:sz w:val="15"/>
                <w:szCs w:val="15"/>
                <w:color w:val="auto"/>
              </w:rPr>
              <w:t>PCI loans, net</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17,010</w:t>
            </w:r>
          </w:p>
        </w:tc>
        <w:tc>
          <w:tcPr>
            <w:tcW w:w="3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28,515</w:t>
            </w:r>
          </w:p>
        </w:tc>
        <w:tc>
          <w:tcPr>
            <w:tcW w:w="3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70,366</w:t>
            </w:r>
          </w:p>
        </w:tc>
        <w:tc>
          <w:tcPr>
            <w:tcW w:w="120" w:type="dxa"/>
            <w:vAlign w:val="bottom"/>
          </w:tcPr>
          <w:p>
            <w:pPr>
              <w:spacing w:after="0"/>
              <w:rPr>
                <w:sz w:val="15"/>
                <w:szCs w:val="15"/>
                <w:color w:val="auto"/>
              </w:rPr>
            </w:pPr>
          </w:p>
        </w:tc>
      </w:tr>
      <w:tr>
        <w:trPr>
          <w:trHeight w:val="162"/>
        </w:trPr>
        <w:tc>
          <w:tcPr>
            <w:tcW w:w="4360" w:type="dxa"/>
            <w:vAlign w:val="bottom"/>
            <w:shd w:val="clear" w:color="auto" w:fill="CCEEFF"/>
          </w:tcPr>
          <w:p>
            <w:pPr>
              <w:ind w:left="1060"/>
              <w:spacing w:after="0" w:line="162" w:lineRule="exact"/>
              <w:rPr>
                <w:sz w:val="20"/>
                <w:szCs w:val="20"/>
                <w:color w:val="auto"/>
              </w:rPr>
            </w:pPr>
            <w:r>
              <w:rPr>
                <w:rFonts w:ascii="Times New Roman" w:cs="Times New Roman" w:eastAsia="Times New Roman" w:hAnsi="Times New Roman"/>
                <w:sz w:val="15"/>
                <w:szCs w:val="15"/>
                <w:color w:val="auto"/>
              </w:rPr>
              <w:t>Total loans and lease finance receivables</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7,700,998</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4,771,046</w:t>
            </w:r>
          </w:p>
        </w:tc>
        <w:tc>
          <w:tcPr>
            <w:tcW w:w="200" w:type="dxa"/>
            <w:vAlign w:val="bottom"/>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4,333,524</w:t>
            </w:r>
          </w:p>
        </w:tc>
      </w:tr>
      <w:tr>
        <w:trPr>
          <w:trHeight w:val="20"/>
        </w:trPr>
        <w:tc>
          <w:tcPr>
            <w:tcW w:w="4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ind w:left="980" w:right="660" w:hanging="432"/>
        <w:spacing w:after="0" w:line="269"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 June 30, 2019, PCI loans were accounted for and combined with Non-PCI loans and were reflected in total loans and lease finance receivables.</w:t>
      </w:r>
    </w:p>
    <w:p>
      <w:pPr>
        <w:ind w:left="980" w:hanging="432"/>
        <w:spacing w:after="0"/>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 March 31, 2020, gross loans are presented net of deferred loan fees by respective class of financing receivables.</w:t>
      </w:r>
    </w:p>
    <w:p>
      <w:pPr>
        <w:spacing w:after="0" w:line="195" w:lineRule="exact"/>
        <w:rPr>
          <w:sz w:val="20"/>
          <w:szCs w:val="20"/>
          <w:color w:val="auto"/>
        </w:rPr>
      </w:pPr>
    </w:p>
    <w:p>
      <w:pPr>
        <w:ind w:left="120" w:right="60" w:firstLine="551"/>
        <w:spacing w:after="0" w:line="256" w:lineRule="auto"/>
        <w:rPr>
          <w:sz w:val="20"/>
          <w:szCs w:val="20"/>
          <w:color w:val="auto"/>
        </w:rPr>
      </w:pPr>
      <w:r>
        <w:rPr>
          <w:rFonts w:ascii="Times New Roman" w:cs="Times New Roman" w:eastAsia="Times New Roman" w:hAnsi="Times New Roman"/>
          <w:sz w:val="18"/>
          <w:szCs w:val="18"/>
          <w:color w:val="auto"/>
        </w:rPr>
        <w:t>As of December 31, 2020, $314.4 million, or 5.72% of the total commercial real estate loans included loans secured by farmland, compared to $241.8 million, or 4.50%, at December 31, 2019. The loans secured by farmland included $132.9 million for loans secured by dairy &amp; livestock land and $181.5 million for loans secured by agricultural land at December 31, 2020, compared to $125.9 million for loans secured by dairy &amp; livestock land and $115.9 million for loans secured by agricultural land at December 31, 2019. As of December 31, 2020, dairy &amp; livestock and agribusiness loans of $361.1 million were comprised of $320.1 million for dairy &amp; livestock loans and $41.0 million for agribusiness loans, compared to $323.5 million for dairy &amp; livestock loans and $60.2 million for agribusiness loans at December 31, 2019.</w:t>
      </w:r>
    </w:p>
    <w:p>
      <w:pPr>
        <w:spacing w:after="0" w:line="147" w:lineRule="exact"/>
        <w:rPr>
          <w:sz w:val="20"/>
          <w:szCs w:val="20"/>
          <w:color w:val="auto"/>
        </w:rPr>
      </w:pPr>
    </w:p>
    <w:p>
      <w:pPr>
        <w:ind w:left="120" w:right="20" w:firstLine="551"/>
        <w:spacing w:after="0" w:line="277" w:lineRule="auto"/>
        <w:rPr>
          <w:sz w:val="20"/>
          <w:szCs w:val="20"/>
          <w:color w:val="auto"/>
        </w:rPr>
      </w:pPr>
      <w:r>
        <w:rPr>
          <w:rFonts w:ascii="Times New Roman" w:cs="Times New Roman" w:eastAsia="Times New Roman" w:hAnsi="Times New Roman"/>
          <w:sz w:val="17"/>
          <w:szCs w:val="17"/>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27" w:lineRule="exact"/>
        <w:rPr>
          <w:sz w:val="20"/>
          <w:szCs w:val="20"/>
          <w:color w:val="auto"/>
        </w:rPr>
      </w:pPr>
    </w:p>
    <w:p>
      <w:pPr>
        <w:ind w:left="120" w:right="500" w:firstLine="551"/>
        <w:spacing w:after="0" w:line="266" w:lineRule="auto"/>
        <w:rPr>
          <w:sz w:val="20"/>
          <w:szCs w:val="20"/>
          <w:color w:val="auto"/>
        </w:rPr>
      </w:pPr>
      <w:r>
        <w:rPr>
          <w:rFonts w:ascii="Times New Roman" w:cs="Times New Roman" w:eastAsia="Times New Roman" w:hAnsi="Times New Roman"/>
          <w:sz w:val="18"/>
          <w:szCs w:val="18"/>
          <w:color w:val="auto"/>
        </w:rPr>
        <w:t>As of December 31, 2020, the Company had $190.2 million of total SBA 504 loans. SBA 504 loans include term loans to finance capital expenditures and for the purchase of commercial real estate. Initially the Bank provides two separate loans to the borrower representing a first and second lien on the collateral. The loan with</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82" w:right="4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December 31, 2020, the Company had $113.7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62" w:lineRule="exact"/>
        <w:rPr>
          <w:sz w:val="20"/>
          <w:szCs w:val="20"/>
          <w:color w:val="auto"/>
        </w:rPr>
      </w:pPr>
    </w:p>
    <w:p>
      <w:pPr>
        <w:ind w:left="120" w:right="280" w:firstLine="551"/>
        <w:spacing w:after="0" w:line="282" w:lineRule="auto"/>
        <w:rPr>
          <w:sz w:val="20"/>
          <w:szCs w:val="20"/>
          <w:color w:val="auto"/>
        </w:rPr>
      </w:pPr>
      <w:r>
        <w:rPr>
          <w:rFonts w:ascii="Times New Roman" w:cs="Times New Roman" w:eastAsia="Times New Roman" w:hAnsi="Times New Roman"/>
          <w:sz w:val="18"/>
          <w:szCs w:val="18"/>
          <w:color w:val="auto"/>
        </w:rPr>
        <w:t>As an active participant in the SBA’s Paycheck Protection Program, we have originated approximately 4,100 PPP loans totaling $1.10 billion, with a remaining outstanding balance of $883.0 million as of December 31, 2020.</w:t>
      </w:r>
    </w:p>
    <w:p>
      <w:pPr>
        <w:spacing w:after="0" w:line="121" w:lineRule="exact"/>
        <w:rPr>
          <w:sz w:val="20"/>
          <w:szCs w:val="20"/>
          <w:color w:val="auto"/>
        </w:rPr>
      </w:pPr>
    </w:p>
    <w:p>
      <w:pPr>
        <w:ind w:left="120" w:right="60" w:firstLine="551"/>
        <w:spacing w:after="0" w:line="261" w:lineRule="auto"/>
        <w:rPr>
          <w:sz w:val="20"/>
          <w:szCs w:val="20"/>
          <w:color w:val="auto"/>
        </w:rPr>
      </w:pPr>
      <w:r>
        <w:rPr>
          <w:rFonts w:ascii="Times New Roman" w:cs="Times New Roman" w:eastAsia="Times New Roman" w:hAnsi="Times New Roman"/>
          <w:sz w:val="18"/>
          <w:szCs w:val="18"/>
          <w:color w:val="auto"/>
        </w:rPr>
        <w:t>As of December 31, 2020, the Company had $85.1 million in construction loans. This represents 1.02% of total gross loans held-for-investment. Although our construction loans are located throughout our market footprint, the majority of construction loans consist of commercial land development and construction projects in Los Angeles County, Orange County, and the Inland Empire region of Southern California. There were no nonperforming construction loans at December 31, 2020.</w:t>
      </w:r>
    </w:p>
    <w:p>
      <w:pPr>
        <w:spacing w:after="0" w:line="139" w:lineRule="exact"/>
        <w:rPr>
          <w:sz w:val="20"/>
          <w:szCs w:val="20"/>
          <w:color w:val="auto"/>
        </w:rPr>
      </w:pPr>
    </w:p>
    <w:p>
      <w:pPr>
        <w:ind w:left="120" w:right="400" w:firstLine="551"/>
        <w:spacing w:after="0" w:line="282" w:lineRule="auto"/>
        <w:rPr>
          <w:sz w:val="20"/>
          <w:szCs w:val="20"/>
          <w:color w:val="auto"/>
        </w:rPr>
      </w:pPr>
      <w:r>
        <w:rPr>
          <w:rFonts w:ascii="Times New Roman" w:cs="Times New Roman" w:eastAsia="Times New Roman" w:hAnsi="Times New Roman"/>
          <w:sz w:val="18"/>
          <w:szCs w:val="18"/>
          <w:color w:val="auto"/>
        </w:rPr>
        <w:t>Our loan portfolio is geographically disbursed throughout our marketplace. The following is the breakdown of our total held-for-investment commercial real estate loans, by region as of December 31, 2020.</w:t>
      </w:r>
    </w:p>
    <w:p>
      <w:pPr>
        <w:spacing w:after="0" w:line="168" w:lineRule="exact"/>
        <w:rPr>
          <w:sz w:val="20"/>
          <w:szCs w:val="20"/>
          <w:color w:val="auto"/>
        </w:rPr>
      </w:pPr>
    </w:p>
    <w:tbl>
      <w:tblPr>
        <w:tblLayout w:type="fixed"/>
        <w:tblInd w:w="560" w:type="dxa"/>
        <w:tblCellMar>
          <w:top w:w="0" w:type="dxa"/>
          <w:left w:w="0" w:type="dxa"/>
          <w:bottom w:w="0" w:type="dxa"/>
          <w:right w:w="0" w:type="dxa"/>
        </w:tblCellMar>
      </w:tblPr>
      <w:tr>
        <w:trPr>
          <w:trHeight w:val="226"/>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December 31, 2020</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4"/>
          </w:tcPr>
          <w:p>
            <w:pPr>
              <w:jc w:val="right"/>
              <w:ind w:right="155"/>
              <w:spacing w:after="0" w:line="189" w:lineRule="exact"/>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County</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3,543,375</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2,234,357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Central Valley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1,401,683</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997,819</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Inland Empire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1,150,925</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833,012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Orange County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1,072,852</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658,303</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Coast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497,024</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367,787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San Diego</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227,664</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160,572</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California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131,998</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77,418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Out of State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323,287</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172,241</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8,348,808</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5,501,509</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The table below breaks down our real estate portfolio.</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22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16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w w:val="98"/>
              </w:rPr>
              <w:t>Loan Balance</w:t>
            </w: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Occupied (1)</w:t>
            </w: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0" w:type="dxa"/>
            <w:vAlign w:val="bottom"/>
          </w:tcPr>
          <w:p>
            <w:pPr>
              <w:spacing w:after="0"/>
              <w:rPr>
                <w:sz w:val="1"/>
                <w:szCs w:val="1"/>
                <w:color w:val="auto"/>
              </w:rPr>
            </w:pPr>
          </w:p>
        </w:tc>
      </w:tr>
      <w:tr>
        <w:trPr>
          <w:trHeight w:val="202"/>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1,863,337</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6"/>
                <w:szCs w:val="16"/>
                <w:color w:val="auto"/>
              </w:rPr>
              <w:t>53.0%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1,399</w:t>
            </w: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Office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998,673</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6"/>
                <w:szCs w:val="16"/>
                <w:color w:val="auto"/>
              </w:rPr>
              <w:t>24.5%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1,608</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Retail</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784,402</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6"/>
                <w:szCs w:val="16"/>
                <w:color w:val="auto"/>
              </w:rPr>
              <w:t>13.2%</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1,702</w:t>
            </w: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618,333</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1,627</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Secured by farmland (2)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314,429</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6"/>
                <w:szCs w:val="16"/>
                <w:color w:val="auto"/>
              </w:rPr>
              <w:t>98.0%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2,139</w:t>
            </w: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Medical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289,622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6"/>
                <w:szCs w:val="16"/>
                <w:color w:val="auto"/>
              </w:rPr>
              <w:t>44.8%</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632,713</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6"/>
                <w:szCs w:val="16"/>
                <w:color w:val="auto"/>
              </w:rPr>
              <w:t>56.5%</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07"/>
        </w:trPr>
        <w:tc>
          <w:tcPr>
            <w:tcW w:w="4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5,501,509</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6"/>
                <w:szCs w:val="16"/>
                <w:color w:val="auto"/>
              </w:rPr>
              <w:t>39.0%</w:t>
            </w:r>
          </w:p>
        </w:tc>
        <w:tc>
          <w:tcPr>
            <w:tcW w:w="3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1,546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980" w:hanging="432"/>
        <w:spacing w:after="0"/>
        <w:tabs>
          <w:tab w:leader="none" w:pos="9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percentage of reported owner-occupied at origination in each real estate loan category.</w:t>
      </w:r>
    </w:p>
    <w:p>
      <w:pPr>
        <w:spacing w:after="0" w:line="26" w:lineRule="exact"/>
        <w:rPr>
          <w:rFonts w:ascii="Times New Roman" w:cs="Times New Roman" w:eastAsia="Times New Roman" w:hAnsi="Times New Roman"/>
          <w:sz w:val="16"/>
          <w:szCs w:val="16"/>
          <w:color w:val="auto"/>
        </w:rPr>
      </w:pPr>
    </w:p>
    <w:p>
      <w:pPr>
        <w:ind w:left="980" w:hanging="432"/>
        <w:spacing w:after="0" w:line="264" w:lineRule="auto"/>
        <w:tabs>
          <w:tab w:leader="none" w:pos="9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loans secured by farmland included $132.9 million for loans secured by dairy &amp; livestock land and $181.5 million for loans secured by agricultural land at December 31, 2020.</w:t>
      </w:r>
    </w:p>
    <w:p>
      <w:pPr>
        <w:ind w:left="980" w:hanging="432"/>
        <w:spacing w:after="0"/>
        <w:tabs>
          <w:tab w:leader="none" w:pos="9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loans consist of a variety of loan types, none of which exceeds 2.0% of total commercial real estate loans.</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82"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pandemic has had a greater impact on certain industries, such a retail, hospitality, and entertainment.</w:t>
      </w:r>
    </w:p>
    <w:p>
      <w:pPr>
        <w:spacing w:after="0" w:line="198" w:lineRule="exact"/>
        <w:rPr>
          <w:sz w:val="20"/>
          <w:szCs w:val="20"/>
          <w:color w:val="auto"/>
        </w:rPr>
      </w:pPr>
    </w:p>
    <w:p>
      <w:pPr>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At December 31, 2020, commercial real estate loans on retail properties comprised $784.4 million and approximately 14.3% of total loans; none of these loans are on deferment and $5 million of these loans are classified. At origination, these loans on retail properties were underwritten with loan-to-values averaging approximately 49%. Approximately 51% of these loans were originated prior to 2017.</w:t>
      </w:r>
    </w:p>
    <w:p>
      <w:pPr>
        <w:spacing w:after="0" w:line="135" w:lineRule="exact"/>
        <w:rPr>
          <w:sz w:val="20"/>
          <w:szCs w:val="20"/>
          <w:color w:val="auto"/>
        </w:rPr>
      </w:pPr>
    </w:p>
    <w:p>
      <w:pPr>
        <w:ind w:left="120" w:right="60" w:firstLine="551"/>
        <w:spacing w:after="0" w:line="266" w:lineRule="auto"/>
        <w:rPr>
          <w:sz w:val="20"/>
          <w:szCs w:val="20"/>
          <w:color w:val="auto"/>
        </w:rPr>
      </w:pPr>
      <w:r>
        <w:rPr>
          <w:rFonts w:ascii="Times New Roman" w:cs="Times New Roman" w:eastAsia="Times New Roman" w:hAnsi="Times New Roman"/>
          <w:sz w:val="18"/>
          <w:szCs w:val="18"/>
          <w:color w:val="auto"/>
        </w:rPr>
        <w:t>At December 31, 2020, commercial and industrial and SBA loans to customers in the hotel, restaurant, entertainment, retail trade, or recreation industries represented approximately $97 million in loans, or approximately 1% of total loans; $2.6 million of these loans are classified and $2.7 million are on deferment.</w:t>
      </w:r>
    </w:p>
    <w:p>
      <w:pPr>
        <w:spacing w:after="0" w:line="135" w:lineRule="exact"/>
        <w:rPr>
          <w:sz w:val="20"/>
          <w:szCs w:val="20"/>
          <w:color w:val="auto"/>
        </w:rPr>
      </w:pPr>
    </w:p>
    <w:p>
      <w:pPr>
        <w:ind w:left="120" w:right="420" w:firstLine="551"/>
        <w:spacing w:after="0" w:line="266" w:lineRule="auto"/>
        <w:rPr>
          <w:sz w:val="20"/>
          <w:szCs w:val="20"/>
          <w:color w:val="auto"/>
        </w:rPr>
      </w:pPr>
      <w:r>
        <w:rPr>
          <w:rFonts w:ascii="Times New Roman" w:cs="Times New Roman" w:eastAsia="Times New Roman" w:hAnsi="Times New Roman"/>
          <w:sz w:val="18"/>
          <w:szCs w:val="18"/>
          <w:color w:val="auto"/>
        </w:rPr>
        <w:t>The table below provides the maturity distribution for held-for-investment total gross loans as of December 31, 2020. The loan amounts are based on contractual maturities although the borrowers have the ability to prepay the loans. Amounts are also classified according to repricing opportunities or rate sensitivity.</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Loan Maturities and Interest Rate Category</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After One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95"/>
              </w:rPr>
              <w:t>Within</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But Within</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After</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36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66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Types of Loans: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250,873</w:t>
            </w:r>
          </w:p>
        </w:tc>
        <w:tc>
          <w:tcPr>
            <w:tcW w:w="38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1,654,783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3,595,853</w:t>
            </w:r>
          </w:p>
        </w:tc>
        <w:tc>
          <w:tcPr>
            <w:tcW w:w="3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Construction</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76,453</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8,692</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SBA</w:t>
            </w:r>
          </w:p>
        </w:tc>
        <w:tc>
          <w:tcPr>
            <w:tcW w:w="12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11,522</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23,002</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269,372</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SBA - PPP</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882,986</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882,986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288,070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346,151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177,841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260,241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99,065</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6,223</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SFR mortgage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270,093</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270,511</w:t>
            </w:r>
          </w:p>
        </w:tc>
        <w:tc>
          <w:tcPr>
            <w:tcW w:w="0" w:type="dxa"/>
            <w:vAlign w:val="bottom"/>
          </w:tcPr>
          <w:p>
            <w:pPr>
              <w:spacing w:after="0"/>
              <w:rPr>
                <w:sz w:val="1"/>
                <w:szCs w:val="1"/>
                <w:color w:val="auto"/>
              </w:rPr>
            </w:pPr>
          </w:p>
        </w:tc>
      </w:tr>
      <w:tr>
        <w:trPr>
          <w:trHeight w:val="210"/>
        </w:trPr>
        <w:tc>
          <w:tcPr>
            <w:tcW w:w="6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Consumer and other loans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59,346</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gross loans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897,281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3,037,954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4,413,573</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8,348,808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Amount of Loans based upon: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Fixed Rates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174,052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2,408,735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2,308,500</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4,891,287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Floating or adjustable rates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723,229</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629,219</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2,105,073</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gross loans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897,281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3,037,954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4,413,573</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8,348,808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right="200" w:firstLine="551"/>
        <w:spacing w:after="0" w:line="261" w:lineRule="auto"/>
        <w:rPr>
          <w:sz w:val="20"/>
          <w:szCs w:val="20"/>
          <w:color w:val="auto"/>
        </w:rPr>
      </w:pPr>
      <w:r>
        <w:rPr>
          <w:rFonts w:ascii="Times New Roman" w:cs="Times New Roman" w:eastAsia="Times New Roman" w:hAnsi="Times New Roman"/>
          <w:sz w:val="18"/>
          <w:szCs w:val="18"/>
          <w:color w:val="auto"/>
        </w:rPr>
        <w:t>As a normal practice in extending credit for commercial and industrial purposes, we may accept trust deeds on real property as collateral. In some cases, when the primary source of repayment for the loan is anticipated to come from the cash flow from normal operations of the borrower, and real property has been taken as collateral, the real property is considered a secondary source of repayment for the loan. Since we lend primarily in Southern and Central California, our real estate loan collateral is concentrated in this region.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82"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on nonperforming assets as of the dates presented.</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2018 (1)</w:t>
            </w: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2017 (1)</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2016 (1)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Nonaccrual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14,347</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5,033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16,442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Loans past due 90 days or more and still accruing interest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Nonperforming troubled debt restructured loans (TDRs</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244</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 nonperforming loans</w:t>
            </w: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14,347</w:t>
            </w:r>
          </w:p>
        </w:tc>
        <w:tc>
          <w:tcPr>
            <w:tcW w:w="5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4"/>
              </w:rPr>
              <w:t>5,277</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19,951</w:t>
            </w:r>
          </w:p>
        </w:tc>
        <w:tc>
          <w:tcPr>
            <w:tcW w:w="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10,716</w:t>
            </w:r>
          </w:p>
        </w:tc>
        <w:tc>
          <w:tcPr>
            <w:tcW w:w="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OREO, net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4,889</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17,739</w:t>
            </w:r>
          </w:p>
        </w:tc>
        <w:tc>
          <w:tcPr>
            <w:tcW w:w="5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5"/>
              </w:rPr>
              <w:t>10,166</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20,371</w:t>
            </w:r>
          </w:p>
        </w:tc>
        <w:tc>
          <w:tcPr>
            <w:tcW w:w="5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15,243</w:t>
            </w:r>
          </w:p>
        </w:tc>
        <w:tc>
          <w:tcPr>
            <w:tcW w:w="5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11,679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Performing TDRs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3,112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19,233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nonperforming loans and performing TDRs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16,506</w:t>
            </w:r>
          </w:p>
        </w:tc>
        <w:tc>
          <w:tcPr>
            <w:tcW w:w="5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4"/>
              </w:rPr>
              <w:t>8,389</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23,545</w:t>
            </w:r>
          </w:p>
        </w:tc>
        <w:tc>
          <w:tcPr>
            <w:tcW w:w="5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15,525</w:t>
            </w:r>
          </w:p>
        </w:tc>
        <w:tc>
          <w:tcPr>
            <w:tcW w:w="5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26,385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of nonperforming loans and performing TDRs to total loans, net of</w:t>
            </w:r>
          </w:p>
        </w:tc>
        <w:tc>
          <w:tcPr>
            <w:tcW w:w="1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6"/>
        </w:trPr>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fees</w:t>
            </w:r>
          </w:p>
        </w:tc>
        <w:tc>
          <w:tcPr>
            <w:tcW w:w="11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0.20%</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0.11%</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0.30%</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0.32%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r>
      <w:tr>
        <w:trPr>
          <w:trHeight w:val="189"/>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nonperforming assets to total loans outstanding, net of deferred fees,</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3"/>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OREO</w:t>
            </w: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0.21%</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0.13%</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0.26%</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0.32%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0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of nonperforming assets to total assets</w:t>
            </w:r>
          </w:p>
        </w:tc>
        <w:tc>
          <w:tcPr>
            <w:tcW w:w="11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0.12%</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0.09%</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0.18%</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0.18%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r>
    </w:tbl>
    <w:p>
      <w:pPr>
        <w:spacing w:after="0" w:line="202" w:lineRule="exact"/>
        <w:rPr>
          <w:sz w:val="20"/>
          <w:szCs w:val="20"/>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6"/>
          <w:szCs w:val="16"/>
          <w:color w:val="auto"/>
        </w:rPr>
        <w:t>(1)</w:t>
        <w:tab/>
        <w:t>Excludes PCI loans.</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Troubled Debt Restructurings</w:t>
      </w:r>
    </w:p>
    <w:p>
      <w:pPr>
        <w:spacing w:after="0" w:line="121" w:lineRule="exact"/>
        <w:rPr>
          <w:sz w:val="20"/>
          <w:szCs w:val="20"/>
          <w:color w:val="auto"/>
        </w:rPr>
      </w:pPr>
    </w:p>
    <w:p>
      <w:pPr>
        <w:ind w:left="120" w:right="40" w:firstLine="551"/>
        <w:spacing w:after="0" w:line="258" w:lineRule="auto"/>
        <w:rPr>
          <w:sz w:val="20"/>
          <w:szCs w:val="20"/>
          <w:color w:val="auto"/>
        </w:rPr>
      </w:pPr>
      <w:r>
        <w:rPr>
          <w:rFonts w:ascii="Times New Roman" w:cs="Times New Roman" w:eastAsia="Times New Roman" w:hAnsi="Times New Roman"/>
          <w:sz w:val="18"/>
          <w:szCs w:val="18"/>
          <w:color w:val="auto"/>
        </w:rPr>
        <w:t>Total TDRs were $2.2 million at December 31, 2020, compared to $3.4 million at December 31, 2019. At December 31, 2020,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43" w:lineRule="exact"/>
        <w:rPr>
          <w:sz w:val="20"/>
          <w:szCs w:val="20"/>
          <w:color w:val="auto"/>
        </w:rPr>
      </w:pPr>
    </w:p>
    <w:p>
      <w:pPr>
        <w:ind w:left="120" w:right="80" w:firstLine="551"/>
        <w:spacing w:after="0" w:line="254" w:lineRule="auto"/>
        <w:rPr>
          <w:sz w:val="20"/>
          <w:szCs w:val="20"/>
          <w:color w:val="auto"/>
        </w:rPr>
      </w:pPr>
      <w:r>
        <w:rPr>
          <w:rFonts w:ascii="Times New Roman" w:cs="Times New Roman" w:eastAsia="Times New Roman" w:hAnsi="Times New Roman"/>
          <w:sz w:val="18"/>
          <w:szCs w:val="18"/>
          <w:color w:val="auto"/>
        </w:rPr>
        <w:t>In accordance with regulatory guidance, if borrowers are less than 30 days past due on their loans and enter into loan modifications offered as a result of COVID-19, their loans generally continue to be considered performing loans and continue to accrue interest during the period of the loan modification. For borrowers who are 30 days or more past due when entering into loan modifications offered as a result of COVID-19, we evaluate the loan modifications under our existing troubled debt restructuring framework, and where such a loan modification would result in a concession to a borrower experiencing financial difficulty, the loan will be accounted for as a TDR and will generally not accrue interest. For all borrowers who enroll in these loan modification programs offered as a result of COVID-19, the delinquency status of the borrowers is frozen, resulting in a static delinquency metric during the deferral period. Upon exiting the deferral program, the measurement of loan delinquency will resume where it had left off upon entry into the program. As of January 15, 2021, we had temporary payment deferments of principal, or of principal and interest on six loans in the amount of $10.0 million. These deferments were primarily for 90 days, with 85% of these loans being rated special mention or classified.</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82"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TDRs as of the dates presented.</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8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5"/>
                <w:szCs w:val="15"/>
                <w:color w:val="auto"/>
              </w:rPr>
            </w:pPr>
          </w:p>
        </w:tc>
      </w:tr>
      <w:tr>
        <w:trPr>
          <w:trHeight w:val="215"/>
        </w:trPr>
        <w:tc>
          <w:tcPr>
            <w:tcW w:w="4700" w:type="dxa"/>
            <w:vAlign w:val="bottom"/>
          </w:tcPr>
          <w:p>
            <w:pPr>
              <w:spacing w:after="0"/>
              <w:rPr>
                <w:sz w:val="18"/>
                <w:szCs w:val="18"/>
                <w:color w:val="auto"/>
              </w:rPr>
            </w:pP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20" w:type="dxa"/>
            <w:vAlign w:val="bottom"/>
          </w:tcPr>
          <w:p>
            <w:pPr>
              <w:spacing w:after="0"/>
              <w:rPr>
                <w:sz w:val="18"/>
                <w:szCs w:val="18"/>
                <w:color w:val="auto"/>
              </w:rPr>
            </w:pPr>
          </w:p>
        </w:tc>
        <w:tc>
          <w:tcPr>
            <w:tcW w:w="1940" w:type="dxa"/>
            <w:vAlign w:val="bottom"/>
            <w:gridSpan w:val="3"/>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2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199"/>
        </w:trPr>
        <w:tc>
          <w:tcPr>
            <w:tcW w:w="47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24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4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SFR mortgage</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1,796</w:t>
            </w:r>
          </w:p>
        </w:tc>
        <w:tc>
          <w:tcPr>
            <w:tcW w:w="24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2,101</w:t>
            </w:r>
          </w:p>
        </w:tc>
        <w:tc>
          <w:tcPr>
            <w:tcW w:w="1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performing TDRs</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2,159</w:t>
            </w:r>
          </w:p>
        </w:tc>
        <w:tc>
          <w:tcPr>
            <w:tcW w:w="24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3,112</w:t>
            </w:r>
          </w:p>
        </w:tc>
        <w:tc>
          <w:tcPr>
            <w:tcW w:w="1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TDRs:</w:t>
            </w:r>
          </w:p>
        </w:tc>
        <w:tc>
          <w:tcPr>
            <w:tcW w:w="3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SFR mortgage</w:t>
            </w: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1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nonperforming TDRs</w:t>
            </w:r>
          </w:p>
        </w:tc>
        <w:tc>
          <w:tcPr>
            <w:tcW w:w="3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TDRs</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2,159</w:t>
            </w:r>
          </w:p>
        </w:tc>
        <w:tc>
          <w:tcPr>
            <w:tcW w:w="24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3,356</w:t>
            </w:r>
          </w:p>
        </w:tc>
        <w:tc>
          <w:tcPr>
            <w:tcW w:w="1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right="120" w:firstLine="551"/>
        <w:spacing w:after="0" w:line="266" w:lineRule="auto"/>
        <w:rPr>
          <w:sz w:val="20"/>
          <w:szCs w:val="20"/>
          <w:color w:val="auto"/>
        </w:rPr>
      </w:pPr>
      <w:r>
        <w:rPr>
          <w:rFonts w:ascii="Times New Roman" w:cs="Times New Roman" w:eastAsia="Times New Roman" w:hAnsi="Times New Roman"/>
          <w:sz w:val="18"/>
          <w:szCs w:val="18"/>
          <w:color w:val="auto"/>
        </w:rPr>
        <w:t>At December 31, 2020 and 2019, there was no ACL specifically allocated to TDRs. Impairment amounts identified are typically charged off against the allowance at the time a probable loss is determined. There were no charge-offs on TDRs for 2020, compared to $78,000 for the same period of 2019.</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82" w:right="4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and Delinquencies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provides trends in our nonperforming assets and delinquencies as of the dates presented.</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w w:val="98"/>
              </w:rPr>
              <w:t>September 30,</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83"/>
        </w:trPr>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2020</w:t>
            </w: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2020</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2020</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2019</w:t>
            </w:r>
          </w:p>
        </w:tc>
        <w:tc>
          <w:tcPr>
            <w:tcW w:w="40" w:type="dxa"/>
            <w:vAlign w:val="bottom"/>
          </w:tcPr>
          <w:p>
            <w:pPr>
              <w:spacing w:after="0"/>
              <w:rPr>
                <w:sz w:val="15"/>
                <w:szCs w:val="15"/>
                <w:color w:val="auto"/>
              </w:rPr>
            </w:pPr>
          </w:p>
        </w:tc>
      </w:tr>
      <w:tr>
        <w:trPr>
          <w:trHeight w:val="156"/>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4"/>
          </w:tcPr>
          <w:p>
            <w:pPr>
              <w:ind w:left="180"/>
              <w:spacing w:after="0" w:line="156"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310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Nonperforming loans (1):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3"/>
        </w:trPr>
        <w:tc>
          <w:tcPr>
            <w:tcW w:w="16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5"/>
                <w:szCs w:val="15"/>
                <w:color w:val="auto"/>
              </w:rPr>
              <w:t>Commercial real estate</w:t>
            </w:r>
          </w:p>
        </w:tc>
        <w:tc>
          <w:tcPr>
            <w:tcW w:w="14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CCEEFF"/>
            </w:tcBorders>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7,563</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6,481</w:t>
            </w:r>
          </w:p>
        </w:tc>
        <w:tc>
          <w:tcPr>
            <w:tcW w:w="52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2,628</w:t>
            </w:r>
          </w:p>
        </w:tc>
        <w:tc>
          <w:tcPr>
            <w:tcW w:w="26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top w:val="single" w:sz="8" w:color="CCEEFF"/>
            </w:tcBorders>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947</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724</w:t>
            </w:r>
          </w:p>
        </w:tc>
      </w:tr>
      <w:tr>
        <w:trPr>
          <w:trHeight w:val="162"/>
        </w:trPr>
        <w:tc>
          <w:tcPr>
            <w:tcW w:w="3100" w:type="dxa"/>
            <w:vAlign w:val="bottom"/>
            <w:gridSpan w:val="4"/>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Construction</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100" w:type="dxa"/>
            <w:vAlign w:val="bottom"/>
            <w:gridSpan w:val="4"/>
          </w:tcPr>
          <w:p>
            <w:pPr>
              <w:ind w:left="140"/>
              <w:spacing w:after="0" w:line="162" w:lineRule="exact"/>
              <w:rPr>
                <w:sz w:val="20"/>
                <w:szCs w:val="20"/>
                <w:color w:val="auto"/>
              </w:rPr>
            </w:pPr>
            <w:r>
              <w:rPr>
                <w:rFonts w:ascii="Times New Roman" w:cs="Times New Roman" w:eastAsia="Times New Roman" w:hAnsi="Times New Roman"/>
                <w:sz w:val="15"/>
                <w:szCs w:val="15"/>
                <w:color w:val="auto"/>
              </w:rPr>
              <w:t>SBA</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2,273</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1,724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1,598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2,748</w:t>
            </w:r>
          </w:p>
        </w:tc>
        <w:tc>
          <w:tcPr>
            <w:tcW w:w="12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2,032</w:t>
            </w:r>
          </w:p>
        </w:tc>
      </w:tr>
      <w:tr>
        <w:trPr>
          <w:trHeight w:val="162"/>
        </w:trPr>
        <w:tc>
          <w:tcPr>
            <w:tcW w:w="3100" w:type="dxa"/>
            <w:vAlign w:val="bottom"/>
            <w:gridSpan w:val="4"/>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Commercial and industrial</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3,129</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1,822</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1,222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1,703</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1,266</w:t>
            </w:r>
          </w:p>
        </w:tc>
      </w:tr>
      <w:tr>
        <w:trPr>
          <w:trHeight w:val="162"/>
        </w:trPr>
        <w:tc>
          <w:tcPr>
            <w:tcW w:w="3100" w:type="dxa"/>
            <w:vAlign w:val="bottom"/>
            <w:gridSpan w:val="4"/>
          </w:tcPr>
          <w:p>
            <w:pPr>
              <w:ind w:left="140"/>
              <w:spacing w:after="0" w:line="162" w:lineRule="exact"/>
              <w:rPr>
                <w:sz w:val="20"/>
                <w:szCs w:val="20"/>
                <w:color w:val="auto"/>
              </w:rPr>
            </w:pPr>
            <w:r>
              <w:rPr>
                <w:rFonts w:ascii="Times New Roman" w:cs="Times New Roman" w:eastAsia="Times New Roman" w:hAnsi="Times New Roman"/>
                <w:sz w:val="15"/>
                <w:szCs w:val="15"/>
                <w:color w:val="auto"/>
              </w:rPr>
              <w:t>Dairy &amp; livestock and agribusiness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785</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849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100" w:type="dxa"/>
            <w:vAlign w:val="bottom"/>
            <w:gridSpan w:val="4"/>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SFR mortgage</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430</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675</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1,080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864</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878</w:t>
            </w:r>
          </w:p>
        </w:tc>
      </w:tr>
      <w:tr>
        <w:trPr>
          <w:trHeight w:val="162"/>
        </w:trPr>
        <w:tc>
          <w:tcPr>
            <w:tcW w:w="3100" w:type="dxa"/>
            <w:vAlign w:val="bottom"/>
            <w:gridSpan w:val="4"/>
          </w:tcPr>
          <w:p>
            <w:pPr>
              <w:ind w:left="140"/>
              <w:spacing w:after="0" w:line="162" w:lineRule="exact"/>
              <w:rPr>
                <w:sz w:val="20"/>
                <w:szCs w:val="20"/>
                <w:color w:val="auto"/>
              </w:rPr>
            </w:pPr>
            <w:r>
              <w:rPr>
                <w:rFonts w:ascii="Times New Roman" w:cs="Times New Roman" w:eastAsia="Times New Roman" w:hAnsi="Times New Roman"/>
                <w:sz w:val="15"/>
                <w:szCs w:val="15"/>
                <w:color w:val="auto"/>
              </w:rPr>
              <w:t>Consumer and other loans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167</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289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166</w:t>
            </w:r>
          </w:p>
        </w:tc>
        <w:tc>
          <w:tcPr>
            <w:tcW w:w="12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377</w:t>
            </w:r>
          </w:p>
        </w:tc>
      </w:tr>
      <w:tr>
        <w:trPr>
          <w:trHeight w:val="27"/>
        </w:trPr>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3100" w:type="dxa"/>
            <w:vAlign w:val="bottom"/>
            <w:gridSpan w:val="4"/>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4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b w:val="1"/>
                <w:bCs w:val="1"/>
                <w:color w:val="auto"/>
              </w:rPr>
              <w:t>14,347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11,775</w:t>
            </w:r>
          </w:p>
        </w:tc>
        <w:tc>
          <w:tcPr>
            <w:tcW w:w="5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b w:val="1"/>
                <w:bCs w:val="1"/>
                <w:color w:val="auto"/>
              </w:rPr>
              <w:t>6,817</w:t>
            </w:r>
          </w:p>
        </w:tc>
        <w:tc>
          <w:tcPr>
            <w:tcW w:w="2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b w:val="1"/>
                <w:bCs w:val="1"/>
                <w:color w:val="auto"/>
              </w:rPr>
              <w:t>6,428</w:t>
            </w: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5,277</w:t>
            </w:r>
          </w:p>
        </w:tc>
      </w:tr>
      <w:tr>
        <w:trPr>
          <w:trHeight w:val="196"/>
        </w:trPr>
        <w:tc>
          <w:tcPr>
            <w:tcW w:w="3100" w:type="dxa"/>
            <w:vAlign w:val="bottom"/>
            <w:gridSpan w:val="4"/>
          </w:tcPr>
          <w:p>
            <w:pPr>
              <w:ind w:left="300"/>
              <w:spacing w:after="0"/>
              <w:rPr>
                <w:sz w:val="20"/>
                <w:szCs w:val="20"/>
                <w:color w:val="auto"/>
              </w:rPr>
            </w:pPr>
            <w:r>
              <w:rPr>
                <w:rFonts w:ascii="Times New Roman" w:cs="Times New Roman" w:eastAsia="Times New Roman" w:hAnsi="Times New Roman"/>
                <w:sz w:val="15"/>
                <w:szCs w:val="15"/>
                <w:b w:val="1"/>
                <w:bCs w:val="1"/>
                <w:color w:val="auto"/>
              </w:rPr>
              <w:t>% of Total loans</w:t>
            </w: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0.17%</w:t>
            </w:r>
          </w:p>
        </w:tc>
        <w:tc>
          <w:tcPr>
            <w:tcW w:w="5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0.14%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0.08%</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0.09%</w:t>
            </w:r>
          </w:p>
        </w:tc>
        <w:tc>
          <w:tcPr>
            <w:tcW w:w="5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0.07%</w:t>
            </w:r>
          </w:p>
        </w:tc>
        <w:tc>
          <w:tcPr>
            <w:tcW w:w="40" w:type="dxa"/>
            <w:vAlign w:val="bottom"/>
          </w:tcPr>
          <w:p>
            <w:pPr>
              <w:spacing w:after="0"/>
              <w:rPr>
                <w:sz w:val="17"/>
                <w:szCs w:val="17"/>
                <w:color w:val="auto"/>
              </w:rPr>
            </w:pPr>
          </w:p>
        </w:tc>
      </w:tr>
      <w:tr>
        <w:trPr>
          <w:trHeight w:val="81"/>
        </w:trPr>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48"/>
        </w:trPr>
        <w:tc>
          <w:tcPr>
            <w:tcW w:w="134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Past due 30-89 days:</w:t>
            </w:r>
          </w:p>
        </w:tc>
        <w:tc>
          <w:tcPr>
            <w:tcW w:w="1760" w:type="dxa"/>
            <w:vAlign w:val="bottom"/>
            <w:tcBorders>
              <w:bottom w:val="single" w:sz="8" w:color="CCEEFF"/>
            </w:tcBorders>
            <w:gridSpan w:val="2"/>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r>
      <w:tr>
        <w:trPr>
          <w:trHeight w:val="183"/>
        </w:trPr>
        <w:tc>
          <w:tcPr>
            <w:tcW w:w="310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Commercial real estate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210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r>
      <w:tr>
        <w:trPr>
          <w:trHeight w:val="162"/>
        </w:trPr>
        <w:tc>
          <w:tcPr>
            <w:tcW w:w="3100" w:type="dxa"/>
            <w:vAlign w:val="bottom"/>
            <w:gridSpan w:val="4"/>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Construction</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100" w:type="dxa"/>
            <w:vAlign w:val="bottom"/>
            <w:gridSpan w:val="4"/>
          </w:tcPr>
          <w:p>
            <w:pPr>
              <w:ind w:left="140"/>
              <w:spacing w:after="0" w:line="162" w:lineRule="exact"/>
              <w:rPr>
                <w:sz w:val="20"/>
                <w:szCs w:val="20"/>
                <w:color w:val="auto"/>
              </w:rPr>
            </w:pPr>
            <w:r>
              <w:rPr>
                <w:rFonts w:ascii="Times New Roman" w:cs="Times New Roman" w:eastAsia="Times New Roman" w:hAnsi="Times New Roman"/>
                <w:sz w:val="15"/>
                <w:szCs w:val="15"/>
                <w:color w:val="auto"/>
              </w:rPr>
              <w:t>SBA</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1,965</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214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3,086</w:t>
            </w:r>
          </w:p>
        </w:tc>
        <w:tc>
          <w:tcPr>
            <w:tcW w:w="12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1,402</w:t>
            </w:r>
          </w:p>
        </w:tc>
      </w:tr>
      <w:tr>
        <w:trPr>
          <w:trHeight w:val="162"/>
        </w:trPr>
        <w:tc>
          <w:tcPr>
            <w:tcW w:w="3100" w:type="dxa"/>
            <w:vAlign w:val="bottom"/>
            <w:gridSpan w:val="4"/>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Commercial and industrial</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1,101</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3,627</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630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665</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w:t>
            </w:r>
          </w:p>
        </w:tc>
      </w:tr>
      <w:tr>
        <w:trPr>
          <w:trHeight w:val="162"/>
        </w:trPr>
        <w:tc>
          <w:tcPr>
            <w:tcW w:w="3100" w:type="dxa"/>
            <w:vAlign w:val="bottom"/>
            <w:gridSpan w:val="4"/>
          </w:tcPr>
          <w:p>
            <w:pPr>
              <w:ind w:left="140"/>
              <w:spacing w:after="0" w:line="162" w:lineRule="exact"/>
              <w:rPr>
                <w:sz w:val="20"/>
                <w:szCs w:val="20"/>
                <w:color w:val="auto"/>
              </w:rPr>
            </w:pPr>
            <w:r>
              <w:rPr>
                <w:rFonts w:ascii="Times New Roman" w:cs="Times New Roman" w:eastAsia="Times New Roman" w:hAnsi="Times New Roman"/>
                <w:sz w:val="15"/>
                <w:szCs w:val="15"/>
                <w:color w:val="auto"/>
              </w:rPr>
              <w:t>Dairy &amp; livestock and agribusiness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882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166</w:t>
            </w:r>
          </w:p>
        </w:tc>
        <w:tc>
          <w:tcPr>
            <w:tcW w:w="12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100" w:type="dxa"/>
            <w:vAlign w:val="bottom"/>
            <w:gridSpan w:val="4"/>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SFR mortgage</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446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233</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249</w:t>
            </w:r>
          </w:p>
        </w:tc>
      </w:tr>
      <w:tr>
        <w:trPr>
          <w:trHeight w:val="162"/>
        </w:trPr>
        <w:tc>
          <w:tcPr>
            <w:tcW w:w="3100" w:type="dxa"/>
            <w:vAlign w:val="bottom"/>
            <w:gridSpan w:val="4"/>
          </w:tcPr>
          <w:p>
            <w:pPr>
              <w:ind w:left="140"/>
              <w:spacing w:after="0" w:line="162" w:lineRule="exact"/>
              <w:rPr>
                <w:sz w:val="20"/>
                <w:szCs w:val="20"/>
                <w:color w:val="auto"/>
              </w:rPr>
            </w:pPr>
            <w:r>
              <w:rPr>
                <w:rFonts w:ascii="Times New Roman" w:cs="Times New Roman" w:eastAsia="Times New Roman" w:hAnsi="Times New Roman"/>
                <w:sz w:val="15"/>
                <w:szCs w:val="15"/>
                <w:color w:val="auto"/>
              </w:rPr>
              <w:t>Consumer and other loans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413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27"/>
        </w:trPr>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3100" w:type="dxa"/>
            <w:vAlign w:val="bottom"/>
            <w:gridSpan w:val="4"/>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4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b w:val="1"/>
                <w:bCs w:val="1"/>
                <w:color w:val="auto"/>
              </w:rPr>
              <w:t>3,066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3,760</w:t>
            </w:r>
          </w:p>
        </w:tc>
        <w:tc>
          <w:tcPr>
            <w:tcW w:w="5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b w:val="1"/>
                <w:bCs w:val="1"/>
                <w:color w:val="auto"/>
              </w:rPr>
              <w:t>2,589</w:t>
            </w:r>
          </w:p>
        </w:tc>
        <w:tc>
          <w:tcPr>
            <w:tcW w:w="2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b w:val="1"/>
                <w:bCs w:val="1"/>
                <w:color w:val="auto"/>
              </w:rPr>
              <w:t>4,360</w:t>
            </w: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1,653</w:t>
            </w:r>
          </w:p>
        </w:tc>
      </w:tr>
      <w:tr>
        <w:trPr>
          <w:trHeight w:val="196"/>
        </w:trPr>
        <w:tc>
          <w:tcPr>
            <w:tcW w:w="3100" w:type="dxa"/>
            <w:vAlign w:val="bottom"/>
            <w:gridSpan w:val="4"/>
          </w:tcPr>
          <w:p>
            <w:pPr>
              <w:ind w:left="300"/>
              <w:spacing w:after="0"/>
              <w:rPr>
                <w:sz w:val="20"/>
                <w:szCs w:val="20"/>
                <w:color w:val="auto"/>
              </w:rPr>
            </w:pPr>
            <w:r>
              <w:rPr>
                <w:rFonts w:ascii="Times New Roman" w:cs="Times New Roman" w:eastAsia="Times New Roman" w:hAnsi="Times New Roman"/>
                <w:sz w:val="15"/>
                <w:szCs w:val="15"/>
                <w:b w:val="1"/>
                <w:bCs w:val="1"/>
                <w:color w:val="auto"/>
              </w:rPr>
              <w:t>% of Total loans</w:t>
            </w: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0.04%</w:t>
            </w:r>
          </w:p>
        </w:tc>
        <w:tc>
          <w:tcPr>
            <w:tcW w:w="5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0.04%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0.03%</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0.06%</w:t>
            </w:r>
          </w:p>
        </w:tc>
        <w:tc>
          <w:tcPr>
            <w:tcW w:w="5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0.02%</w:t>
            </w:r>
          </w:p>
        </w:tc>
        <w:tc>
          <w:tcPr>
            <w:tcW w:w="40" w:type="dxa"/>
            <w:vAlign w:val="bottom"/>
          </w:tcPr>
          <w:p>
            <w:pPr>
              <w:spacing w:after="0"/>
              <w:rPr>
                <w:sz w:val="17"/>
                <w:szCs w:val="17"/>
                <w:color w:val="auto"/>
              </w:rPr>
            </w:pPr>
          </w:p>
        </w:tc>
      </w:tr>
      <w:tr>
        <w:trPr>
          <w:trHeight w:val="81"/>
        </w:trPr>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48"/>
        </w:trPr>
        <w:tc>
          <w:tcPr>
            <w:tcW w:w="5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w w:val="97"/>
              </w:rPr>
              <w:t>OREO:</w:t>
            </w:r>
          </w:p>
        </w:tc>
        <w:tc>
          <w:tcPr>
            <w:tcW w:w="2600" w:type="dxa"/>
            <w:vAlign w:val="bottom"/>
            <w:tcBorders>
              <w:bottom w:val="single" w:sz="8" w:color="CCEEFF"/>
            </w:tcBorders>
            <w:gridSpan w:val="3"/>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r>
      <w:tr>
        <w:trPr>
          <w:trHeight w:val="183"/>
        </w:trPr>
        <w:tc>
          <w:tcPr>
            <w:tcW w:w="310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Commercial real estate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1,575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1,575</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2,275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2,275</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2,275</w:t>
            </w:r>
          </w:p>
        </w:tc>
      </w:tr>
      <w:tr>
        <w:trPr>
          <w:trHeight w:val="162"/>
        </w:trPr>
        <w:tc>
          <w:tcPr>
            <w:tcW w:w="3100" w:type="dxa"/>
            <w:vAlign w:val="bottom"/>
            <w:gridSpan w:val="4"/>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SBA</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797</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797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797</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797</w:t>
            </w:r>
          </w:p>
        </w:tc>
      </w:tr>
      <w:tr>
        <w:trPr>
          <w:trHeight w:val="162"/>
        </w:trPr>
        <w:tc>
          <w:tcPr>
            <w:tcW w:w="3100" w:type="dxa"/>
            <w:vAlign w:val="bottom"/>
            <w:gridSpan w:val="4"/>
          </w:tcPr>
          <w:p>
            <w:pPr>
              <w:ind w:left="140"/>
              <w:spacing w:after="0" w:line="162" w:lineRule="exact"/>
              <w:rPr>
                <w:sz w:val="20"/>
                <w:szCs w:val="20"/>
                <w:color w:val="auto"/>
              </w:rPr>
            </w:pPr>
            <w:r>
              <w:rPr>
                <w:rFonts w:ascii="Times New Roman" w:cs="Times New Roman" w:eastAsia="Times New Roman" w:hAnsi="Times New Roman"/>
                <w:sz w:val="15"/>
                <w:szCs w:val="15"/>
                <w:color w:val="auto"/>
              </w:rPr>
              <w:t>SFR mortgage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1,817</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1,817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1,817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1,817</w:t>
            </w:r>
          </w:p>
        </w:tc>
        <w:tc>
          <w:tcPr>
            <w:tcW w:w="12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1,817</w:t>
            </w:r>
          </w:p>
        </w:tc>
      </w:tr>
      <w:tr>
        <w:trPr>
          <w:trHeight w:val="27"/>
        </w:trPr>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3100" w:type="dxa"/>
            <w:vAlign w:val="bottom"/>
            <w:gridSpan w:val="4"/>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4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b w:val="1"/>
                <w:bCs w:val="1"/>
                <w:color w:val="auto"/>
              </w:rPr>
              <w:t>3,392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4,189</w:t>
            </w:r>
          </w:p>
        </w:tc>
        <w:tc>
          <w:tcPr>
            <w:tcW w:w="5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b w:val="1"/>
                <w:bCs w:val="1"/>
                <w:color w:val="auto"/>
              </w:rPr>
              <w:t>4,889</w:t>
            </w:r>
          </w:p>
        </w:tc>
        <w:tc>
          <w:tcPr>
            <w:tcW w:w="2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b w:val="1"/>
                <w:bCs w:val="1"/>
                <w:color w:val="auto"/>
              </w:rPr>
              <w:t>4,889</w:t>
            </w: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4,889</w:t>
            </w:r>
          </w:p>
        </w:tc>
      </w:tr>
      <w:tr>
        <w:trPr>
          <w:trHeight w:val="148"/>
        </w:trPr>
        <w:tc>
          <w:tcPr>
            <w:tcW w:w="3100" w:type="dxa"/>
            <w:vAlign w:val="bottom"/>
            <w:gridSpan w:val="4"/>
          </w:tcPr>
          <w:p>
            <w:pPr>
              <w:ind w:left="460"/>
              <w:spacing w:after="0" w:line="148" w:lineRule="exact"/>
              <w:rPr>
                <w:sz w:val="20"/>
                <w:szCs w:val="20"/>
                <w:color w:val="auto"/>
              </w:rPr>
            </w:pPr>
            <w:r>
              <w:rPr>
                <w:rFonts w:ascii="Times New Roman" w:cs="Times New Roman" w:eastAsia="Times New Roman" w:hAnsi="Times New Roman"/>
                <w:sz w:val="15"/>
                <w:szCs w:val="15"/>
                <w:b w:val="1"/>
                <w:bCs w:val="1"/>
                <w:color w:val="auto"/>
              </w:rPr>
              <w:t>Total nonperforming, past due, and</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3"/>
        </w:trPr>
        <w:tc>
          <w:tcPr>
            <w:tcW w:w="500" w:type="dxa"/>
            <w:vAlign w:val="bottom"/>
          </w:tcPr>
          <w:p>
            <w:pPr>
              <w:spacing w:after="0"/>
              <w:rPr>
                <w:sz w:val="15"/>
                <w:szCs w:val="15"/>
                <w:color w:val="auto"/>
              </w:rPr>
            </w:pPr>
          </w:p>
        </w:tc>
        <w:tc>
          <w:tcPr>
            <w:tcW w:w="260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OREO</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20,805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19,724</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14,295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15,677</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11,819</w:t>
            </w:r>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3100" w:type="dxa"/>
            <w:vAlign w:val="bottom"/>
            <w:gridSpan w:val="4"/>
            <w:shd w:val="clear" w:color="auto" w:fill="CCEEFF"/>
          </w:tcPr>
          <w:p>
            <w:pPr>
              <w:ind w:left="460"/>
              <w:spacing w:after="0" w:line="156" w:lineRule="exact"/>
              <w:rPr>
                <w:sz w:val="20"/>
                <w:szCs w:val="20"/>
                <w:color w:val="auto"/>
              </w:rPr>
            </w:pPr>
            <w:r>
              <w:rPr>
                <w:rFonts w:ascii="Times New Roman" w:cs="Times New Roman" w:eastAsia="Times New Roman" w:hAnsi="Times New Roman"/>
                <w:sz w:val="15"/>
                <w:szCs w:val="15"/>
                <w:b w:val="1"/>
                <w:bCs w:val="1"/>
                <w:color w:val="auto"/>
              </w:rPr>
              <w:t>% of Total loans</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580"/>
              <w:spacing w:after="0" w:line="156" w:lineRule="exact"/>
              <w:rPr>
                <w:sz w:val="20"/>
                <w:szCs w:val="20"/>
                <w:color w:val="auto"/>
              </w:rPr>
            </w:pPr>
            <w:r>
              <w:rPr>
                <w:rFonts w:ascii="Times New Roman" w:cs="Times New Roman" w:eastAsia="Times New Roman" w:hAnsi="Times New Roman"/>
                <w:sz w:val="15"/>
                <w:szCs w:val="15"/>
                <w:b w:val="1"/>
                <w:bCs w:val="1"/>
                <w:color w:val="auto"/>
              </w:rPr>
              <w:t>0.25%</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5"/>
                <w:szCs w:val="15"/>
                <w:b w:val="1"/>
                <w:bCs w:val="1"/>
                <w:color w:val="auto"/>
              </w:rPr>
              <w:t>0.23%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40"/>
              <w:spacing w:after="0" w:line="156" w:lineRule="exact"/>
              <w:rPr>
                <w:sz w:val="20"/>
                <w:szCs w:val="20"/>
                <w:color w:val="auto"/>
              </w:rPr>
            </w:pPr>
            <w:r>
              <w:rPr>
                <w:rFonts w:ascii="Times New Roman" w:cs="Times New Roman" w:eastAsia="Times New Roman" w:hAnsi="Times New Roman"/>
                <w:sz w:val="15"/>
                <w:szCs w:val="15"/>
                <w:b w:val="1"/>
                <w:bCs w:val="1"/>
                <w:color w:val="auto"/>
              </w:rPr>
              <w:t>0.17%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580"/>
              <w:spacing w:after="0" w:line="156" w:lineRule="exact"/>
              <w:rPr>
                <w:sz w:val="20"/>
                <w:szCs w:val="20"/>
                <w:color w:val="auto"/>
              </w:rPr>
            </w:pPr>
            <w:r>
              <w:rPr>
                <w:rFonts w:ascii="Times New Roman" w:cs="Times New Roman" w:eastAsia="Times New Roman" w:hAnsi="Times New Roman"/>
                <w:sz w:val="15"/>
                <w:szCs w:val="15"/>
                <w:b w:val="1"/>
                <w:bCs w:val="1"/>
                <w:color w:val="auto"/>
              </w:rPr>
              <w:t>0.21%</w:t>
            </w: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line="156" w:lineRule="exact"/>
              <w:rPr>
                <w:sz w:val="20"/>
                <w:szCs w:val="20"/>
                <w:color w:val="auto"/>
              </w:rPr>
            </w:pPr>
            <w:r>
              <w:rPr>
                <w:rFonts w:ascii="Times New Roman" w:cs="Times New Roman" w:eastAsia="Times New Roman" w:hAnsi="Times New Roman"/>
                <w:sz w:val="15"/>
                <w:szCs w:val="15"/>
                <w:b w:val="1"/>
                <w:bCs w:val="1"/>
                <w:color w:val="auto"/>
              </w:rPr>
              <w:t>0.16%</w:t>
            </w:r>
          </w:p>
        </w:tc>
      </w:tr>
    </w:tbl>
    <w:p>
      <w:pPr>
        <w:spacing w:after="0" w:line="202" w:lineRule="exact"/>
        <w:rPr>
          <w:sz w:val="20"/>
          <w:szCs w:val="20"/>
          <w:color w:val="auto"/>
        </w:rPr>
      </w:pPr>
    </w:p>
    <w:p>
      <w:pPr>
        <w:ind w:left="980" w:hanging="432"/>
        <w:spacing w:after="0"/>
        <w:tabs>
          <w:tab w:leader="none" w:pos="9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2020, nonperforming loans included $25,000 of commercial and industrial loans past due 90 days or more and still accruing interest.</w:t>
      </w:r>
    </w:p>
    <w:p>
      <w:pPr>
        <w:spacing w:after="0" w:line="203" w:lineRule="exact"/>
        <w:rPr>
          <w:sz w:val="20"/>
          <w:szCs w:val="20"/>
          <w:color w:val="auto"/>
        </w:rPr>
      </w:pPr>
    </w:p>
    <w:p>
      <w:pPr>
        <w:ind w:left="120" w:right="20" w:firstLine="551"/>
        <w:spacing w:after="0" w:line="255" w:lineRule="auto"/>
        <w:rPr>
          <w:sz w:val="20"/>
          <w:szCs w:val="20"/>
          <w:color w:val="auto"/>
        </w:rPr>
      </w:pPr>
      <w:r>
        <w:rPr>
          <w:rFonts w:ascii="Times New Roman" w:cs="Times New Roman" w:eastAsia="Times New Roman" w:hAnsi="Times New Roman"/>
          <w:sz w:val="18"/>
          <w:szCs w:val="18"/>
          <w:color w:val="auto"/>
        </w:rPr>
        <w:t>Nonperforming loans, defined as nonaccrual loans, nonperforming TDR loans and loans past due 90 days or more and still accruing interest, were $14.3 million at December 31, 2020, or 0.17% of total loans. Total nonperforming loans at December 31, 2020 included $11.0 million of nonperforming loans acquired from CB in the third quarter of 2018. This compares to nonperforming loans of $5.3 million, or 0.07% of total loans, at December 31, 2019. The $9.1 million increase in nonperforming loans was primarily due to increases of $6.8 million in nonperforming commercial real estate loans, $1.9 million in nonperforming commercial and industrial loans, $785,000 in nonperforming dairy &amp; livestock and agribusiness loans, and $241,000 in nonperforming SBA loans. This was partially offset by a $448,000 decrease in nonperforming SFR mortgage loans and a $210,000 decrease in nonperforming consumer and other loans.</w:t>
      </w:r>
    </w:p>
    <w:p>
      <w:pPr>
        <w:spacing w:after="0" w:line="148" w:lineRule="exact"/>
        <w:rPr>
          <w:sz w:val="20"/>
          <w:szCs w:val="20"/>
          <w:color w:val="auto"/>
        </w:rPr>
      </w:pPr>
    </w:p>
    <w:p>
      <w:pPr>
        <w:jc w:val="both"/>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At December 31, 2020, we had two OREO properties with a carrying value of $3.4 million, compared to four properties with a carrying value of $4.9 million at December 31, 2019. We reflected a $700,000 write-down of one OREO property in the third quarter of 2020. During 2020, we sold two OREO properties, realizing a net gain on sale of $365,000. There were no additions to OREO for the year ended December 31, 2020.</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82"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551"/>
        <w:spacing w:after="0" w:line="261" w:lineRule="auto"/>
        <w:rPr>
          <w:sz w:val="20"/>
          <w:szCs w:val="20"/>
          <w:color w:val="auto"/>
        </w:rPr>
      </w:pPr>
      <w:r>
        <w:rPr>
          <w:rFonts w:ascii="Times New Roman" w:cs="Times New Roman" w:eastAsia="Times New Roman" w:hAnsi="Times New Roman"/>
          <w:sz w:val="18"/>
          <w:szCs w:val="18"/>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8"/>
          <w:szCs w:val="18"/>
          <w:i w:val="1"/>
          <w:iCs w:val="1"/>
          <w:color w:val="auto"/>
        </w:rPr>
        <w:t>Risk Management – Credit Risk Management</w:t>
      </w:r>
      <w:r>
        <w:rPr>
          <w:rFonts w:ascii="Times New Roman" w:cs="Times New Roman" w:eastAsia="Times New Roman" w:hAnsi="Times New Roman"/>
          <w:sz w:val="18"/>
          <w:szCs w:val="18"/>
          <w:color w:val="auto"/>
        </w:rPr>
        <w:t>” included herein.</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89" w:lineRule="exact"/>
        <w:rPr>
          <w:sz w:val="20"/>
          <w:szCs w:val="20"/>
          <w:color w:val="auto"/>
        </w:rPr>
      </w:pPr>
    </w:p>
    <w:p>
      <w:pPr>
        <w:ind w:left="120" w:firstLine="551"/>
        <w:spacing w:after="0" w:line="255" w:lineRule="auto"/>
        <w:rPr>
          <w:sz w:val="20"/>
          <w:szCs w:val="20"/>
          <w:color w:val="auto"/>
        </w:rPr>
      </w:pPr>
      <w:r>
        <w:rPr>
          <w:rFonts w:ascii="Times New Roman" w:cs="Times New Roman" w:eastAsia="Times New Roman" w:hAnsi="Times New Roman"/>
          <w:sz w:val="18"/>
          <w:szCs w:val="18"/>
          <w:color w:val="auto"/>
        </w:rPr>
        <w:t xml:space="preserve">We adopted CECL on January 1, 2020, which replaces the “incurred loss” approach with an “expected loss” model over the life of the loan, as further described in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the unaudited condensed consolidated financial statements. The allowance for credit losses totaled $93.7 million as of December 31, 2020, compared to $68.7 million as of December 31, 2019. Our allowance for credit losses at December 31, 2020 was 1.12%, or 1.25% of total loans when excluding the $883.0 million in PPP loans. Upon implementation of CECL, a transition adjustment of $1.8 million was added to the beginning balance of the allowance and was increased by a $23.5 million credit loss provision for 2020 due to the severe economic disruption resulting from the COVID-19 pandemic. Net charge-offs were $308,000 for 2020. This compares to a $5.0 million loan loss provision and $47,000 in net recoveries for the same period of 2019.</w:t>
      </w:r>
    </w:p>
    <w:p>
      <w:pPr>
        <w:spacing w:after="0" w:line="148" w:lineRule="exact"/>
        <w:rPr>
          <w:sz w:val="20"/>
          <w:szCs w:val="20"/>
          <w:color w:val="auto"/>
        </w:rPr>
      </w:pPr>
    </w:p>
    <w:p>
      <w:pPr>
        <w:ind w:left="120" w:firstLine="551"/>
        <w:spacing w:after="0" w:line="252" w:lineRule="auto"/>
        <w:rPr>
          <w:sz w:val="20"/>
          <w:szCs w:val="20"/>
          <w:color w:val="auto"/>
        </w:rPr>
      </w:pPr>
      <w:r>
        <w:rPr>
          <w:rFonts w:ascii="Times New Roman" w:cs="Times New Roman" w:eastAsia="Times New Roman" w:hAnsi="Times New Roman"/>
          <w:sz w:val="18"/>
          <w:szCs w:val="18"/>
          <w:color w:val="auto"/>
        </w:rPr>
        <w:t>The allowance for credit losses as of December 31, 2020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Payment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69" w:lineRule="exact"/>
        <w:rPr>
          <w:sz w:val="20"/>
          <w:szCs w:val="20"/>
          <w:color w:val="auto"/>
        </w:rPr>
      </w:pPr>
    </w:p>
    <w:p>
      <w:pPr>
        <w:ind w:left="120" w:right="60" w:firstLine="551"/>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2020, the ACL increased by $25.0 million, including a $1.8 million increase from the adoption of CECL on January 1, 2020. The increase in the ACL was primarily due to $23.5 million in provision for credit losses recorded in the first half of 2020 resulting from the forecasted changes in macroeconomic variables related to the COVID-19 pandemic. Our economic forecast continues to be a blend of multiple forecasts produced by Moody’s, including Moody’s baseline forecast, as well as upside and downside forecasts. The baseline forecast continues to represent the largest weighting in our multi-weighted forecast scenario, while due to economic uncertainty a greater weighting was placed on the downside economic forecast, relative to the upside forecast. Our forecast assumes GDP will increase by 2.5% in 2021 and then grow by 3.6% in 2022 and 2023. The unemployment rate is forecasted to be 7.7% in 2021, before declining to 7.2% percent in 2022 and 5.7% in 2023. Management believes that the ACL was appropriate at December 31, 2020 and 2019. As there is a high degree of uncertainty around the epidemiological assumptions and impact of government responses to the pandemic that impact our economic forecast, no assurance can be given that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economic conditions that adversely affect the Company’s service areas or other circumstances will not be reflected in an increased allowance for credit losses in future periods.</w:t>
      </w:r>
    </w:p>
    <w:p>
      <w:pPr>
        <w:spacing w:after="0" w:line="135" w:lineRule="exact"/>
        <w:rPr>
          <w:sz w:val="20"/>
          <w:szCs w:val="20"/>
          <w:color w:val="auto"/>
        </w:rPr>
      </w:pPr>
    </w:p>
    <w:p>
      <w:pPr>
        <w:ind w:left="120" w:right="540" w:firstLine="551"/>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net charge-offs and recoveries by type and the resulting allowance for loan losses and recapture of provision for credit losses for the periods presented.</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5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4"/>
              <w:spacing w:after="0" w:line="169" w:lineRule="exact"/>
              <w:rPr>
                <w:sz w:val="20"/>
                <w:szCs w:val="20"/>
                <w:color w:val="auto"/>
              </w:rPr>
            </w:pPr>
            <w:r>
              <w:rPr>
                <w:rFonts w:ascii="Times New Roman" w:cs="Times New Roman" w:eastAsia="Times New Roman" w:hAnsi="Times New Roman"/>
                <w:sz w:val="15"/>
                <w:szCs w:val="15"/>
                <w:b w:val="1"/>
                <w:bCs w:val="1"/>
                <w:color w:val="auto"/>
              </w:rPr>
              <w:t>2020</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4"/>
              <w:spacing w:after="0" w:line="169" w:lineRule="exact"/>
              <w:rPr>
                <w:sz w:val="20"/>
                <w:szCs w:val="20"/>
                <w:color w:val="auto"/>
              </w:rPr>
            </w:pPr>
            <w:r>
              <w:rPr>
                <w:rFonts w:ascii="Times New Roman" w:cs="Times New Roman" w:eastAsia="Times New Roman" w:hAnsi="Times New Roman"/>
                <w:sz w:val="15"/>
                <w:szCs w:val="15"/>
                <w:b w:val="1"/>
                <w:bCs w:val="1"/>
                <w:color w:val="auto"/>
              </w:rPr>
              <w:t>2019</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rPr>
              <w:t>2018</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rPr>
              <w:t>2017</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5"/>
          </w:tcPr>
          <w:p>
            <w:pPr>
              <w:jc w:val="right"/>
              <w:ind w:right="124"/>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Allowance for credit losses at beginning of period</w:t>
            </w:r>
          </w:p>
        </w:tc>
        <w:tc>
          <w:tcPr>
            <w:tcW w:w="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68,660</w:t>
            </w:r>
          </w:p>
        </w:tc>
        <w:tc>
          <w:tcPr>
            <w:tcW w:w="16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63,613</w:t>
            </w:r>
          </w:p>
        </w:tc>
        <w:tc>
          <w:tcPr>
            <w:tcW w:w="3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59,585</w:t>
            </w:r>
          </w:p>
        </w:tc>
        <w:tc>
          <w:tcPr>
            <w:tcW w:w="220" w:type="dxa"/>
            <w:vAlign w:val="bottom"/>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61,540</w:t>
            </w:r>
          </w:p>
        </w:tc>
        <w:tc>
          <w:tcPr>
            <w:tcW w:w="16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59,156</w:t>
            </w:r>
          </w:p>
        </w:tc>
        <w:tc>
          <w:tcPr>
            <w:tcW w:w="0" w:type="dxa"/>
            <w:vAlign w:val="bottom"/>
          </w:tcPr>
          <w:p>
            <w:pPr>
              <w:spacing w:after="0"/>
              <w:rPr>
                <w:sz w:val="1"/>
                <w:szCs w:val="1"/>
                <w:color w:val="auto"/>
              </w:rPr>
            </w:pPr>
          </w:p>
        </w:tc>
      </w:tr>
      <w:tr>
        <w:trPr>
          <w:trHeight w:val="162"/>
        </w:trPr>
        <w:tc>
          <w:tcPr>
            <w:tcW w:w="57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Impact of adopting ASU 2016-13</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1,840</w:t>
            </w:r>
          </w:p>
        </w:tc>
        <w:tc>
          <w:tcPr>
            <w:tcW w:w="160" w:type="dxa"/>
            <w:vAlign w:val="bottom"/>
          </w:tcPr>
          <w:p>
            <w:pPr>
              <w:spacing w:after="0"/>
              <w:rPr>
                <w:sz w:val="14"/>
                <w:szCs w:val="14"/>
                <w:color w:val="auto"/>
              </w:rPr>
            </w:pPr>
          </w:p>
        </w:tc>
        <w:tc>
          <w:tcPr>
            <w:tcW w:w="68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Charge-offs: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Commercial real estate</w:t>
            </w:r>
          </w:p>
        </w:tc>
        <w:tc>
          <w:tcPr>
            <w:tcW w:w="140" w:type="dxa"/>
            <w:vAlign w:val="bottom"/>
          </w:tcPr>
          <w:p>
            <w:pPr>
              <w:spacing w:after="0"/>
              <w:rPr>
                <w:sz w:val="14"/>
                <w:szCs w:val="14"/>
                <w:color w:val="auto"/>
              </w:rPr>
            </w:pPr>
          </w:p>
        </w:tc>
        <w:tc>
          <w:tcPr>
            <w:tcW w:w="68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Construction</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SBA</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(362)</w:t>
            </w:r>
          </w:p>
        </w:tc>
        <w:tc>
          <w:tcPr>
            <w:tcW w:w="160" w:type="dxa"/>
            <w:vAlign w:val="bottom"/>
          </w:tcPr>
          <w:p>
            <w:pPr>
              <w:spacing w:after="0"/>
              <w:rPr>
                <w:sz w:val="14"/>
                <w:szCs w:val="14"/>
                <w:color w:val="auto"/>
              </w:rPr>
            </w:pPr>
          </w:p>
        </w:tc>
        <w:tc>
          <w:tcPr>
            <w:tcW w:w="7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(257)</w:t>
            </w:r>
          </w:p>
        </w:tc>
        <w:tc>
          <w:tcPr>
            <w:tcW w:w="220" w:type="dxa"/>
            <w:vAlign w:val="bottom"/>
          </w:tcPr>
          <w:p>
            <w:pPr>
              <w:spacing w:after="0"/>
              <w:rPr>
                <w:sz w:val="14"/>
                <w:szCs w:val="14"/>
                <w:color w:val="auto"/>
              </w:rPr>
            </w:pPr>
          </w:p>
        </w:tc>
        <w:tc>
          <w:tcPr>
            <w:tcW w:w="64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Commercial and industrial</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(195)</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(138)</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62"/>
        </w:trPr>
        <w:tc>
          <w:tcPr>
            <w:tcW w:w="57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Dairy &amp; livestock and agribusiness</w:t>
            </w:r>
          </w:p>
        </w:tc>
        <w:tc>
          <w:tcPr>
            <w:tcW w:w="140" w:type="dxa"/>
            <w:vAlign w:val="bottom"/>
          </w:tcPr>
          <w:p>
            <w:pPr>
              <w:spacing w:after="0"/>
              <w:rPr>
                <w:sz w:val="14"/>
                <w:szCs w:val="14"/>
                <w:color w:val="auto"/>
              </w:rPr>
            </w:pPr>
          </w:p>
        </w:tc>
        <w:tc>
          <w:tcPr>
            <w:tcW w:w="68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SFR mortgage</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162"/>
        </w:trPr>
        <w:tc>
          <w:tcPr>
            <w:tcW w:w="57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Consumer and other loans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(109)</w:t>
            </w:r>
          </w:p>
        </w:tc>
        <w:tc>
          <w:tcPr>
            <w:tcW w:w="160" w:type="dxa"/>
            <w:vAlign w:val="bottom"/>
          </w:tcPr>
          <w:p>
            <w:pPr>
              <w:spacing w:after="0"/>
              <w:rPr>
                <w:sz w:val="14"/>
                <w:szCs w:val="14"/>
                <w:color w:val="auto"/>
              </w:rPr>
            </w:pPr>
          </w:p>
        </w:tc>
        <w:tc>
          <w:tcPr>
            <w:tcW w:w="7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22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72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Total charge-offs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(666)</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(454)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(291)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(151)</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(238)</w:t>
            </w:r>
          </w:p>
        </w:tc>
        <w:tc>
          <w:tcPr>
            <w:tcW w:w="0" w:type="dxa"/>
            <w:vAlign w:val="bottom"/>
          </w:tcPr>
          <w:p>
            <w:pPr>
              <w:spacing w:after="0"/>
              <w:rPr>
                <w:sz w:val="1"/>
                <w:szCs w:val="1"/>
                <w:color w:val="auto"/>
              </w:rPr>
            </w:pPr>
          </w:p>
        </w:tc>
      </w:tr>
      <w:tr>
        <w:trPr>
          <w:trHeight w:val="169"/>
        </w:trPr>
        <w:tc>
          <w:tcPr>
            <w:tcW w:w="57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Recoveries: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Commercial real estate</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154</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792</w:t>
            </w:r>
          </w:p>
        </w:tc>
        <w:tc>
          <w:tcPr>
            <w:tcW w:w="0" w:type="dxa"/>
            <w:vAlign w:val="bottom"/>
          </w:tcPr>
          <w:p>
            <w:pPr>
              <w:spacing w:after="0"/>
              <w:rPr>
                <w:sz w:val="1"/>
                <w:szCs w:val="1"/>
                <w:color w:val="auto"/>
              </w:rPr>
            </w:pPr>
          </w:p>
        </w:tc>
      </w:tr>
      <w:tr>
        <w:trPr>
          <w:trHeight w:val="162"/>
        </w:trPr>
        <w:tc>
          <w:tcPr>
            <w:tcW w:w="57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Construction</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60" w:type="dxa"/>
            <w:vAlign w:val="bottom"/>
          </w:tcPr>
          <w:p>
            <w:pPr>
              <w:spacing w:after="0"/>
              <w:rPr>
                <w:sz w:val="14"/>
                <w:szCs w:val="14"/>
                <w:color w:val="auto"/>
              </w:rPr>
            </w:pPr>
          </w:p>
        </w:tc>
        <w:tc>
          <w:tcPr>
            <w:tcW w:w="7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2,506</w:t>
            </w:r>
          </w:p>
        </w:tc>
        <w:tc>
          <w:tcPr>
            <w:tcW w:w="22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6,036</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7,174</w:t>
            </w: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SBA</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72</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78</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162"/>
        </w:trPr>
        <w:tc>
          <w:tcPr>
            <w:tcW w:w="57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Commercial and industrial</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60" w:type="dxa"/>
            <w:vAlign w:val="bottom"/>
          </w:tcPr>
          <w:p>
            <w:pPr>
              <w:spacing w:after="0"/>
              <w:rPr>
                <w:sz w:val="14"/>
                <w:szCs w:val="14"/>
                <w:color w:val="auto"/>
              </w:rPr>
            </w:pPr>
          </w:p>
        </w:tc>
        <w:tc>
          <w:tcPr>
            <w:tcW w:w="7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255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82</w:t>
            </w:r>
          </w:p>
        </w:tc>
        <w:tc>
          <w:tcPr>
            <w:tcW w:w="22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118</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630</w:t>
            </w: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Dairy &amp; livestock and agribusiness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162"/>
        </w:trPr>
        <w:tc>
          <w:tcPr>
            <w:tcW w:w="57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SFR mortgage</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206</w:t>
            </w:r>
          </w:p>
        </w:tc>
        <w:tc>
          <w:tcPr>
            <w:tcW w:w="160" w:type="dxa"/>
            <w:vAlign w:val="bottom"/>
          </w:tcPr>
          <w:p>
            <w:pPr>
              <w:spacing w:after="0"/>
              <w:rPr>
                <w:sz w:val="14"/>
                <w:szCs w:val="14"/>
                <w:color w:val="auto"/>
              </w:rPr>
            </w:pPr>
          </w:p>
        </w:tc>
        <w:tc>
          <w:tcPr>
            <w:tcW w:w="7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196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51</w:t>
            </w:r>
          </w:p>
        </w:tc>
        <w:tc>
          <w:tcPr>
            <w:tcW w:w="22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212</w:t>
            </w:r>
          </w:p>
        </w:tc>
        <w:tc>
          <w:tcPr>
            <w:tcW w:w="160" w:type="dxa"/>
            <w:vAlign w:val="bottom"/>
          </w:tcPr>
          <w:p>
            <w:pPr>
              <w:spacing w:after="0"/>
              <w:rPr>
                <w:sz w:val="14"/>
                <w:szCs w:val="14"/>
                <w:color w:val="auto"/>
              </w:rPr>
            </w:pPr>
          </w:p>
        </w:tc>
        <w:tc>
          <w:tcPr>
            <w:tcW w:w="70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Consumer and other loans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59</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141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79</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0" w:type="dxa"/>
            <w:vAlign w:val="bottom"/>
          </w:tcPr>
          <w:p>
            <w:pPr>
              <w:spacing w:after="0"/>
              <w:rPr>
                <w:sz w:val="1"/>
                <w:szCs w:val="1"/>
                <w:color w:val="auto"/>
              </w:rPr>
            </w:pPr>
          </w:p>
        </w:tc>
      </w:tr>
      <w:tr>
        <w:trPr>
          <w:trHeight w:val="176"/>
        </w:trPr>
        <w:tc>
          <w:tcPr>
            <w:tcW w:w="5720" w:type="dxa"/>
            <w:vAlign w:val="bottom"/>
          </w:tcPr>
          <w:p>
            <w:pPr>
              <w:ind w:left="460"/>
              <w:spacing w:after="0" w:line="169" w:lineRule="exact"/>
              <w:rPr>
                <w:sz w:val="20"/>
                <w:szCs w:val="20"/>
                <w:color w:val="auto"/>
              </w:rPr>
            </w:pPr>
            <w:r>
              <w:rPr>
                <w:rFonts w:ascii="Times New Roman" w:cs="Times New Roman" w:eastAsia="Times New Roman" w:hAnsi="Times New Roman"/>
                <w:sz w:val="15"/>
                <w:szCs w:val="15"/>
                <w:color w:val="auto"/>
              </w:rPr>
              <w:t>Total recoveries</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358</w:t>
            </w:r>
          </w:p>
        </w:tc>
        <w:tc>
          <w:tcPr>
            <w:tcW w:w="2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501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2,819</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6,696</w:t>
            </w:r>
          </w:p>
        </w:tc>
        <w:tc>
          <w:tcPr>
            <w:tcW w:w="2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recoveries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(308)</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47</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2,528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6,545</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8,784</w:t>
            </w:r>
          </w:p>
        </w:tc>
        <w:tc>
          <w:tcPr>
            <w:tcW w:w="0" w:type="dxa"/>
            <w:vAlign w:val="bottom"/>
          </w:tcPr>
          <w:p>
            <w:pPr>
              <w:spacing w:after="0"/>
              <w:rPr>
                <w:sz w:val="1"/>
                <w:szCs w:val="1"/>
                <w:color w:val="auto"/>
              </w:rPr>
            </w:pPr>
          </w:p>
        </w:tc>
      </w:tr>
      <w:tr>
        <w:trPr>
          <w:trHeight w:val="162"/>
        </w:trPr>
        <w:tc>
          <w:tcPr>
            <w:tcW w:w="57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Provision for (recapture of) credit losses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23,500</w:t>
            </w:r>
          </w:p>
        </w:tc>
        <w:tc>
          <w:tcPr>
            <w:tcW w:w="160" w:type="dxa"/>
            <w:vAlign w:val="bottom"/>
          </w:tcPr>
          <w:p>
            <w:pPr>
              <w:spacing w:after="0"/>
              <w:rPr>
                <w:sz w:val="14"/>
                <w:szCs w:val="14"/>
                <w:color w:val="auto"/>
              </w:rPr>
            </w:pPr>
          </w:p>
        </w:tc>
        <w:tc>
          <w:tcPr>
            <w:tcW w:w="7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1,500</w:t>
            </w:r>
          </w:p>
        </w:tc>
        <w:tc>
          <w:tcPr>
            <w:tcW w:w="22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(8,500)</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(6,400)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Allowance for credit losses at end of period</w:t>
            </w:r>
          </w:p>
        </w:tc>
        <w:tc>
          <w:tcPr>
            <w:tcW w:w="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93,692</w:t>
            </w:r>
          </w:p>
        </w:tc>
        <w:tc>
          <w:tcPr>
            <w:tcW w:w="16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68,660</w:t>
            </w:r>
          </w:p>
        </w:tc>
        <w:tc>
          <w:tcPr>
            <w:tcW w:w="3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63,613</w:t>
            </w:r>
          </w:p>
        </w:tc>
        <w:tc>
          <w:tcPr>
            <w:tcW w:w="220" w:type="dxa"/>
            <w:vAlign w:val="bottom"/>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59,585</w:t>
            </w:r>
          </w:p>
        </w:tc>
        <w:tc>
          <w:tcPr>
            <w:tcW w:w="16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61,540</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Summary of reserve for unfunded loan commitments: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Reserve for unfunded loan commitments at beginning of period</w:t>
            </w:r>
          </w:p>
        </w:tc>
        <w:tc>
          <w:tcPr>
            <w:tcW w:w="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8,959</w:t>
            </w:r>
          </w:p>
        </w:tc>
        <w:tc>
          <w:tcPr>
            <w:tcW w:w="16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8,959</w:t>
            </w:r>
          </w:p>
        </w:tc>
        <w:tc>
          <w:tcPr>
            <w:tcW w:w="3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6,306</w:t>
            </w:r>
          </w:p>
        </w:tc>
        <w:tc>
          <w:tcPr>
            <w:tcW w:w="220" w:type="dxa"/>
            <w:vAlign w:val="bottom"/>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6,706</w:t>
            </w:r>
          </w:p>
        </w:tc>
        <w:tc>
          <w:tcPr>
            <w:tcW w:w="16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7,156</w:t>
            </w:r>
          </w:p>
        </w:tc>
        <w:tc>
          <w:tcPr>
            <w:tcW w:w="0" w:type="dxa"/>
            <w:vAlign w:val="bottom"/>
          </w:tcPr>
          <w:p>
            <w:pPr>
              <w:spacing w:after="0"/>
              <w:rPr>
                <w:sz w:val="1"/>
                <w:szCs w:val="1"/>
                <w:color w:val="auto"/>
              </w:rPr>
            </w:pPr>
          </w:p>
        </w:tc>
      </w:tr>
      <w:tr>
        <w:trPr>
          <w:trHeight w:val="162"/>
        </w:trPr>
        <w:tc>
          <w:tcPr>
            <w:tcW w:w="57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Impact of adopting ASU 2016-13</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41</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72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Estimated fair value of reserve for unfunded loan commitment assumed from</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Community Bank</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2,903</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Recapture of provision for unfunded loan commitments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(250)</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Reserve for unfunded loan commitments at end of period</w:t>
            </w:r>
          </w:p>
        </w:tc>
        <w:tc>
          <w:tcPr>
            <w:tcW w:w="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9,000</w:t>
            </w:r>
          </w:p>
        </w:tc>
        <w:tc>
          <w:tcPr>
            <w:tcW w:w="16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8,959</w:t>
            </w:r>
          </w:p>
        </w:tc>
        <w:tc>
          <w:tcPr>
            <w:tcW w:w="3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8,959</w:t>
            </w:r>
          </w:p>
        </w:tc>
        <w:tc>
          <w:tcPr>
            <w:tcW w:w="220" w:type="dxa"/>
            <w:vAlign w:val="bottom"/>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6,306</w:t>
            </w:r>
          </w:p>
        </w:tc>
        <w:tc>
          <w:tcPr>
            <w:tcW w:w="16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6,706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Reserve for unfunded loan commitments to total unfunded loan commitments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0.54%</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0.56%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0.51%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0.66%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0.76%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Amount of total loans at end of period (1)</w:t>
            </w:r>
          </w:p>
        </w:tc>
        <w:tc>
          <w:tcPr>
            <w:tcW w:w="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8,348,808</w:t>
            </w:r>
          </w:p>
        </w:tc>
        <w:tc>
          <w:tcPr>
            <w:tcW w:w="16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7,564,577</w:t>
            </w:r>
          </w:p>
        </w:tc>
        <w:tc>
          <w:tcPr>
            <w:tcW w:w="3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7,764,611</w:t>
            </w:r>
          </w:p>
        </w:tc>
        <w:tc>
          <w:tcPr>
            <w:tcW w:w="220" w:type="dxa"/>
            <w:vAlign w:val="bottom"/>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4,830,631</w:t>
            </w:r>
          </w:p>
        </w:tc>
        <w:tc>
          <w:tcPr>
            <w:tcW w:w="16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4,395,064</w:t>
            </w:r>
          </w:p>
        </w:tc>
        <w:tc>
          <w:tcPr>
            <w:tcW w:w="0" w:type="dxa"/>
            <w:vAlign w:val="bottom"/>
          </w:tcPr>
          <w:p>
            <w:pPr>
              <w:spacing w:after="0"/>
              <w:rPr>
                <w:sz w:val="1"/>
                <w:szCs w:val="1"/>
                <w:color w:val="auto"/>
              </w:rPr>
            </w:pPr>
          </w:p>
        </w:tc>
      </w:tr>
      <w:tr>
        <w:trPr>
          <w:trHeight w:val="198"/>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Average total loans outstanding (1)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8,066,483</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7,552,505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5,905,674</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4,623,244</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4,195,129</w:t>
            </w:r>
          </w:p>
        </w:tc>
        <w:tc>
          <w:tcPr>
            <w:tcW w:w="0" w:type="dxa"/>
            <w:vAlign w:val="bottom"/>
          </w:tcPr>
          <w:p>
            <w:pPr>
              <w:spacing w:after="0"/>
              <w:rPr>
                <w:sz w:val="1"/>
                <w:szCs w:val="1"/>
                <w:color w:val="auto"/>
              </w:rPr>
            </w:pPr>
          </w:p>
        </w:tc>
      </w:tr>
      <w:tr>
        <w:trPr>
          <w:trHeight w:val="72"/>
        </w:trPr>
        <w:tc>
          <w:tcPr>
            <w:tcW w:w="5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(charge-offs) recoveries to average total loans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-0.004%</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0.04%</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0.14%</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0.21%</w:t>
            </w:r>
          </w:p>
        </w:tc>
        <w:tc>
          <w:tcPr>
            <w:tcW w:w="0" w:type="dxa"/>
            <w:vAlign w:val="bottom"/>
          </w:tcPr>
          <w:p>
            <w:pPr>
              <w:spacing w:after="0"/>
              <w:rPr>
                <w:sz w:val="1"/>
                <w:szCs w:val="1"/>
                <w:color w:val="auto"/>
              </w:rPr>
            </w:pPr>
          </w:p>
        </w:tc>
      </w:tr>
      <w:tr>
        <w:trPr>
          <w:trHeight w:val="162"/>
        </w:trPr>
        <w:tc>
          <w:tcPr>
            <w:tcW w:w="57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(charge-offs) recoveries to total loans at end of period</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-0.004%</w:t>
            </w:r>
          </w:p>
        </w:tc>
        <w:tc>
          <w:tcPr>
            <w:tcW w:w="160" w:type="dxa"/>
            <w:vAlign w:val="bottom"/>
          </w:tcPr>
          <w:p>
            <w:pPr>
              <w:spacing w:after="0"/>
              <w:rPr>
                <w:sz w:val="14"/>
                <w:szCs w:val="14"/>
                <w:color w:val="auto"/>
              </w:rPr>
            </w:pPr>
          </w:p>
        </w:tc>
        <w:tc>
          <w:tcPr>
            <w:tcW w:w="7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0.03%</w:t>
            </w:r>
          </w:p>
        </w:tc>
        <w:tc>
          <w:tcPr>
            <w:tcW w:w="22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0.14%</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0.20%</w:t>
            </w: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Allowance for credit losses to average total loans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1.16%</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0.91%</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1.08%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1.29%</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162"/>
        </w:trPr>
        <w:tc>
          <w:tcPr>
            <w:tcW w:w="57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Allowance for credit losses to total loans at end of period</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1.12%</w:t>
            </w:r>
          </w:p>
        </w:tc>
        <w:tc>
          <w:tcPr>
            <w:tcW w:w="160" w:type="dxa"/>
            <w:vAlign w:val="bottom"/>
          </w:tcPr>
          <w:p>
            <w:pPr>
              <w:spacing w:after="0"/>
              <w:rPr>
                <w:sz w:val="14"/>
                <w:szCs w:val="14"/>
                <w:color w:val="auto"/>
              </w:rPr>
            </w:pPr>
          </w:p>
        </w:tc>
        <w:tc>
          <w:tcPr>
            <w:tcW w:w="7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0.91%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0.82%</w:t>
            </w:r>
          </w:p>
        </w:tc>
        <w:tc>
          <w:tcPr>
            <w:tcW w:w="22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1.23%</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1.40%</w:t>
            </w: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(charge-offs) recoveries to allowance for credit losses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-0.33%</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0.07%</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3.97%</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10.98%</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14.27%</w:t>
            </w:r>
          </w:p>
        </w:tc>
        <w:tc>
          <w:tcPr>
            <w:tcW w:w="0" w:type="dxa"/>
            <w:vAlign w:val="bottom"/>
          </w:tcPr>
          <w:p>
            <w:pPr>
              <w:spacing w:after="0"/>
              <w:rPr>
                <w:sz w:val="1"/>
                <w:szCs w:val="1"/>
                <w:color w:val="auto"/>
              </w:rPr>
            </w:pPr>
          </w:p>
        </w:tc>
      </w:tr>
      <w:tr>
        <w:trPr>
          <w:trHeight w:val="198"/>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Net (charge-offs) recoveries to provision for (recapture of) credit losses</w:t>
            </w: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-1.31%</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0.94%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168.53%</w:t>
            </w:r>
          </w:p>
        </w:tc>
        <w:tc>
          <w:tcPr>
            <w:tcW w:w="2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-77.00%</w:t>
            </w: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-137.25%</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80" w:hanging="432"/>
        <w:spacing w:after="0"/>
        <w:tabs>
          <w:tab w:leader="none" w:pos="9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deferred loan origination fees, costs and discounts.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82"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00" w:firstLine="551"/>
        <w:spacing w:after="0" w:line="282" w:lineRule="auto"/>
        <w:rPr>
          <w:sz w:val="20"/>
          <w:szCs w:val="20"/>
          <w:color w:val="auto"/>
        </w:rPr>
      </w:pPr>
      <w:r>
        <w:rPr>
          <w:rFonts w:ascii="Times New Roman" w:cs="Times New Roman" w:eastAsia="Times New Roman" w:hAnsi="Times New Roman"/>
          <w:sz w:val="18"/>
          <w:szCs w:val="18"/>
          <w:color w:val="auto"/>
        </w:rPr>
        <w:t>The ACL/Total Loan Coverage Ratio as of December 31, 2020 increased to 1.12%, compared to 0.93% as of January 1, 2020 due to the forecasted impact on the economy from the COVID-19 crisis.</w:t>
      </w:r>
    </w:p>
    <w:p>
      <w:pPr>
        <w:spacing w:after="0" w:line="135" w:lineRule="exact"/>
        <w:rPr>
          <w:sz w:val="20"/>
          <w:szCs w:val="20"/>
          <w:color w:val="auto"/>
        </w:rPr>
      </w:pPr>
    </w:p>
    <w:p>
      <w:pPr>
        <w:jc w:val="both"/>
        <w:ind w:left="120" w:right="20" w:firstLine="551"/>
        <w:spacing w:after="0" w:line="266" w:lineRule="auto"/>
        <w:rPr>
          <w:sz w:val="20"/>
          <w:szCs w:val="20"/>
          <w:color w:val="auto"/>
        </w:rPr>
      </w:pPr>
      <w:r>
        <w:rPr>
          <w:rFonts w:ascii="Times New Roman" w:cs="Times New Roman" w:eastAsia="Times New Roman" w:hAnsi="Times New Roman"/>
          <w:sz w:val="18"/>
          <w:szCs w:val="18"/>
          <w:color w:val="auto"/>
        </w:rPr>
        <w:t>At implementation of CECL on January 1, 2020, the reserve for unfunded loan commitments included a transition adjustment of $41,000 for our off-balance sheet credit exposures. The Bank’s ACL methodology also produced an allowance of $9.0 million for our off-balance sheet credit exposures, which was unchanged from the allowance at January 1, 2020.</w:t>
      </w:r>
    </w:p>
    <w:p>
      <w:pPr>
        <w:spacing w:after="0" w:line="135" w:lineRule="exact"/>
        <w:rPr>
          <w:sz w:val="20"/>
          <w:szCs w:val="20"/>
          <w:color w:val="auto"/>
        </w:rPr>
      </w:pPr>
    </w:p>
    <w:p>
      <w:pPr>
        <w:ind w:left="120" w:right="80" w:firstLine="551"/>
        <w:spacing w:after="0" w:line="261" w:lineRule="auto"/>
        <w:rPr>
          <w:sz w:val="20"/>
          <w:szCs w:val="20"/>
          <w:color w:val="auto"/>
        </w:rPr>
      </w:pPr>
      <w:r>
        <w:rPr>
          <w:rFonts w:ascii="Times New Roman" w:cs="Times New Roman" w:eastAsia="Times New Roman" w:hAnsi="Times New Roman"/>
          <w:sz w:val="18"/>
          <w:szCs w:val="18"/>
          <w:color w:val="auto"/>
        </w:rPr>
        <w:t>While we believe that the allowance at December 31, 2020 was appropriate to absorb losses from known or inherent risks in the portfolio, no assurance can be given that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39" w:lineRule="exact"/>
        <w:rPr>
          <w:sz w:val="20"/>
          <w:szCs w:val="20"/>
          <w:color w:val="auto"/>
        </w:rPr>
      </w:pPr>
    </w:p>
    <w:p>
      <w:pPr>
        <w:ind w:left="120" w:right="120" w:firstLine="551"/>
        <w:spacing w:after="0" w:line="261" w:lineRule="auto"/>
        <w:rPr>
          <w:sz w:val="20"/>
          <w:szCs w:val="20"/>
          <w:color w:val="auto"/>
        </w:rPr>
      </w:pPr>
      <w:r>
        <w:rPr>
          <w:rFonts w:ascii="Times New Roman" w:cs="Times New Roman" w:eastAsia="Times New Roman" w:hAnsi="Times New Roman"/>
          <w:sz w:val="18"/>
          <w:szCs w:val="18"/>
          <w:color w:val="auto"/>
        </w:rPr>
        <w:t>The following table provides a summary of the allocation of the allowance for credit losses for specific loan categories at the dates indicated for total loans. The allocations presented should not be interpreted as an indication that loans charged to the allowance for credit losses will occur in these amounts or proportions, or that the portion of the allowance allocated to each loan category, represents the total amount available for future losses that may occur within these categories.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Allowance for Credit Losses by Loan Type</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43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gridSpan w:val="2"/>
          </w:tcPr>
          <w:p>
            <w:pPr>
              <w:jc w:val="center"/>
              <w:ind w:left="391"/>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2018</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2017</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2016</w:t>
            </w: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08"/>
        </w:trPr>
        <w:tc>
          <w:tcPr>
            <w:tcW w:w="4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Loans</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Loans</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Loans</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Loans</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Loans</w:t>
            </w:r>
          </w:p>
        </w:tc>
        <w:tc>
          <w:tcPr>
            <w:tcW w:w="40" w:type="dxa"/>
            <w:vAlign w:val="bottom"/>
          </w:tcPr>
          <w:p>
            <w:pPr>
              <w:spacing w:after="0"/>
              <w:rPr>
                <w:sz w:val="9"/>
                <w:szCs w:val="9"/>
                <w:color w:val="auto"/>
              </w:rPr>
            </w:pPr>
          </w:p>
        </w:tc>
      </w:tr>
      <w:tr>
        <w:trPr>
          <w:trHeight w:val="135"/>
        </w:trPr>
        <w:tc>
          <w:tcPr>
            <w:tcW w:w="4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as % of</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 % of</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as % of</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 % of</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as % of</w:t>
            </w:r>
          </w:p>
        </w:tc>
      </w:tr>
      <w:tr>
        <w:trPr>
          <w:trHeight w:val="135"/>
        </w:trPr>
        <w:tc>
          <w:tcPr>
            <w:tcW w:w="436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Allowance</w:t>
            </w:r>
          </w:p>
        </w:tc>
        <w:tc>
          <w:tcPr>
            <w:tcW w:w="6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Allowance</w:t>
            </w:r>
          </w:p>
        </w:tc>
        <w:tc>
          <w:tcPr>
            <w:tcW w:w="6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Allowance</w:t>
            </w:r>
          </w:p>
        </w:tc>
        <w:tc>
          <w:tcPr>
            <w:tcW w:w="6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Allowance</w:t>
            </w:r>
          </w:p>
        </w:tc>
        <w:tc>
          <w:tcPr>
            <w:tcW w:w="6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Allowance</w:t>
            </w:r>
          </w:p>
        </w:tc>
        <w:tc>
          <w:tcPr>
            <w:tcW w:w="5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55"/>
        </w:trPr>
        <w:tc>
          <w:tcPr>
            <w:tcW w:w="436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Loans</w:t>
            </w:r>
          </w:p>
        </w:tc>
      </w:tr>
      <w:tr>
        <w:trPr>
          <w:trHeight w:val="128"/>
        </w:trPr>
        <w:tc>
          <w:tcPr>
            <w:tcW w:w="43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4"/>
          </w:tcPr>
          <w:p>
            <w:pPr>
              <w:jc w:val="center"/>
              <w:ind w:right="140"/>
              <w:spacing w:after="0" w:line="129" w:lineRule="exact"/>
              <w:rPr>
                <w:sz w:val="20"/>
                <w:szCs w:val="20"/>
                <w:color w:val="auto"/>
              </w:rPr>
            </w:pPr>
            <w:r>
              <w:rPr>
                <w:rFonts w:ascii="Times New Roman" w:cs="Times New Roman" w:eastAsia="Times New Roman" w:hAnsi="Times New Roman"/>
                <w:sz w:val="13"/>
                <w:szCs w:val="13"/>
                <w:i w:val="1"/>
                <w:iCs w:val="1"/>
                <w:color w:val="auto"/>
                <w:w w:val="96"/>
              </w:rPr>
              <w:t>(Dollars in thousands)</w:t>
            </w: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$ 75,439</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65.9%</w:t>
            </w: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$ 48,629</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$ 44,934</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$ 41,722</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$ 37,443</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66.6%</w:t>
            </w:r>
          </w:p>
        </w:tc>
      </w:tr>
      <w:tr>
        <w:trPr>
          <w:trHeight w:val="149"/>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1,934</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858</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984</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w:t>
            </w: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SBA</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2,992</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1,453</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1,062</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w:t>
            </w:r>
          </w:p>
        </w:tc>
      </w:tr>
      <w:tr>
        <w:trPr>
          <w:trHeight w:val="149"/>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SBA - PPP</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7,142</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8,880</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7,520</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7,280</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8,154</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11.0%</w:t>
            </w:r>
          </w:p>
        </w:tc>
      </w:tr>
      <w:tr>
        <w:trPr>
          <w:trHeight w:val="149"/>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Dairy &amp; livestock and agribusiness</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3,949</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5,255</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5,215</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4,647</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8,541</w:t>
            </w: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w:t>
            </w:r>
          </w:p>
        </w:tc>
      </w:tr>
      <w:tr>
        <w:trPr>
          <w:trHeight w:val="148"/>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Municipal lease finance receivables</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851</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w:t>
            </w: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SFR mortgage</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2,339</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2,196</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2,112</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2,287</w:t>
            </w: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w:t>
            </w:r>
          </w:p>
        </w:tc>
      </w:tr>
      <w:tr>
        <w:trPr>
          <w:trHeight w:val="149"/>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 and other loans</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1,795</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726</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988</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w:t>
            </w: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PCI loans</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w:t>
            </w:r>
          </w:p>
        </w:tc>
      </w:tr>
      <w:tr>
        <w:trPr>
          <w:trHeight w:val="27"/>
        </w:trPr>
        <w:tc>
          <w:tcPr>
            <w:tcW w:w="4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8"/>
        </w:trPr>
        <w:tc>
          <w:tcPr>
            <w:tcW w:w="43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$ 93,692</w:t>
            </w: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$ 68,660</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$ 63,613</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$ 59,585</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$ 61,540</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100.0%</w:t>
            </w:r>
          </w:p>
        </w:tc>
      </w:tr>
      <w:tr>
        <w:trPr>
          <w:trHeight w:val="20"/>
        </w:trPr>
        <w:tc>
          <w:tcPr>
            <w:tcW w:w="4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primary source of funds to support earning assets (loans and investments) is the generation of deposits.</w:t>
      </w:r>
    </w:p>
    <w:p>
      <w:pPr>
        <w:spacing w:after="0" w:line="198" w:lineRule="exact"/>
        <w:rPr>
          <w:sz w:val="20"/>
          <w:szCs w:val="20"/>
          <w:color w:val="auto"/>
        </w:rPr>
      </w:pPr>
    </w:p>
    <w:p>
      <w:pPr>
        <w:ind w:left="120" w:right="660" w:firstLine="551"/>
        <w:spacing w:after="0" w:line="282" w:lineRule="auto"/>
        <w:rPr>
          <w:sz w:val="20"/>
          <w:szCs w:val="20"/>
          <w:color w:val="auto"/>
        </w:rPr>
      </w:pPr>
      <w:r>
        <w:rPr>
          <w:rFonts w:ascii="Times New Roman" w:cs="Times New Roman" w:eastAsia="Times New Roman" w:hAnsi="Times New Roman"/>
          <w:sz w:val="18"/>
          <w:szCs w:val="18"/>
          <w:color w:val="auto"/>
        </w:rPr>
        <w:t>Total deposits were $11.74 billion at December 31, 2020. This represented an increase of $3.03 billion, or 34.83%, over total deposits of $8.70 billion at December 31, 2019.</w:t>
      </w:r>
    </w:p>
    <w:p>
      <w:pPr>
        <w:spacing w:after="0" w:line="121" w:lineRule="exact"/>
        <w:rPr>
          <w:sz w:val="20"/>
          <w:szCs w:val="20"/>
          <w:color w:val="auto"/>
        </w:rPr>
      </w:pPr>
    </w:p>
    <w:p>
      <w:pPr>
        <w:jc w:val="both"/>
        <w:ind w:left="120" w:right="160" w:firstLine="551"/>
        <w:spacing w:after="0" w:line="282" w:lineRule="auto"/>
        <w:rPr>
          <w:sz w:val="20"/>
          <w:szCs w:val="20"/>
          <w:color w:val="auto"/>
        </w:rPr>
      </w:pPr>
      <w:r>
        <w:rPr>
          <w:rFonts w:ascii="Times New Roman" w:cs="Times New Roman" w:eastAsia="Times New Roman" w:hAnsi="Times New Roman"/>
          <w:sz w:val="18"/>
          <w:szCs w:val="18"/>
          <w:color w:val="auto"/>
        </w:rPr>
        <w:t>The average balance of deposits by category and the average effective interest rates paid on deposits is summarized for the periods presented in the table below.</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4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80" w:type="dxa"/>
            <w:vAlign w:val="bottom"/>
          </w:tcPr>
          <w:p>
            <w:pPr>
              <w:spacing w:after="0"/>
              <w:rPr>
                <w:sz w:val="19"/>
                <w:szCs w:val="19"/>
                <w:color w:val="auto"/>
              </w:rPr>
            </w:pPr>
          </w:p>
        </w:tc>
      </w:tr>
      <w:tr>
        <w:trPr>
          <w:trHeight w:val="196"/>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3"/>
          </w:tcPr>
          <w:p>
            <w:pPr>
              <w:jc w:val="center"/>
              <w:ind w:right="43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6,281,989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5,177,035</w:t>
            </w:r>
          </w:p>
        </w:tc>
        <w:tc>
          <w:tcPr>
            <w:tcW w:w="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4,449,110</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checking</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478,458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452,437</w:t>
            </w:r>
          </w:p>
        </w:tc>
        <w:tc>
          <w:tcPr>
            <w:tcW w:w="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438,112</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2,599,553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2,197,194</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0.54%</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1,834,540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Savings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452,595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399,154</w:t>
            </w:r>
          </w:p>
        </w:tc>
        <w:tc>
          <w:tcPr>
            <w:tcW w:w="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384,008</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487,221</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453,031</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0.57%</w:t>
            </w:r>
          </w:p>
        </w:tc>
      </w:tr>
      <w:tr>
        <w:trPr>
          <w:trHeight w:val="27"/>
        </w:trPr>
        <w:tc>
          <w:tcPr>
            <w:tcW w:w="4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deposits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10,258,557</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8,713,041</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7,558,801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120" w:right="140" w:firstLine="551"/>
        <w:spacing w:after="0" w:line="261" w:lineRule="auto"/>
        <w:rPr>
          <w:sz w:val="20"/>
          <w:szCs w:val="20"/>
          <w:color w:val="auto"/>
        </w:rPr>
      </w:pPr>
      <w:r>
        <w:rPr>
          <w:rFonts w:ascii="Times New Roman" w:cs="Times New Roman" w:eastAsia="Times New Roman" w:hAnsi="Times New Roman"/>
          <w:sz w:val="18"/>
          <w:szCs w:val="18"/>
          <w:color w:val="auto"/>
        </w:rPr>
        <w:t>The amount of noninterest-bearing deposits in relation to total deposits is an integral element in our strategy of seeking to achieve a low cost of funds. Average noninterest-bearing deposits totaled $6.28 billion for 2020, representing an increase of $1.10 billion, or 21.34%, from average demand deposits of $5.18 billion for 2019. Average noninterest-bearing deposits represented 61.24% of total average deposits for 2020, compared to 59.42% of total average deposits for 2019.</w:t>
      </w:r>
    </w:p>
    <w:p>
      <w:pPr>
        <w:spacing w:after="0" w:line="153" w:lineRule="exact"/>
        <w:rPr>
          <w:sz w:val="20"/>
          <w:szCs w:val="20"/>
          <w:color w:val="auto"/>
        </w:rPr>
      </w:pPr>
    </w:p>
    <w:p>
      <w:pPr>
        <w:ind w:left="120" w:right="920" w:firstLine="551"/>
        <w:spacing w:after="0" w:line="282" w:lineRule="auto"/>
        <w:rPr>
          <w:sz w:val="20"/>
          <w:szCs w:val="20"/>
          <w:color w:val="auto"/>
        </w:rPr>
      </w:pPr>
      <w:r>
        <w:rPr>
          <w:rFonts w:ascii="Times New Roman" w:cs="Times New Roman" w:eastAsia="Times New Roman" w:hAnsi="Times New Roman"/>
          <w:sz w:val="18"/>
          <w:szCs w:val="18"/>
          <w:color w:val="auto"/>
        </w:rPr>
        <w:t>Average savings deposits, which include savings, interest-bearing demand, and money market accounts, were $3.53 billion for 2020, representing an increase of $481.8 million, or 15.80%, from average savings deposits of $3.05 billion for 2019.</w:t>
      </w:r>
    </w:p>
    <w:p>
      <w:pPr>
        <w:spacing w:after="0" w:line="121" w:lineRule="exact"/>
        <w:rPr>
          <w:sz w:val="20"/>
          <w:szCs w:val="20"/>
          <w:color w:val="auto"/>
        </w:rPr>
      </w:pPr>
    </w:p>
    <w:p>
      <w:pPr>
        <w:ind w:left="120" w:right="240" w:firstLine="551"/>
        <w:spacing w:after="0" w:line="282" w:lineRule="auto"/>
        <w:rPr>
          <w:sz w:val="20"/>
          <w:szCs w:val="20"/>
          <w:color w:val="auto"/>
        </w:rPr>
      </w:pPr>
      <w:r>
        <w:rPr>
          <w:rFonts w:ascii="Times New Roman" w:cs="Times New Roman" w:eastAsia="Times New Roman" w:hAnsi="Times New Roman"/>
          <w:sz w:val="18"/>
          <w:szCs w:val="18"/>
          <w:color w:val="auto"/>
        </w:rPr>
        <w:t>Average time deposits totaled $446.0 million for 2020, representing a decrease of $41.3 million, or 8.47%, from total average time deposits of $487.2 million for 2019.</w:t>
      </w:r>
    </w:p>
    <w:p>
      <w:pPr>
        <w:spacing w:after="0" w:line="121" w:lineRule="exact"/>
        <w:rPr>
          <w:sz w:val="20"/>
          <w:szCs w:val="20"/>
          <w:color w:val="auto"/>
        </w:rPr>
      </w:pPr>
    </w:p>
    <w:p>
      <w:pPr>
        <w:ind w:left="120" w:right="58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remaining maturities of large denomination ($250,000 or more) time deposits, including public funds, at December 31, 2020.</w:t>
      </w: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Maturity Distribution of Large Denomination Time Deposits</w:t>
      </w:r>
    </w:p>
    <w:p>
      <w:pPr>
        <w:spacing w:after="0" w:line="240" w:lineRule="exact"/>
        <w:rPr>
          <w:sz w:val="20"/>
          <w:szCs w:val="20"/>
          <w:color w:val="auto"/>
        </w:rPr>
      </w:pPr>
    </w:p>
    <w:tbl>
      <w:tblPr>
        <w:tblLayout w:type="fixed"/>
        <w:tblInd w:w="1880" w:type="dxa"/>
        <w:tblCellMar>
          <w:top w:w="0" w:type="dxa"/>
          <w:left w:w="0" w:type="dxa"/>
          <w:bottom w:w="0" w:type="dxa"/>
          <w:right w:w="0" w:type="dxa"/>
        </w:tblCellMar>
      </w:tblPr>
      <w:tr>
        <w:trPr>
          <w:trHeight w:val="183"/>
        </w:trPr>
        <w:tc>
          <w:tcPr>
            <w:tcW w:w="5980" w:type="dxa"/>
            <w:vAlign w:val="bottom"/>
          </w:tcPr>
          <w:p>
            <w:pPr>
              <w:spacing w:after="0"/>
              <w:rPr>
                <w:sz w:val="15"/>
                <w:szCs w:val="15"/>
                <w:color w:val="auto"/>
              </w:rPr>
            </w:pPr>
          </w:p>
        </w:tc>
        <w:tc>
          <w:tcPr>
            <w:tcW w:w="150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December 31, 2020</w:t>
            </w:r>
          </w:p>
        </w:tc>
      </w:tr>
      <w:tr>
        <w:trPr>
          <w:trHeight w:val="196"/>
        </w:trPr>
        <w:tc>
          <w:tcPr>
            <w:tcW w:w="5980" w:type="dxa"/>
            <w:vAlign w:val="bottom"/>
          </w:tcPr>
          <w:p>
            <w:pPr>
              <w:spacing w:after="0"/>
              <w:rPr>
                <w:sz w:val="17"/>
                <w:szCs w:val="17"/>
                <w:color w:val="auto"/>
              </w:rPr>
            </w:pPr>
          </w:p>
        </w:tc>
        <w:tc>
          <w:tcPr>
            <w:tcW w:w="1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 w:type="dxa"/>
            <w:vAlign w:val="bottom"/>
          </w:tcPr>
          <w:p>
            <w:pPr>
              <w:spacing w:after="0"/>
              <w:rPr>
                <w:sz w:val="17"/>
                <w:szCs w:val="17"/>
                <w:color w:val="auto"/>
              </w:rPr>
            </w:pPr>
          </w:p>
        </w:tc>
      </w:tr>
      <w:tr>
        <w:trPr>
          <w:trHeight w:val="162"/>
        </w:trPr>
        <w:tc>
          <w:tcPr>
            <w:tcW w:w="59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3 months or less</w:t>
            </w:r>
          </w:p>
        </w:tc>
        <w:tc>
          <w:tcPr>
            <w:tcW w:w="560" w:type="dxa"/>
            <w:vAlign w:val="bottom"/>
            <w:shd w:val="clear" w:color="auto" w:fill="CCEEFF"/>
          </w:tcPr>
          <w:p>
            <w:pPr>
              <w:jc w:val="right"/>
              <w:ind w:right="342"/>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35,384</w:t>
            </w:r>
          </w:p>
        </w:tc>
      </w:tr>
      <w:tr>
        <w:trPr>
          <w:trHeight w:val="162"/>
        </w:trPr>
        <w:tc>
          <w:tcPr>
            <w:tcW w:w="59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Over 3 months through 6 months</w:t>
            </w:r>
          </w:p>
        </w:tc>
        <w:tc>
          <w:tcPr>
            <w:tcW w:w="560" w:type="dxa"/>
            <w:vAlign w:val="bottom"/>
          </w:tcPr>
          <w:p>
            <w:pPr>
              <w:spacing w:after="0"/>
              <w:rPr>
                <w:sz w:val="14"/>
                <w:szCs w:val="14"/>
                <w:color w:val="auto"/>
              </w:rPr>
            </w:pPr>
          </w:p>
        </w:tc>
        <w:tc>
          <w:tcPr>
            <w:tcW w:w="9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15,277</w:t>
            </w:r>
          </w:p>
        </w:tc>
      </w:tr>
      <w:tr>
        <w:trPr>
          <w:trHeight w:val="162"/>
        </w:trPr>
        <w:tc>
          <w:tcPr>
            <w:tcW w:w="59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Over 6 months through 12 months</w:t>
            </w:r>
          </w:p>
        </w:tc>
        <w:tc>
          <w:tcPr>
            <w:tcW w:w="5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27,685</w:t>
            </w:r>
          </w:p>
        </w:tc>
      </w:tr>
      <w:tr>
        <w:trPr>
          <w:trHeight w:val="162"/>
        </w:trPr>
        <w:tc>
          <w:tcPr>
            <w:tcW w:w="59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Over 12 months</w:t>
            </w:r>
          </w:p>
        </w:tc>
        <w:tc>
          <w:tcPr>
            <w:tcW w:w="560" w:type="dxa"/>
            <w:vAlign w:val="bottom"/>
          </w:tcPr>
          <w:p>
            <w:pPr>
              <w:spacing w:after="0"/>
              <w:rPr>
                <w:sz w:val="14"/>
                <w:szCs w:val="14"/>
                <w:color w:val="auto"/>
              </w:rPr>
            </w:pPr>
          </w:p>
        </w:tc>
        <w:tc>
          <w:tcPr>
            <w:tcW w:w="9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21,954</w:t>
            </w:r>
          </w:p>
        </w:tc>
      </w:tr>
      <w:tr>
        <w:trPr>
          <w:trHeight w:val="27"/>
        </w:trPr>
        <w:tc>
          <w:tcPr>
            <w:tcW w:w="59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5980" w:type="dxa"/>
            <w:vAlign w:val="bottom"/>
            <w:shd w:val="clear" w:color="auto" w:fill="CCEEFF"/>
          </w:tcPr>
          <w:p>
            <w:pPr>
              <w:ind w:left="76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560" w:type="dxa"/>
            <w:vAlign w:val="bottom"/>
            <w:shd w:val="clear" w:color="auto" w:fill="CCEEFF"/>
          </w:tcPr>
          <w:p>
            <w:pPr>
              <w:jc w:val="right"/>
              <w:ind w:right="342"/>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100,300</w:t>
            </w:r>
          </w:p>
        </w:tc>
      </w:tr>
      <w:tr>
        <w:trPr>
          <w:trHeight w:val="20"/>
        </w:trPr>
        <w:tc>
          <w:tcPr>
            <w:tcW w:w="5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right="380" w:firstLine="551"/>
        <w:spacing w:after="0" w:line="282" w:lineRule="auto"/>
        <w:rPr>
          <w:sz w:val="20"/>
          <w:szCs w:val="20"/>
          <w:color w:val="auto"/>
        </w:rPr>
      </w:pPr>
      <w:r>
        <w:rPr>
          <w:rFonts w:ascii="Times New Roman" w:cs="Times New Roman" w:eastAsia="Times New Roman" w:hAnsi="Times New Roman"/>
          <w:sz w:val="18"/>
          <w:szCs w:val="18"/>
          <w:color w:val="auto"/>
        </w:rPr>
        <w:t>Time deposits totaled $401.7 million at December 31, 2020, representing a decrease of $44.6 million, or 10.00%, from total time deposits of $446.3 million for December 31, 2019.</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82"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21" w:lineRule="exact"/>
        <w:rPr>
          <w:sz w:val="20"/>
          <w:szCs w:val="20"/>
          <w:color w:val="auto"/>
        </w:rPr>
      </w:pPr>
    </w:p>
    <w:p>
      <w:pPr>
        <w:ind w:left="120" w:right="22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our term FHLB advances, repurchase agreements and other borrowings outstanding for the periods presented.</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420" w:type="dxa"/>
            <w:vAlign w:val="bottom"/>
          </w:tcPr>
          <w:p>
            <w:pPr>
              <w:spacing w:after="0"/>
              <w:rPr>
                <w:sz w:val="13"/>
                <w:szCs w:val="13"/>
                <w:color w:val="auto"/>
              </w:rPr>
            </w:pPr>
          </w:p>
        </w:tc>
        <w:tc>
          <w:tcPr>
            <w:tcW w:w="1980" w:type="dxa"/>
            <w:vAlign w:val="bottom"/>
            <w:vMerge w:val="restart"/>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FHLB Advances</w:t>
            </w:r>
          </w:p>
        </w:tc>
        <w:tc>
          <w:tcPr>
            <w:tcW w:w="160" w:type="dxa"/>
            <w:vAlign w:val="bottom"/>
          </w:tcPr>
          <w:p>
            <w:pPr>
              <w:spacing w:after="0"/>
              <w:rPr>
                <w:sz w:val="13"/>
                <w:szCs w:val="13"/>
                <w:color w:val="auto"/>
              </w:rPr>
            </w:pPr>
          </w:p>
        </w:tc>
        <w:tc>
          <w:tcPr>
            <w:tcW w:w="142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3"/>
                <w:szCs w:val="13"/>
                <w:color w:val="auto"/>
              </w:rPr>
            </w:pPr>
          </w:p>
        </w:tc>
        <w:tc>
          <w:tcPr>
            <w:tcW w:w="8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42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December 31, 2020</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 outstanding</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439,406</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5,000</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444,406</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Weighted-average interest rate</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0.10%</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 2020</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Highest amount at month-end</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501,881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10,000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511,881</w:t>
            </w:r>
          </w:p>
        </w:tc>
        <w:tc>
          <w:tcPr>
            <w:tcW w:w="0" w:type="dxa"/>
            <w:vAlign w:val="bottom"/>
          </w:tcPr>
          <w:p>
            <w:pPr>
              <w:spacing w:after="0"/>
              <w:rPr>
                <w:sz w:val="1"/>
                <w:szCs w:val="1"/>
                <w:color w:val="auto"/>
              </w:rPr>
            </w:pPr>
          </w:p>
        </w:tc>
      </w:tr>
      <w:tr>
        <w:trPr>
          <w:trHeight w:val="203"/>
        </w:trPr>
        <w:tc>
          <w:tcPr>
            <w:tcW w:w="3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Daily-average amount outstanding</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479,956</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5,674</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485,630</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Weighted-average interest rate</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0.24%</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0.04%</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0.23%</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At December 31, 2019</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Amount outstanding</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428,659</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428,659</w:t>
            </w:r>
          </w:p>
        </w:tc>
        <w:tc>
          <w:tcPr>
            <w:tcW w:w="0" w:type="dxa"/>
            <w:vAlign w:val="bottom"/>
          </w:tcPr>
          <w:p>
            <w:pPr>
              <w:spacing w:after="0"/>
              <w:rPr>
                <w:sz w:val="1"/>
                <w:szCs w:val="1"/>
                <w:color w:val="auto"/>
              </w:rPr>
            </w:pPr>
          </w:p>
        </w:tc>
      </w:tr>
      <w:tr>
        <w:trPr>
          <w:trHeight w:val="203"/>
        </w:trPr>
        <w:tc>
          <w:tcPr>
            <w:tcW w:w="3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Weighted-average interest rate</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0.44%</w:t>
            </w:r>
          </w:p>
        </w:tc>
        <w:tc>
          <w:tcPr>
            <w:tcW w:w="420" w:type="dxa"/>
            <w:vAlign w:val="bottom"/>
          </w:tcPr>
          <w:p>
            <w:pPr>
              <w:spacing w:after="0"/>
              <w:rPr>
                <w:sz w:val="17"/>
                <w:szCs w:val="17"/>
                <w:color w:val="auto"/>
              </w:rPr>
            </w:pPr>
          </w:p>
        </w:tc>
        <w:tc>
          <w:tcPr>
            <w:tcW w:w="19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42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0.44%</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 2019</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Highest amount at month-end</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547,730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295,000</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842,730</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Daily-average amount outstanding</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435,317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76,873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512,190</w:t>
            </w:r>
          </w:p>
        </w:tc>
        <w:tc>
          <w:tcPr>
            <w:tcW w:w="0" w:type="dxa"/>
            <w:vAlign w:val="bottom"/>
          </w:tcPr>
          <w:p>
            <w:pPr>
              <w:spacing w:after="0"/>
              <w:rPr>
                <w:sz w:val="1"/>
                <w:szCs w:val="1"/>
                <w:color w:val="auto"/>
              </w:rPr>
            </w:pPr>
          </w:p>
        </w:tc>
      </w:tr>
      <w:tr>
        <w:trPr>
          <w:trHeight w:val="203"/>
        </w:trPr>
        <w:tc>
          <w:tcPr>
            <w:tcW w:w="3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Weighted-average interest rate</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0.47%</w:t>
            </w:r>
          </w:p>
        </w:tc>
        <w:tc>
          <w:tcPr>
            <w:tcW w:w="420" w:type="dxa"/>
            <w:vAlign w:val="bottom"/>
          </w:tcPr>
          <w:p>
            <w:pPr>
              <w:spacing w:after="0"/>
              <w:rPr>
                <w:sz w:val="17"/>
                <w:szCs w:val="17"/>
                <w:color w:val="auto"/>
              </w:rPr>
            </w:pPr>
          </w:p>
        </w:tc>
        <w:tc>
          <w:tcPr>
            <w:tcW w:w="19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42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2.51%</w:t>
            </w:r>
          </w:p>
        </w:tc>
        <w:tc>
          <w:tcPr>
            <w:tcW w:w="4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0.77%</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December 31, 2018</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 outstanding</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442,255</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280,000</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722,255</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Weighted-average interest rate</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0.39%</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2.53%</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 2018</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Highest amount at month-end</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556,356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280,000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836,356</w:t>
            </w:r>
          </w:p>
        </w:tc>
        <w:tc>
          <w:tcPr>
            <w:tcW w:w="0" w:type="dxa"/>
            <w:vAlign w:val="bottom"/>
          </w:tcPr>
          <w:p>
            <w:pPr>
              <w:spacing w:after="0"/>
              <w:rPr>
                <w:sz w:val="1"/>
                <w:szCs w:val="1"/>
                <w:color w:val="auto"/>
              </w:rPr>
            </w:pPr>
          </w:p>
        </w:tc>
      </w:tr>
      <w:tr>
        <w:trPr>
          <w:trHeight w:val="203"/>
        </w:trPr>
        <w:tc>
          <w:tcPr>
            <w:tcW w:w="3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Daily-average amount outstanding</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439,658</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2,446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31,648</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473,752</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Weighted-average interest rate</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0.31%</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1.59%</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2.09%</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0.44%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20" w:right="180" w:firstLine="551"/>
        <w:spacing w:after="0" w:line="282" w:lineRule="auto"/>
        <w:rPr>
          <w:sz w:val="20"/>
          <w:szCs w:val="20"/>
          <w:color w:val="auto"/>
        </w:rPr>
      </w:pPr>
      <w:r>
        <w:rPr>
          <w:rFonts w:ascii="Times New Roman" w:cs="Times New Roman" w:eastAsia="Times New Roman" w:hAnsi="Times New Roman"/>
          <w:sz w:val="18"/>
          <w:szCs w:val="18"/>
          <w:color w:val="auto"/>
        </w:rPr>
        <w:t>At December 31, 2020, our borrowings included $439.4 million of repurchase agreements and $5.0 million in other short-term borrowing at an interest rate of 0%. At December 31, 2019, our borrowings included $428.7 million in repurchase agreements.</w:t>
      </w:r>
    </w:p>
    <w:p>
      <w:pPr>
        <w:spacing w:after="0" w:line="121" w:lineRule="exact"/>
        <w:rPr>
          <w:sz w:val="20"/>
          <w:szCs w:val="20"/>
          <w:color w:val="auto"/>
        </w:rPr>
      </w:pPr>
    </w:p>
    <w:p>
      <w:pPr>
        <w:ind w:left="120" w:right="200" w:firstLine="551"/>
        <w:spacing w:after="0" w:line="256" w:lineRule="auto"/>
        <w:rPr>
          <w:sz w:val="20"/>
          <w:szCs w:val="20"/>
          <w:color w:val="auto"/>
        </w:rPr>
      </w:pPr>
      <w:r>
        <w:rPr>
          <w:rFonts w:ascii="Times New Roman" w:cs="Times New Roman" w:eastAsia="Times New Roman" w:hAnsi="Times New Roman"/>
          <w:sz w:val="18"/>
          <w:szCs w:val="18"/>
          <w:color w:val="auto"/>
        </w:rPr>
        <w:t>We offer a repurchase agreement product to our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2020, total funds borrowed under these agreements were $439.4 million with a weighted average interest rate of 0.10%, compared to $428.7 million with a weighted average rate of 0.44% as of December 31, 2019.</w:t>
      </w:r>
    </w:p>
    <w:p>
      <w:pPr>
        <w:spacing w:after="0" w:line="147" w:lineRule="exact"/>
        <w:rPr>
          <w:sz w:val="20"/>
          <w:szCs w:val="20"/>
          <w:color w:val="auto"/>
        </w:rPr>
      </w:pPr>
    </w:p>
    <w:p>
      <w:pPr>
        <w:ind w:left="120" w:right="780" w:firstLine="551"/>
        <w:spacing w:after="0" w:line="282" w:lineRule="auto"/>
        <w:rPr>
          <w:sz w:val="20"/>
          <w:szCs w:val="20"/>
          <w:color w:val="auto"/>
        </w:rPr>
      </w:pPr>
      <w:r>
        <w:rPr>
          <w:rFonts w:ascii="Times New Roman" w:cs="Times New Roman" w:eastAsia="Times New Roman" w:hAnsi="Times New Roman"/>
          <w:sz w:val="18"/>
          <w:szCs w:val="18"/>
          <w:color w:val="auto"/>
        </w:rPr>
        <w:t>At December 31, 2020, we had $5.0 million in short-term borrowings that were interest free advances from the FHLB, compared to no borrowings at December 31. 2019.</w:t>
      </w:r>
    </w:p>
    <w:p>
      <w:pPr>
        <w:spacing w:after="0" w:line="135" w:lineRule="exact"/>
        <w:rPr>
          <w:sz w:val="20"/>
          <w:szCs w:val="20"/>
          <w:color w:val="auto"/>
        </w:rPr>
      </w:pPr>
    </w:p>
    <w:p>
      <w:pPr>
        <w:ind w:left="120" w:right="160" w:firstLine="551"/>
        <w:spacing w:after="0" w:line="266" w:lineRule="auto"/>
        <w:rPr>
          <w:sz w:val="20"/>
          <w:szCs w:val="20"/>
          <w:color w:val="auto"/>
        </w:rPr>
      </w:pPr>
      <w:r>
        <w:rPr>
          <w:rFonts w:ascii="Times New Roman" w:cs="Times New Roman" w:eastAsia="Times New Roman" w:hAnsi="Times New Roman"/>
          <w:sz w:val="18"/>
          <w:szCs w:val="18"/>
          <w:color w:val="auto"/>
        </w:rPr>
        <w:t xml:space="preserve">At December 31, 2020, our junior subordinated debentures of $25.8 million represent the amounts that are due from the Company to CVB Statutory Trust III. The debentures have the same maturity as the Trust Preferred Securities. These debentures bear interest at three-month LIBOR plus 1.38% and mature in 2036. Refer to Note 13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of the notes to the consolidated financial statements for a more detailed discussion.</w:t>
      </w:r>
    </w:p>
    <w:p>
      <w:pPr>
        <w:spacing w:after="0" w:line="135" w:lineRule="exact"/>
        <w:rPr>
          <w:sz w:val="20"/>
          <w:szCs w:val="20"/>
          <w:color w:val="auto"/>
        </w:rPr>
      </w:pPr>
    </w:p>
    <w:p>
      <w:pPr>
        <w:ind w:left="120" w:right="640" w:firstLine="551"/>
        <w:spacing w:after="0" w:line="282" w:lineRule="auto"/>
        <w:rPr>
          <w:sz w:val="20"/>
          <w:szCs w:val="20"/>
          <w:color w:val="auto"/>
        </w:rPr>
      </w:pPr>
      <w:r>
        <w:rPr>
          <w:rFonts w:ascii="Times New Roman" w:cs="Times New Roman" w:eastAsia="Times New Roman" w:hAnsi="Times New Roman"/>
          <w:sz w:val="18"/>
          <w:szCs w:val="18"/>
          <w:color w:val="auto"/>
        </w:rPr>
        <w:t>At December 31, 2020, $6.07 billion of loans and $1.81 billion of investment securities, at carrying value, were pledged to secure public deposits, short and long-term borrowings, and for other purposes as required or permitted by law.</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82"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Aggregate Contractual Obligations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aggregate contractual obligations as of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5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Maturity by Period</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5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Over</w:t>
            </w:r>
          </w:p>
        </w:tc>
        <w:tc>
          <w:tcPr>
            <w:tcW w:w="60" w:type="dxa"/>
            <w:vAlign w:val="bottom"/>
          </w:tcPr>
          <w:p>
            <w:pPr>
              <w:spacing w:after="0"/>
              <w:rPr>
                <w:sz w:val="19"/>
                <w:szCs w:val="19"/>
                <w:color w:val="auto"/>
              </w:rPr>
            </w:pPr>
          </w:p>
        </w:tc>
      </w:tr>
      <w:tr>
        <w:trPr>
          <w:trHeight w:val="355"/>
        </w:trPr>
        <w:tc>
          <w:tcPr>
            <w:tcW w:w="5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Less Than</w:t>
            </w: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One Year</w:t>
            </w: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w w:val="94"/>
              </w:rPr>
              <w:t>Four Years</w:t>
            </w:r>
          </w:p>
        </w:tc>
        <w:tc>
          <w:tcPr>
            <w:tcW w:w="180" w:type="dxa"/>
            <w:vAlign w:val="bottom"/>
          </w:tcPr>
          <w:p>
            <w:pPr>
              <w:spacing w:after="0"/>
              <w:rPr>
                <w:sz w:val="24"/>
                <w:szCs w:val="24"/>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Five</w:t>
            </w:r>
          </w:p>
        </w:tc>
      </w:tr>
      <w:tr>
        <w:trPr>
          <w:trHeight w:val="203"/>
        </w:trPr>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One</w:t>
            </w: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Through</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Through</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7"/>
        </w:trPr>
        <w:tc>
          <w:tcPr>
            <w:tcW w:w="504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Three Years</w:t>
            </w: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w w:val="97"/>
              </w:rPr>
              <w:t>Five Years</w:t>
            </w:r>
          </w:p>
        </w:tc>
        <w:tc>
          <w:tcPr>
            <w:tcW w:w="180" w:type="dxa"/>
            <w:vAlign w:val="bottom"/>
          </w:tcPr>
          <w:p>
            <w:pPr>
              <w:spacing w:after="0"/>
              <w:rPr>
                <w:sz w:val="19"/>
                <w:szCs w:val="1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Years</w:t>
            </w:r>
          </w:p>
        </w:tc>
      </w:tr>
      <w:tr>
        <w:trPr>
          <w:trHeight w:val="197"/>
        </w:trPr>
        <w:tc>
          <w:tcPr>
            <w:tcW w:w="50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7"/>
                <w:szCs w:val="17"/>
                <w:i w:val="1"/>
                <w:iCs w:val="1"/>
                <w:color w:val="auto"/>
              </w:rPr>
              <w:t>(Dollars in thousands)</w:t>
            </w: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Deposits (1)</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$ 11,736,501</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$ 11,697,276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29,251</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9,362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612</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Customer repurchase agreements (1)</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439,406</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439,406</w:t>
            </w:r>
          </w:p>
        </w:tc>
        <w:tc>
          <w:tcPr>
            <w:tcW w:w="20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Junior subordinated debentures (1)</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25,774</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25,774</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Deferred compensation</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22,142</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689</w:t>
            </w:r>
          </w:p>
        </w:tc>
        <w:tc>
          <w:tcPr>
            <w:tcW w:w="20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1,098</w:t>
            </w:r>
          </w:p>
        </w:tc>
        <w:tc>
          <w:tcPr>
            <w:tcW w:w="24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619</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19,736</w:t>
            </w: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22,382</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6,800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9,389</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4,472</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1,721</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Affordable housing investment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34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1,026</w:t>
            </w:r>
          </w:p>
        </w:tc>
        <w:tc>
          <w:tcPr>
            <w:tcW w:w="20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864</w:t>
            </w:r>
          </w:p>
        </w:tc>
        <w:tc>
          <w:tcPr>
            <w:tcW w:w="24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r>
      <w:tr>
        <w:trPr>
          <w:trHeight w:val="27"/>
        </w:trPr>
        <w:tc>
          <w:tcPr>
            <w:tcW w:w="50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$ 12,248,155</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$ 12,145,197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40,602</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14,500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47,856</w:t>
            </w:r>
          </w:p>
        </w:tc>
      </w:tr>
      <w:tr>
        <w:trPr>
          <w:trHeight w:val="20"/>
        </w:trPr>
        <w:tc>
          <w:tcPr>
            <w:tcW w:w="5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ind w:left="1420" w:hanging="427"/>
        <w:spacing w:after="0"/>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accrued interest.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Deposits represent noninterest-bearing, money market, savings, NOW, certificates of deposits, brokered and all other deposits held by the Bank.</w:t>
      </w:r>
    </w:p>
    <w:p>
      <w:pPr>
        <w:spacing w:after="0" w:line="185" w:lineRule="exact"/>
        <w:rPr>
          <w:sz w:val="20"/>
          <w:szCs w:val="20"/>
          <w:color w:val="auto"/>
        </w:rPr>
      </w:pPr>
    </w:p>
    <w:p>
      <w:pPr>
        <w:ind w:left="120" w:right="60" w:firstLine="551"/>
        <w:spacing w:after="0" w:line="282" w:lineRule="auto"/>
        <w:rPr>
          <w:sz w:val="20"/>
          <w:szCs w:val="20"/>
          <w:color w:val="auto"/>
        </w:rPr>
      </w:pPr>
      <w:r>
        <w:rPr>
          <w:rFonts w:ascii="Times New Roman" w:cs="Times New Roman" w:eastAsia="Times New Roman" w:hAnsi="Times New Roman"/>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21" w:lineRule="exact"/>
        <w:rPr>
          <w:sz w:val="20"/>
          <w:szCs w:val="20"/>
          <w:color w:val="auto"/>
        </w:rPr>
      </w:pPr>
    </w:p>
    <w:p>
      <w:pPr>
        <w:ind w:left="120" w:right="100" w:firstLine="551"/>
        <w:spacing w:after="0" w:line="282" w:lineRule="auto"/>
        <w:rPr>
          <w:sz w:val="20"/>
          <w:szCs w:val="20"/>
          <w:color w:val="auto"/>
        </w:rPr>
      </w:pPr>
      <w:r>
        <w:rPr>
          <w:rFonts w:ascii="Times New Roman" w:cs="Times New Roman" w:eastAsia="Times New Roman" w:hAnsi="Times New Roman"/>
          <w:sz w:val="18"/>
          <w:szCs w:val="18"/>
          <w:color w:val="auto"/>
        </w:rPr>
        <w:t>Junior subordinated debentures represent the amounts that are due from the Company to CVB Statutory Trust III. The debentures have the same maturity as the Trust Preferred Securities. These debentures bear interest at three-month LIBOR plus 1.38% and mature in 2036.</w:t>
      </w:r>
    </w:p>
    <w:p>
      <w:pPr>
        <w:spacing w:after="0" w:line="135" w:lineRule="exact"/>
        <w:rPr>
          <w:sz w:val="20"/>
          <w:szCs w:val="20"/>
          <w:color w:val="auto"/>
        </w:rPr>
      </w:pPr>
    </w:p>
    <w:p>
      <w:pPr>
        <w:ind w:left="120" w:right="760" w:firstLine="551"/>
        <w:spacing w:after="0" w:line="282" w:lineRule="auto"/>
        <w:rPr>
          <w:sz w:val="20"/>
          <w:szCs w:val="20"/>
          <w:color w:val="auto"/>
        </w:rPr>
      </w:pPr>
      <w:r>
        <w:rPr>
          <w:rFonts w:ascii="Times New Roman" w:cs="Times New Roman" w:eastAsia="Times New Roman" w:hAnsi="Times New Roman"/>
          <w:sz w:val="18"/>
          <w:szCs w:val="18"/>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19" w:lineRule="exact"/>
        <w:rPr>
          <w:sz w:val="20"/>
          <w:szCs w:val="20"/>
          <w:color w:val="auto"/>
        </w:rPr>
      </w:pPr>
    </w:p>
    <w:p>
      <w:pPr>
        <w:ind w:left="120" w:right="40" w:firstLine="551"/>
        <w:spacing w:after="0" w:line="284" w:lineRule="auto"/>
        <w:rPr>
          <w:sz w:val="20"/>
          <w:szCs w:val="20"/>
          <w:color w:val="auto"/>
        </w:rPr>
      </w:pPr>
      <w:r>
        <w:rPr>
          <w:rFonts w:ascii="Times New Roman" w:cs="Times New Roman" w:eastAsia="Times New Roman" w:hAnsi="Times New Roman"/>
          <w:sz w:val="18"/>
          <w:szCs w:val="18"/>
          <w:color w:val="auto"/>
        </w:rPr>
        <w:t xml:space="preserve">Operating leases represent the total minimum lease payments due under non-cancelable operating leases. Refer to Note 23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the consolidated financial statements for a more detailed discussion about leases.</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82"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off-balance sheet items at December 31, 2020.</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Maturity by Period</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One Year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
              <w:spacing w:after="0" w:line="118" w:lineRule="exact"/>
              <w:rPr>
                <w:sz w:val="20"/>
                <w:szCs w:val="20"/>
                <w:color w:val="auto"/>
              </w:rPr>
            </w:pPr>
            <w:r>
              <w:rPr>
                <w:rFonts w:ascii="Times New Roman" w:cs="Times New Roman" w:eastAsia="Times New Roman" w:hAnsi="Times New Roman"/>
                <w:sz w:val="13"/>
                <w:szCs w:val="13"/>
                <w:b w:val="1"/>
                <w:bCs w:val="1"/>
                <w:color w:val="auto"/>
              </w:rPr>
              <w:t>Four Years</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center"/>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6"/>
              </w:rPr>
              <w:t>One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to Three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to Five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Five</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ind w:left="12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 to extend credit: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Commercial real estate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309,966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91,502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136,108</w:t>
            </w:r>
          </w:p>
        </w:tc>
        <w:tc>
          <w:tcPr>
            <w:tcW w:w="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31,601</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Construction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89,987</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62,964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27,023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SBA</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SBA - PPP</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928,767</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623,258</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193,791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105,925</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Dairy &amp; livestock and agribusiness (1)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140,926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109,823</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31,049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2"/>
        </w:trPr>
        <w:tc>
          <w:tcPr>
            <w:tcW w:w="5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SFR Mortgage</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3,286</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131,604</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13,389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105,802</w:t>
            </w:r>
          </w:p>
        </w:tc>
        <w:tc>
          <w:tcPr>
            <w:tcW w:w="0" w:type="dxa"/>
            <w:vAlign w:val="bottom"/>
          </w:tcPr>
          <w:p>
            <w:pPr>
              <w:spacing w:after="0"/>
              <w:rPr>
                <w:sz w:val="1"/>
                <w:szCs w:val="1"/>
                <w:color w:val="auto"/>
              </w:rPr>
            </w:pPr>
          </w:p>
        </w:tc>
      </w:tr>
      <w:tr>
        <w:trPr>
          <w:trHeight w:val="207"/>
        </w:trPr>
        <w:tc>
          <w:tcPr>
            <w:tcW w:w="5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commitment to extend credit</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1,605,293</w:t>
            </w:r>
          </w:p>
        </w:tc>
        <w:tc>
          <w:tcPr>
            <w:tcW w:w="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856,068</w:t>
            </w: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357,254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145,087</w:t>
            </w: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246,884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Obligations under letters of credit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53,164</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1,658,457</w:t>
            </w:r>
          </w:p>
        </w:tc>
        <w:tc>
          <w:tcPr>
            <w:tcW w:w="3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907,924</w:t>
            </w: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358,562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145,087</w:t>
            </w:r>
          </w:p>
        </w:tc>
        <w:tc>
          <w:tcPr>
            <w:tcW w:w="3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246,884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420" w:hanging="427"/>
        <w:spacing w:after="0"/>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commitments to extend credit to agribusiness were $19.5 million at December 31, 2020.</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of December 31, 2020, we had commitments to extend credit of approximately $1.61 billion, and obligations under letters of credit of</w:t>
      </w:r>
    </w:p>
    <w:p>
      <w:pPr>
        <w:spacing w:after="0" w:line="27"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$53.2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Due to the adoption of CECL on January 1, 2020, a transition adjustment of $41,000 was added to the beginning balance of the reserve for unfunded loan commitments. The Company recorded no provision or recapture of provision for unfunded loan commitments for the year December 31, 2020 and 2019. The Company had a reserve for unfunded loan commitments of $9.0 million as of December 31, 2020 and 2019 included in other liabilities.</w:t>
      </w:r>
    </w:p>
    <w:p>
      <w:pPr>
        <w:spacing w:after="0" w:line="194" w:lineRule="exact"/>
        <w:rPr>
          <w:sz w:val="20"/>
          <w:szCs w:val="20"/>
          <w:color w:val="auto"/>
        </w:rPr>
      </w:pPr>
    </w:p>
    <w:p>
      <w:pPr>
        <w:ind w:left="120" w:right="140" w:firstLine="551"/>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02" w:lineRule="exact"/>
        <w:rPr>
          <w:sz w:val="20"/>
          <w:szCs w:val="20"/>
          <w:color w:val="auto"/>
        </w:rPr>
      </w:pPr>
    </w:p>
    <w:p>
      <w:pPr>
        <w:ind w:left="120" w:right="520" w:firstLine="551"/>
        <w:spacing w:after="0" w:line="261" w:lineRule="auto"/>
        <w:rPr>
          <w:sz w:val="20"/>
          <w:szCs w:val="20"/>
          <w:color w:val="auto"/>
        </w:rPr>
      </w:pPr>
      <w:r>
        <w:rPr>
          <w:rFonts w:ascii="Times New Roman" w:cs="Times New Roman" w:eastAsia="Times New Roman" w:hAnsi="Times New Roman"/>
          <w:sz w:val="18"/>
          <w:szCs w:val="18"/>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w:t>
      </w:r>
    </w:p>
    <w:p>
      <w:pPr>
        <w:spacing w:after="0" w:line="139" w:lineRule="exact"/>
        <w:rPr>
          <w:sz w:val="20"/>
          <w:szCs w:val="20"/>
          <w:color w:val="auto"/>
        </w:rPr>
      </w:pPr>
    </w:p>
    <w:p>
      <w:pPr>
        <w:jc w:val="both"/>
        <w:ind w:left="120" w:right="60" w:firstLine="551"/>
        <w:spacing w:after="0" w:line="266" w:lineRule="auto"/>
        <w:rPr>
          <w:sz w:val="20"/>
          <w:szCs w:val="20"/>
          <w:color w:val="auto"/>
        </w:rPr>
      </w:pPr>
      <w:r>
        <w:rPr>
          <w:rFonts w:ascii="Times New Roman" w:cs="Times New Roman" w:eastAsia="Times New Roman" w:hAnsi="Times New Roman"/>
          <w:sz w:val="18"/>
          <w:szCs w:val="18"/>
          <w:color w:val="auto"/>
        </w:rPr>
        <w:t>Total equity increased $13.9 million, or 0.70%, to $2.01 billion at December 31, 2020, compared to total equity of $1.99 billion at December 31, 2019. The $13.9 million increase in equity was primarily due to $177.2 million in net earnings, a $22.7 million increase in other comprehensive income resulting from the tax</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82" w:right="4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effected impact of the increase in market value of our investment securities portfolio, and $4.7 million for various stock based compensation items. This was offset by $91.7 million in stock repurchases under our 10b5-1 stock repurchase program, $97.7 million in cash dividends declared and a cumulative effect adjustment to beginning retained earnings of $1.3 million, net of tax, due to the adoption of CECL on January 1, 2020. Our tangible common equity ratio was 9.55% at December 31, 2020.</w:t>
      </w:r>
    </w:p>
    <w:p>
      <w:pPr>
        <w:spacing w:after="0" w:line="153" w:lineRule="exact"/>
        <w:rPr>
          <w:sz w:val="20"/>
          <w:szCs w:val="20"/>
          <w:color w:val="auto"/>
        </w:rPr>
      </w:pPr>
    </w:p>
    <w:p>
      <w:pPr>
        <w:ind w:left="120" w:right="160" w:firstLine="551"/>
        <w:spacing w:after="0" w:line="258" w:lineRule="auto"/>
        <w:rPr>
          <w:sz w:val="20"/>
          <w:szCs w:val="20"/>
          <w:color w:val="auto"/>
        </w:rPr>
      </w:pPr>
      <w:r>
        <w:rPr>
          <w:rFonts w:ascii="Times New Roman" w:cs="Times New Roman" w:eastAsia="Times New Roman" w:hAnsi="Times New Roman"/>
          <w:sz w:val="18"/>
          <w:szCs w:val="18"/>
          <w:color w:val="auto"/>
        </w:rPr>
        <w:t>During 2020, the Board of Directors of CVB declared quarterly cash dividends totaling $0.72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 including covenants set forth in our junior subordinated debentures.</w:t>
      </w:r>
    </w:p>
    <w:p>
      <w:pPr>
        <w:spacing w:after="0" w:line="143" w:lineRule="exact"/>
        <w:rPr>
          <w:sz w:val="20"/>
          <w:szCs w:val="20"/>
          <w:color w:val="auto"/>
        </w:rPr>
      </w:pPr>
    </w:p>
    <w:p>
      <w:pPr>
        <w:ind w:left="120" w:right="140" w:firstLine="551"/>
        <w:spacing w:after="0" w:line="258" w:lineRule="auto"/>
        <w:rPr>
          <w:sz w:val="20"/>
          <w:szCs w:val="20"/>
          <w:color w:val="auto"/>
        </w:rPr>
      </w:pPr>
      <w:r>
        <w:rPr>
          <w:rFonts w:ascii="Times New Roman" w:cs="Times New Roman" w:eastAsia="Times New Roman" w:hAnsi="Times New Roman"/>
          <w:sz w:val="18"/>
          <w:szCs w:val="18"/>
          <w:color w:val="auto"/>
        </w:rPr>
        <w:t>On August 11, 2016,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There is no expiration date for this repurchase program. For the year ended December 31, 2020, the Company repurchased 4,944,290 shares of CVB common stock outstanding under this program. As of December 31, 2020, we have 4,585,145 shares of CVB common stock remaining that are eligible for repurchase under the common stock repurchase program.</w:t>
      </w:r>
    </w:p>
    <w:p>
      <w:pPr>
        <w:spacing w:after="0" w:line="143" w:lineRule="exact"/>
        <w:rPr>
          <w:sz w:val="20"/>
          <w:szCs w:val="20"/>
          <w:color w:val="auto"/>
        </w:rPr>
      </w:pPr>
    </w:p>
    <w:p>
      <w:pPr>
        <w:ind w:left="120" w:right="60" w:firstLine="551"/>
        <w:spacing w:after="0" w:line="254" w:lineRule="auto"/>
        <w:rPr>
          <w:sz w:val="20"/>
          <w:szCs w:val="20"/>
          <w:color w:val="auto"/>
        </w:rPr>
      </w:pPr>
      <w:r>
        <w:rPr>
          <w:rFonts w:ascii="Times New Roman" w:cs="Times New Roman" w:eastAsia="Times New Roman" w:hAnsi="Times New Roman"/>
          <w:sz w:val="18"/>
          <w:szCs w:val="18"/>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December 31, 2020,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8"/>
          <w:szCs w:val="18"/>
          <w:i w:val="1"/>
          <w:iCs w:val="1"/>
          <w:color w:val="auto"/>
        </w:rPr>
        <w:t>Business—Regulation and Supervision—Capital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Adequacy Requirements</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120" w:right="60" w:firstLine="551"/>
        <w:spacing w:after="0" w:line="266" w:lineRule="auto"/>
        <w:rPr>
          <w:sz w:val="20"/>
          <w:szCs w:val="20"/>
          <w:color w:val="auto"/>
        </w:rPr>
      </w:pPr>
      <w:r>
        <w:rPr>
          <w:rFonts w:ascii="Times New Roman" w:cs="Times New Roman" w:eastAsia="Times New Roman" w:hAnsi="Times New Roman"/>
          <w:sz w:val="18"/>
          <w:szCs w:val="18"/>
          <w:color w:val="auto"/>
        </w:rPr>
        <w:t>At December 31, 2020, the Bank and the Company exceeded the minimum risk-based capital ratios and leverage ratios, under the revised capital framework referred to as Basel III, required to be considered “well-capitalized” for regulatory purposes. We did not elect to phase in the impact of CECL on regulatory capital, as allowed under the interim final rule of the FDIC and other U.S. banking agencies.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Company’s and the Bank’s risk-based and leverage capital ratios for the periods presented.</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05"/>
        </w:trPr>
        <w:tc>
          <w:tcPr>
            <w:tcW w:w="10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3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Required</w:t>
            </w: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Adequately</w:t>
            </w: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Plus Capital</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Well</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CVB Financial</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Citizens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CVB Financial</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Citizens</w:t>
            </w:r>
          </w:p>
        </w:tc>
        <w:tc>
          <w:tcPr>
            <w:tcW w:w="0" w:type="dxa"/>
            <w:vAlign w:val="bottom"/>
          </w:tcPr>
          <w:p>
            <w:pPr>
              <w:spacing w:after="0"/>
              <w:rPr>
                <w:sz w:val="1"/>
                <w:szCs w:val="1"/>
                <w:color w:val="auto"/>
              </w:rPr>
            </w:pPr>
          </w:p>
        </w:tc>
      </w:tr>
      <w:tr>
        <w:trPr>
          <w:trHeight w:val="203"/>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Conservation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Corp.</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Corp.</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0" w:type="dxa"/>
            <w:vAlign w:val="bottom"/>
          </w:tcPr>
          <w:p>
            <w:pPr>
              <w:spacing w:after="0"/>
              <w:rPr>
                <w:sz w:val="1"/>
                <w:szCs w:val="1"/>
                <w:color w:val="auto"/>
              </w:rPr>
            </w:pPr>
          </w:p>
        </w:tc>
      </w:tr>
      <w:tr>
        <w:trPr>
          <w:trHeight w:val="205"/>
        </w:trPr>
        <w:tc>
          <w:tcPr>
            <w:tcW w:w="2760" w:type="dxa"/>
            <w:vAlign w:val="bottom"/>
            <w:gridSpan w:val="2"/>
            <w:vMerge w:val="continue"/>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Ratios</w:t>
            </w: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Ratios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Bank</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Bank</w:t>
            </w:r>
          </w:p>
        </w:tc>
        <w:tc>
          <w:tcPr>
            <w:tcW w:w="0" w:type="dxa"/>
            <w:vAlign w:val="bottom"/>
          </w:tcPr>
          <w:p>
            <w:pPr>
              <w:spacing w:after="0"/>
              <w:rPr>
                <w:sz w:val="1"/>
                <w:szCs w:val="1"/>
                <w:color w:val="auto"/>
              </w:rPr>
            </w:pPr>
          </w:p>
        </w:tc>
      </w:tr>
      <w:tr>
        <w:trPr>
          <w:trHeight w:val="20"/>
        </w:trPr>
        <w:tc>
          <w:tcPr>
            <w:tcW w:w="100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Tier 1 leverage capital ratio</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12.19%</w:t>
            </w:r>
          </w:p>
        </w:tc>
        <w:tc>
          <w:tcPr>
            <w:tcW w:w="0" w:type="dxa"/>
            <w:vAlign w:val="bottom"/>
          </w:tcPr>
          <w:p>
            <w:pPr>
              <w:spacing w:after="0"/>
              <w:rPr>
                <w:sz w:val="1"/>
                <w:szCs w:val="1"/>
                <w:color w:val="auto"/>
              </w:rPr>
            </w:pPr>
          </w:p>
        </w:tc>
      </w:tr>
      <w:tr>
        <w:trPr>
          <w:trHeight w:val="203"/>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3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14.77%</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14.57%</w:t>
            </w: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14.83%</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Tier 1 risk-based capital ratio</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6.00%</w:t>
            </w:r>
          </w:p>
        </w:tc>
        <w:tc>
          <w:tcPr>
            <w:tcW w:w="13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15.06%</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14.57%</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15.11%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210"/>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8.00%</w:t>
            </w:r>
          </w:p>
        </w:tc>
        <w:tc>
          <w:tcPr>
            <w:tcW w:w="13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16.24%</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15.75%</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16.01%</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15.83%</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82" w:right="4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02" w:lineRule="exact"/>
        <w:rPr>
          <w:sz w:val="20"/>
          <w:szCs w:val="20"/>
          <w:color w:val="auto"/>
        </w:rPr>
      </w:pPr>
    </w:p>
    <w:p>
      <w:pPr>
        <w:ind w:left="120" w:right="80" w:firstLine="551"/>
        <w:spacing w:after="0" w:line="254" w:lineRule="auto"/>
        <w:rPr>
          <w:sz w:val="20"/>
          <w:szCs w:val="20"/>
          <w:color w:val="auto"/>
        </w:rPr>
      </w:pPr>
      <w:r>
        <w:rPr>
          <w:rFonts w:ascii="Times New Roman" w:cs="Times New Roman" w:eastAsia="Times New Roman" w:hAnsi="Times New Roman"/>
          <w:sz w:val="18"/>
          <w:szCs w:val="18"/>
          <w:color w:val="auto"/>
        </w:rPr>
        <w:t>All financial institutions must manage and control a variety of business risks that can significantly affect their financial performance. Our Board of Directors (Board) and executive management team have overall and ultimate responsibility for management of these risks, which they carry out through committees with specific and well-defined risk management functions. The Risk Management Plan that we have adopted seeks to implement the proper control and management of key risk factors inherent in the operation of the Company and the Bank. Some of the key risks that we must manage are credit risks, asset/liability, interest rate and market risks, counterparty risk, transaction risk, compliance risk, strategic risk, cybersecurity risk, price risk and foreign exchange risk. These specific risk factors are not mutually exclusive. It is recognized that any product or service offered by us may expose the Bank to one or more of these risks. Our Risk Management Committee and Risk Management Division monitor these risks to minimize exposure to the Company. The Board and its committees work closely with management in overseeing risk. Each Board committee receives reports and information regarding risk issues directly from management.</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189" w:lineRule="exact"/>
        <w:rPr>
          <w:sz w:val="20"/>
          <w:szCs w:val="20"/>
          <w:color w:val="auto"/>
        </w:rPr>
      </w:pPr>
    </w:p>
    <w:p>
      <w:pPr>
        <w:ind w:left="120" w:right="60" w:firstLine="551"/>
        <w:spacing w:after="0" w:line="261" w:lineRule="auto"/>
        <w:rPr>
          <w:sz w:val="20"/>
          <w:szCs w:val="20"/>
          <w:color w:val="auto"/>
        </w:rPr>
      </w:pPr>
      <w:r>
        <w:rPr>
          <w:rFonts w:ascii="Times New Roman" w:cs="Times New Roman" w:eastAsia="Times New Roman" w:hAnsi="Times New Roman"/>
          <w:sz w:val="18"/>
          <w:szCs w:val="18"/>
          <w:color w:val="auto"/>
        </w:rPr>
        <w:t>Loans represent the largest component of assets on our balance sheet and their related credit risk is among the most significant risks we manage. We define credit risk as the risk of loss associated with a borrower or counterparty default (failure to meet obligations in accordance with agreed upon terms). Credit risk is found in all activities where success depends on a counter party, issuer, or borrower performance. Credit risk arises through the extension of loans and leases, certain securities, and letters of credit.</w:t>
      </w:r>
    </w:p>
    <w:p>
      <w:pPr>
        <w:spacing w:after="0" w:line="153" w:lineRule="exact"/>
        <w:rPr>
          <w:sz w:val="20"/>
          <w:szCs w:val="20"/>
          <w:color w:val="auto"/>
        </w:rPr>
      </w:pPr>
    </w:p>
    <w:p>
      <w:pPr>
        <w:ind w:left="120" w:right="100" w:firstLine="551"/>
        <w:spacing w:after="0" w:line="261" w:lineRule="auto"/>
        <w:rPr>
          <w:sz w:val="20"/>
          <w:szCs w:val="20"/>
          <w:color w:val="auto"/>
        </w:rPr>
      </w:pPr>
      <w:r>
        <w:rPr>
          <w:rFonts w:ascii="Times New Roman" w:cs="Times New Roman" w:eastAsia="Times New Roman" w:hAnsi="Times New Roman"/>
          <w:sz w:val="18"/>
          <w:szCs w:val="18"/>
          <w:color w:val="auto"/>
        </w:rPr>
        <w:t>Natural disasters, such as storms, earthquakes, drought and other weather conditions, effects of pandemics, as well as natural disasters and problems related to possible climate changes, may from time-to-time cause or create the risk of damage to facilities, buildings, property or other assets of Bank customers, borrowers or municipal debt issuers. This could in turn affect their financial condition or results of operations and as a consequence their ability or capacity to repay debt or fulfill other obligations to the Bank.</w:t>
      </w:r>
    </w:p>
    <w:p>
      <w:pPr>
        <w:spacing w:after="0" w:line="139" w:lineRule="exact"/>
        <w:rPr>
          <w:sz w:val="20"/>
          <w:szCs w:val="20"/>
          <w:color w:val="auto"/>
        </w:rPr>
      </w:pPr>
    </w:p>
    <w:p>
      <w:pPr>
        <w:ind w:left="120" w:right="120" w:firstLine="551"/>
        <w:spacing w:after="0" w:line="258" w:lineRule="auto"/>
        <w:rPr>
          <w:sz w:val="20"/>
          <w:szCs w:val="20"/>
          <w:color w:val="auto"/>
        </w:rPr>
      </w:pPr>
      <w:r>
        <w:rPr>
          <w:rFonts w:ascii="Times New Roman" w:cs="Times New Roman" w:eastAsia="Times New Roman" w:hAnsi="Times New Roman"/>
          <w:sz w:val="18"/>
          <w:szCs w:val="18"/>
          <w:color w:val="auto"/>
        </w:rPr>
        <w:t>Credit risk in the investment portfolio and correspondent bank accounts is in part addressed through defined limits in the Company’s policy statements. In addition, certain securities carry insurance to enhance the credit quality of the bond. Limitations on industry concentration, aggregate customer borrowings, geographic boundaries and standards on loan quality also are designed to reduce loan credit risk. Senior Management, Directors’ Committees, and the Board of Directors are provided with information to appropriately identify, measure, control and monitor the credit risk of the Company.</w:t>
      </w:r>
    </w:p>
    <w:p>
      <w:pPr>
        <w:spacing w:after="0" w:line="143" w:lineRule="exact"/>
        <w:rPr>
          <w:sz w:val="20"/>
          <w:szCs w:val="20"/>
          <w:color w:val="auto"/>
        </w:rPr>
      </w:pPr>
    </w:p>
    <w:p>
      <w:pPr>
        <w:ind w:left="120" w:firstLine="551"/>
        <w:spacing w:after="0" w:line="255" w:lineRule="auto"/>
        <w:rPr>
          <w:sz w:val="20"/>
          <w:szCs w:val="20"/>
          <w:color w:val="auto"/>
        </w:rPr>
      </w:pPr>
      <w:r>
        <w:rPr>
          <w:rFonts w:ascii="Times New Roman" w:cs="Times New Roman" w:eastAsia="Times New Roman" w:hAnsi="Times New Roman"/>
          <w:sz w:val="18"/>
          <w:szCs w:val="18"/>
          <w:color w:val="auto"/>
        </w:rPr>
        <w:t>The Bank’s loan policy is updated annually and approved by the Board of Directors. It prescribes underwriting guidelines and procedures for all loan categories in which the Bank participates to establish risk tolerance and parameters that are communicated throughout the Bank to ensure consistent and uniform lending practices. The underwriting guidelines include, among other things, approval limitation and hierarchy, documentation standards, loan-to-value limits, debt coverage ratio, overall credit-worthiness of the borrower, guarantor support, etc. All loan requests considered by the Bank should be for a clearly defined legitimate purpose with a determinable primary source, as well as alternate sources of repayment. All loans should be supported by appropriate documentation including, current financial statements, credit reports, collateral information, guarantor asset verification, tax returns, title reports, appraisals (where appropriate), and other documents of quality that will support the credit.</w:t>
      </w:r>
    </w:p>
    <w:p>
      <w:pPr>
        <w:spacing w:after="0" w:line="162" w:lineRule="exact"/>
        <w:rPr>
          <w:sz w:val="20"/>
          <w:szCs w:val="20"/>
          <w:color w:val="auto"/>
        </w:rPr>
      </w:pPr>
    </w:p>
    <w:p>
      <w:pPr>
        <w:ind w:left="120" w:firstLine="551"/>
        <w:spacing w:after="0" w:line="289" w:lineRule="auto"/>
        <w:rPr>
          <w:sz w:val="20"/>
          <w:szCs w:val="20"/>
          <w:color w:val="auto"/>
        </w:rPr>
      </w:pPr>
      <w:r>
        <w:rPr>
          <w:rFonts w:ascii="Times New Roman" w:cs="Times New Roman" w:eastAsia="Times New Roman" w:hAnsi="Times New Roman"/>
          <w:sz w:val="17"/>
          <w:szCs w:val="17"/>
          <w:color w:val="auto"/>
        </w:rPr>
        <w:t>The major lending categories are commercial and industrial loans, SBA loans, owner-occupied and non owner-occupied commercial real estate loans, construction loans, dairy &amp; livestock and agribusiness loans, residential real estate loans, and various consumer loan products. Loans underwritten to borrowers within these diverse categories require underwriting and documentation suited to the unique characteristics and inherent risks involved.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2"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551"/>
        <w:spacing w:after="0" w:line="253" w:lineRule="auto"/>
        <w:rPr>
          <w:sz w:val="20"/>
          <w:szCs w:val="20"/>
          <w:color w:val="auto"/>
        </w:rPr>
      </w:pPr>
      <w:r>
        <w:rPr>
          <w:rFonts w:ascii="Times New Roman" w:cs="Times New Roman" w:eastAsia="Times New Roman" w:hAnsi="Times New Roman"/>
          <w:sz w:val="18"/>
          <w:szCs w:val="18"/>
          <w:color w:val="auto"/>
        </w:rPr>
        <w:t>Commercial and industrial loans require credit structures that are tailored to the specific purpose of the business loan, involving a thorough analysis of the borrower’s business, cash flow, collateral, industry risks, economic risks, credit, character, and guarantor support. Owner-occupied real estate loans are primarily based upon the capacity and stability of the cash flow generated by the occupying business and the market value of the collateral, among other things. Non owner-occupied real estate is typically underwritten to the income produced by the subject property and many considerations unique to the various types of property (i.e. office, retail, warehouse, shopping center, medical, etc.), as well as, the financial support provided by sponsors in recourse transactions. Construction loans will often depend on the specific characteristics of the project, the market for the specific development, real estate values, and the equity and financial strength of the sponsors. Dairy &amp; livestock and agribusiness loans are largely predicated on the revenue cycles and demand for milk and crops, commodity prices, collateral values of herd, feed, and income-producing dairies or croplands, and the financial support of the guarantors. Underwriting of residential real estate and consumer loans are generally driven by personal income and debt service capacity, credit history and scores, and collateral values.</w:t>
      </w:r>
    </w:p>
    <w:p>
      <w:pPr>
        <w:spacing w:after="0" w:line="167" w:lineRule="exact"/>
        <w:rPr>
          <w:sz w:val="20"/>
          <w:szCs w:val="20"/>
          <w:color w:val="auto"/>
        </w:rPr>
      </w:pPr>
    </w:p>
    <w:p>
      <w:pPr>
        <w:ind w:left="120" w:right="60" w:firstLine="551"/>
        <w:spacing w:after="0" w:line="252" w:lineRule="auto"/>
        <w:rPr>
          <w:sz w:val="20"/>
          <w:szCs w:val="20"/>
          <w:color w:val="auto"/>
        </w:rPr>
      </w:pPr>
      <w:r>
        <w:rPr>
          <w:rFonts w:ascii="Times New Roman" w:cs="Times New Roman" w:eastAsia="Times New Roman" w:hAnsi="Times New Roman"/>
          <w:sz w:val="18"/>
          <w:szCs w:val="18"/>
          <w:color w:val="auto"/>
        </w:rPr>
        <w:t>SBA loans require credit structures that conform to the various requirements of the SBA programs specific to the type of loan request and the Bank’s loan policy as it relates to these loans. The SBA 7(a) loans are similar to the commercial and industrial loans that are tailored to the specific purpose of the business loan, involving a thorough analysis of the borrower’s business, cash flow, collateral, industry risks, economic risks, credit, character, and guarantor support for both the Bank and the SBA. Once granted the SBA 7(a) loans require the Bank to follow SBA servicing guidelines to maintain the SBA guaranty which typically ranges from 75% to 90% depending on the type of 7(a) loan. SBA 504 loans are similar to the Bank’s Owner-occupied real estate loans. As such they are primarily based upon the capacity and stability of the cash flow generated by the occupying business and the market value of the collateral, among other things. When the Bank funds an SBA 504 transaction, which includes the 50% first trust deed loan and the 40% second trust deed loan, the initial risk is centered in completing the SBA’s requirements to provide for the payoff of the second trust deed loan from the subordinated debenture. Once the 504 second is paid off, the remaining first trust deed loan is then managed under the same requirements applied to the Bank’s owner-occupied commercial real estate loan. It should be noted that both the SBA 7(a) and 504 programs provide loans for commercial real estate acquisition. However, the terms and advances rates available under the 7(a) program are outside of the Bank’s standard loan programs and risk profile and therefore require a credit enhancement in the form of the SBA guaranty. Additionally, the interest rates for the 7(a) program are typically variable and can adjust as often as monthly with quarterly adjustment the most typical. SBA 504 loan interest rates for the first trust deed loan are at the Bank’s discretion and subject to competitive pressures from other banks.</w:t>
      </w:r>
    </w:p>
    <w:p>
      <w:pPr>
        <w:spacing w:after="0" w:line="157" w:lineRule="exact"/>
        <w:rPr>
          <w:sz w:val="20"/>
          <w:szCs w:val="20"/>
          <w:color w:val="auto"/>
        </w:rPr>
      </w:pPr>
    </w:p>
    <w:p>
      <w:pPr>
        <w:ind w:left="120" w:right="20" w:firstLine="551"/>
        <w:spacing w:after="0" w:line="256" w:lineRule="auto"/>
        <w:rPr>
          <w:sz w:val="20"/>
          <w:szCs w:val="20"/>
          <w:color w:val="auto"/>
        </w:rPr>
      </w:pPr>
      <w:r>
        <w:rPr>
          <w:rFonts w:ascii="Times New Roman" w:cs="Times New Roman" w:eastAsia="Times New Roman" w:hAnsi="Times New Roman"/>
          <w:sz w:val="18"/>
          <w:szCs w:val="18"/>
          <w:color w:val="auto"/>
        </w:rPr>
        <w:t>Implicit in lending activities is the risk that losses will occur and that the amount of such losses will vary over time. Consequently, we maintain an allowance for credit losses by charging a provision for credit losses to earnings. Loans determined to be losses are charged against the allowance for credit losses. In this regard, it is important to note that the Bank’s practice with regard to these loans, including modified loans or troubled debt restructurings that are classified as impaired, is to generally charge off any loss amount against the ACL upon evaluating the loan at the time a probable loss becomes recognized. As such, the Bank’s specific allowance for loans, including troubled debt restructurings, is relatively low since any known loss amount will generally have been charged off.</w:t>
      </w:r>
    </w:p>
    <w:p>
      <w:pPr>
        <w:spacing w:after="0" w:line="147"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Central to our credit risk management is its loan risk rating system. The originating credit officer assigns borrowers an initial risk rating, which is reviewed and possibly changed by credit management. The risk rating is based primarily on an analysis of each borrower’s financial capacity in conjunction with industry and economic trends. Credit approvals are made based upon our evaluation of the inherent credit risk specific to the transaction and are reviewed for appropriateness by senior line and credit management personnel. Credits are monitored by line and credit management personnel for deterioration in a borrower’s financial condition, which would impact the ability of the borrower to perform under the contract. Risk ratings may be adjusted as necessary.</w:t>
      </w:r>
    </w:p>
    <w:p>
      <w:pPr>
        <w:spacing w:after="0" w:line="160" w:lineRule="exact"/>
        <w:rPr>
          <w:sz w:val="20"/>
          <w:szCs w:val="20"/>
          <w:color w:val="auto"/>
        </w:rPr>
      </w:pPr>
    </w:p>
    <w:p>
      <w:pPr>
        <w:ind w:left="120" w:right="80" w:firstLine="551"/>
        <w:spacing w:after="0" w:line="282" w:lineRule="auto"/>
        <w:rPr>
          <w:sz w:val="20"/>
          <w:szCs w:val="20"/>
          <w:color w:val="auto"/>
        </w:rPr>
      </w:pPr>
      <w:r>
        <w:rPr>
          <w:rFonts w:ascii="Times New Roman" w:cs="Times New Roman" w:eastAsia="Times New Roman" w:hAnsi="Times New Roman"/>
          <w:sz w:val="18"/>
          <w:szCs w:val="18"/>
          <w:color w:val="auto"/>
        </w:rPr>
        <w:t>Loans are risk rated into the following categories: Pass, Special Mention, Substandard, Doubtful, and Loss. Each of these groups is assessed and appropriate amounts used in determining the adequacy of our allowance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82"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losses. The Impaired and Doubtful loans are analyzed on an individual basis for allowance amounts. The other categories have formulae used to determine the needed allowance amount.</w:t>
      </w:r>
    </w:p>
    <w:p>
      <w:pPr>
        <w:spacing w:after="0" w:line="135" w:lineRule="exact"/>
        <w:rPr>
          <w:sz w:val="20"/>
          <w:szCs w:val="20"/>
          <w:color w:val="auto"/>
        </w:rPr>
      </w:pPr>
    </w:p>
    <w:p>
      <w:pPr>
        <w:ind w:left="120" w:right="300" w:firstLine="551"/>
        <w:spacing w:after="0" w:line="282" w:lineRule="auto"/>
        <w:rPr>
          <w:sz w:val="20"/>
          <w:szCs w:val="20"/>
          <w:color w:val="auto"/>
        </w:rPr>
      </w:pPr>
      <w:r>
        <w:rPr>
          <w:rFonts w:ascii="Times New Roman" w:cs="Times New Roman" w:eastAsia="Times New Roman" w:hAnsi="Times New Roman"/>
          <w:sz w:val="18"/>
          <w:szCs w:val="18"/>
          <w:color w:val="auto"/>
        </w:rPr>
        <w:t>The Company obtains a semi-annual independent credit review by engaging an outside party to review a sample of our loans and leases. The primary purpose of this review is to evaluate our existing loan ratings.</w:t>
      </w:r>
    </w:p>
    <w:p>
      <w:pPr>
        <w:spacing w:after="0" w:line="121" w:lineRule="exact"/>
        <w:rPr>
          <w:sz w:val="20"/>
          <w:szCs w:val="20"/>
          <w:color w:val="auto"/>
        </w:rPr>
      </w:pPr>
    </w:p>
    <w:p>
      <w:pPr>
        <w:ind w:left="120" w:right="480" w:firstLine="551"/>
        <w:spacing w:after="0" w:line="282" w:lineRule="auto"/>
        <w:rPr>
          <w:sz w:val="20"/>
          <w:szCs w:val="20"/>
          <w:color w:val="auto"/>
        </w:rPr>
      </w:pPr>
      <w:r>
        <w:rPr>
          <w:rFonts w:ascii="Times New Roman" w:cs="Times New Roman" w:eastAsia="Times New Roman" w:hAnsi="Times New Roman"/>
          <w:sz w:val="18"/>
          <w:szCs w:val="18"/>
          <w:color w:val="auto"/>
        </w:rPr>
        <w:t>Refer to additional discussion concerning loans, nonperforming assets, allowance for credit losses and related tables under the Analysis of Financial Condition contained herein.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Risk</w:t>
      </w:r>
    </w:p>
    <w:p>
      <w:pPr>
        <w:spacing w:after="0" w:line="202" w:lineRule="exact"/>
        <w:rPr>
          <w:sz w:val="20"/>
          <w:szCs w:val="20"/>
          <w:color w:val="auto"/>
        </w:rPr>
      </w:pPr>
    </w:p>
    <w:p>
      <w:pPr>
        <w:ind w:left="120" w:right="40" w:firstLine="551"/>
        <w:spacing w:after="0" w:line="261" w:lineRule="auto"/>
        <w:rPr>
          <w:sz w:val="20"/>
          <w:szCs w:val="20"/>
          <w:color w:val="auto"/>
        </w:rPr>
      </w:pPr>
      <w:r>
        <w:rPr>
          <w:rFonts w:ascii="Times New Roman" w:cs="Times New Roman" w:eastAsia="Times New Roman" w:hAnsi="Times New Roman"/>
          <w:sz w:val="18"/>
          <w:szCs w:val="18"/>
          <w:color w:val="auto"/>
        </w:rPr>
        <w:t>Transaction risk is the risk to earnings or capital arising from problems in service, activity or product delivery. This risk is significant within any bank and is interconnected with other risk categories in most activities throughout the Company. Transaction risk is a function of internal controls, information systems, associate integrity, and operating processes. It arises daily throughout the Company as transactions are processed. It pervades all divisions, departments and centers and is inherent in all products and services we offer.</w:t>
      </w:r>
    </w:p>
    <w:p>
      <w:pPr>
        <w:spacing w:after="0" w:line="139" w:lineRule="exact"/>
        <w:rPr>
          <w:sz w:val="20"/>
          <w:szCs w:val="20"/>
          <w:color w:val="auto"/>
        </w:rPr>
      </w:pPr>
    </w:p>
    <w:p>
      <w:pPr>
        <w:ind w:left="120" w:firstLine="551"/>
        <w:spacing w:after="0" w:line="266" w:lineRule="auto"/>
        <w:rPr>
          <w:sz w:val="20"/>
          <w:szCs w:val="20"/>
          <w:color w:val="auto"/>
        </w:rPr>
      </w:pPr>
      <w:r>
        <w:rPr>
          <w:rFonts w:ascii="Times New Roman" w:cs="Times New Roman" w:eastAsia="Times New Roman" w:hAnsi="Times New Roman"/>
          <w:sz w:val="18"/>
          <w:szCs w:val="18"/>
          <w:color w:val="auto"/>
        </w:rPr>
        <w:t>In general, transaction risk is defined as high, medium or low by the Company. The audit plan ensures that high risk areas are reviewed annually. We utilize internal auditors and independent audit firms to test key controls of operational processes and to audit information systems, compliance management programs, loan credit reviews and trust services.</w:t>
      </w:r>
    </w:p>
    <w:p>
      <w:pPr>
        <w:spacing w:after="0" w:line="135" w:lineRule="exact"/>
        <w:rPr>
          <w:sz w:val="20"/>
          <w:szCs w:val="20"/>
          <w:color w:val="auto"/>
        </w:rPr>
      </w:pPr>
    </w:p>
    <w:p>
      <w:pPr>
        <w:ind w:left="120" w:right="100" w:firstLine="551"/>
        <w:spacing w:after="0" w:line="266" w:lineRule="auto"/>
        <w:rPr>
          <w:sz w:val="20"/>
          <w:szCs w:val="20"/>
          <w:color w:val="auto"/>
        </w:rPr>
      </w:pPr>
      <w:r>
        <w:rPr>
          <w:rFonts w:ascii="Times New Roman" w:cs="Times New Roman" w:eastAsia="Times New Roman" w:hAnsi="Times New Roman"/>
          <w:sz w:val="18"/>
          <w:szCs w:val="18"/>
          <w:color w:val="auto"/>
        </w:rPr>
        <w:t>The key to monitoring transaction risk is in the design, documentation and implementation of well-defined procedures. Any system of controls, however well designed and operated, is based in part on certain assumptions and can provide only reasonable, but not absolute, assurances of the effectiveness of these systems and controls, and that the objectives of these controls have been met.</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Compliance Risk Management</w:t>
      </w:r>
    </w:p>
    <w:p>
      <w:pPr>
        <w:spacing w:after="0" w:line="189" w:lineRule="exact"/>
        <w:rPr>
          <w:sz w:val="20"/>
          <w:szCs w:val="20"/>
          <w:color w:val="auto"/>
        </w:rPr>
      </w:pPr>
    </w:p>
    <w:p>
      <w:pPr>
        <w:ind w:left="120" w:right="40" w:firstLine="551"/>
        <w:spacing w:after="0" w:line="256" w:lineRule="auto"/>
        <w:rPr>
          <w:sz w:val="20"/>
          <w:szCs w:val="20"/>
          <w:color w:val="auto"/>
        </w:rPr>
      </w:pPr>
      <w:r>
        <w:rPr>
          <w:rFonts w:ascii="Times New Roman" w:cs="Times New Roman" w:eastAsia="Times New Roman" w:hAnsi="Times New Roman"/>
          <w:sz w:val="18"/>
          <w:szCs w:val="18"/>
          <w:color w:val="auto"/>
        </w:rPr>
        <w:t>Compliance risk is the risk to earnings or capital arising from violations of, or non-conformance with, laws, rules, regulations, prescribed practices, or ethical standards. Compliance risk also arises in situations where the laws or rules governing certain products or activities of the Bank’s customers, vendors or business partners may be ambiguous or untested. Compliance risk exposes us to fines, civil money penalties, payment of damages, and the voiding of contracts. Compliance risk can also lead to a diminished reputation, reduced business value, limited business opportunities, lessened expansion potential, and lack of contract enforceability. The Company utilizes independent compliance audits as a means of identifying weaknesses in the compliance program.</w:t>
      </w:r>
    </w:p>
    <w:p>
      <w:pPr>
        <w:spacing w:after="0" w:line="147" w:lineRule="exact"/>
        <w:rPr>
          <w:sz w:val="20"/>
          <w:szCs w:val="20"/>
          <w:color w:val="auto"/>
        </w:rPr>
      </w:pPr>
    </w:p>
    <w:p>
      <w:pPr>
        <w:ind w:left="120" w:right="40" w:firstLine="551"/>
        <w:spacing w:after="0" w:line="261" w:lineRule="auto"/>
        <w:rPr>
          <w:sz w:val="20"/>
          <w:szCs w:val="20"/>
          <w:color w:val="auto"/>
        </w:rPr>
      </w:pPr>
      <w:r>
        <w:rPr>
          <w:rFonts w:ascii="Times New Roman" w:cs="Times New Roman" w:eastAsia="Times New Roman" w:hAnsi="Times New Roman"/>
          <w:sz w:val="18"/>
          <w:szCs w:val="18"/>
          <w:color w:val="auto"/>
        </w:rPr>
        <w:t>There is no single or primary source of compliance risk. It is inherent in every activity. Frequently, it blends into operational risk and transaction risk. A portion of this risk is sometimes referred to as legal risk. This is not limited solely to risk from failure to comply with consumer protection laws; it encompasses all laws, as well as prudent ethical standards and contractual obligations. It also includes the exposure to litigation from all aspects of banking, traditional and non-traditional.</w:t>
      </w:r>
    </w:p>
    <w:p>
      <w:pPr>
        <w:spacing w:after="0" w:line="153" w:lineRule="exact"/>
        <w:rPr>
          <w:sz w:val="20"/>
          <w:szCs w:val="20"/>
          <w:color w:val="auto"/>
        </w:rPr>
      </w:pPr>
    </w:p>
    <w:p>
      <w:pPr>
        <w:ind w:left="120" w:firstLine="551"/>
        <w:spacing w:after="0" w:line="261" w:lineRule="auto"/>
        <w:rPr>
          <w:sz w:val="20"/>
          <w:szCs w:val="20"/>
          <w:color w:val="auto"/>
        </w:rPr>
      </w:pPr>
      <w:r>
        <w:rPr>
          <w:rFonts w:ascii="Times New Roman" w:cs="Times New Roman" w:eastAsia="Times New Roman" w:hAnsi="Times New Roman"/>
          <w:sz w:val="18"/>
          <w:szCs w:val="18"/>
          <w:color w:val="auto"/>
        </w:rPr>
        <w:t>Our Risk Management Policy and Program and the Code of Ethical Conduct are cornerstones for controlling compliance risk. An integral part of controlling this risk is the proper training of associates. The Chief Risk Officer is responsible for developing and executing a comprehensive compliance training program. The Chief Risk Officer, in consultation with our internal and external legal counsel, seeks to provide our associates with adequate training commensurate to their job functions to ensure compliance with banking laws and regulations.</w:t>
      </w:r>
    </w:p>
    <w:p>
      <w:pPr>
        <w:spacing w:after="0" w:line="139" w:lineRule="exact"/>
        <w:rPr>
          <w:sz w:val="20"/>
          <w:szCs w:val="20"/>
          <w:color w:val="auto"/>
        </w:rPr>
      </w:pPr>
    </w:p>
    <w:p>
      <w:pPr>
        <w:ind w:left="120" w:right="240" w:firstLine="551"/>
        <w:spacing w:after="0" w:line="281" w:lineRule="auto"/>
        <w:rPr>
          <w:sz w:val="20"/>
          <w:szCs w:val="20"/>
          <w:color w:val="auto"/>
        </w:rPr>
      </w:pPr>
      <w:r>
        <w:rPr>
          <w:rFonts w:ascii="Times New Roman" w:cs="Times New Roman" w:eastAsia="Times New Roman" w:hAnsi="Times New Roman"/>
          <w:sz w:val="17"/>
          <w:szCs w:val="17"/>
          <w:color w:val="auto"/>
        </w:rPr>
        <w:t>Our Risk Management Policy and Program includes a risk-based audit program aimed at identifying internal control deficiencies and weaknesses. The Compliance Management Program includes two levels of review. One is in-depth audits performed by our internal audit department under the direction of the Chief Auditor and supplemented by independent external firms, and the other is periodic monitoring performed by the Risk Management Division. Annually, an Audit Plan for the Company is developed and presented for approval to the Audit Committee of the Board.</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82" w:right="4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firstLine="551"/>
        <w:spacing w:after="0" w:line="289" w:lineRule="auto"/>
        <w:rPr>
          <w:sz w:val="20"/>
          <w:szCs w:val="20"/>
          <w:color w:val="auto"/>
        </w:rPr>
      </w:pPr>
      <w:r>
        <w:rPr>
          <w:rFonts w:ascii="Times New Roman" w:cs="Times New Roman" w:eastAsia="Times New Roman" w:hAnsi="Times New Roman"/>
          <w:sz w:val="17"/>
          <w:szCs w:val="17"/>
          <w:color w:val="auto"/>
        </w:rPr>
        <w:t>The Risk Management Division conducts periodic monitoring of our compliance efforts with a special focus on those areas that expose us to compliance risk. The purpose of the periodic monitoring is to verify whether our associates are adhering to established policies and procedures. Any material exceptions identified are brought forward to the appropriate department head, the Audit Committee and the Risk Management Committee.</w:t>
      </w:r>
    </w:p>
    <w:p>
      <w:pPr>
        <w:spacing w:after="0" w:line="158" w:lineRule="exact"/>
        <w:rPr>
          <w:sz w:val="20"/>
          <w:szCs w:val="20"/>
          <w:color w:val="auto"/>
        </w:rPr>
      </w:pPr>
    </w:p>
    <w:p>
      <w:pPr>
        <w:ind w:left="120" w:right="20" w:firstLine="551"/>
        <w:spacing w:after="0" w:line="261" w:lineRule="auto"/>
        <w:rPr>
          <w:sz w:val="20"/>
          <w:szCs w:val="20"/>
          <w:color w:val="auto"/>
        </w:rPr>
      </w:pPr>
      <w:r>
        <w:rPr>
          <w:rFonts w:ascii="Times New Roman" w:cs="Times New Roman" w:eastAsia="Times New Roman" w:hAnsi="Times New Roman"/>
          <w:sz w:val="18"/>
          <w:szCs w:val="18"/>
          <w:color w:val="auto"/>
        </w:rPr>
        <w:t>We recognize that customer complaints can often identify weaknesses in our compliance program which could expose us to risk. Therefore, we attempt to ensure that all complaints are given prompt attention. Our Compliance Management Policy and Program include provisions on how customer complaints are to be addressed. The Chief Risk Officer reviews formal complaints to determine if a significant compliance risk exists and communicates those findings to the Compliance Management and Risk Management Committees.</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Strategic Risk</w:t>
      </w:r>
    </w:p>
    <w:p>
      <w:pPr>
        <w:spacing w:after="0" w:line="189" w:lineRule="exact"/>
        <w:rPr>
          <w:sz w:val="20"/>
          <w:szCs w:val="20"/>
          <w:color w:val="auto"/>
        </w:rPr>
      </w:pPr>
    </w:p>
    <w:p>
      <w:pPr>
        <w:ind w:left="120" w:right="300" w:firstLine="551"/>
        <w:spacing w:after="0" w:line="282" w:lineRule="auto"/>
        <w:rPr>
          <w:sz w:val="20"/>
          <w:szCs w:val="20"/>
          <w:color w:val="auto"/>
        </w:rPr>
      </w:pPr>
      <w:r>
        <w:rPr>
          <w:rFonts w:ascii="Times New Roman" w:cs="Times New Roman" w:eastAsia="Times New Roman" w:hAnsi="Times New Roman"/>
          <w:sz w:val="18"/>
          <w:szCs w:val="18"/>
          <w:color w:val="auto"/>
        </w:rPr>
        <w:t>Strategic risk is the risk to earnings or capital arising from adverse decisions or improper implementation of strategic decisions. This risk is a function of the compatibility between an organization’s goals, the resources deployed against those goals and the quality of implementation.</w:t>
      </w:r>
    </w:p>
    <w:p>
      <w:pPr>
        <w:spacing w:after="0" w:line="121" w:lineRule="exact"/>
        <w:rPr>
          <w:sz w:val="20"/>
          <w:szCs w:val="20"/>
          <w:color w:val="auto"/>
        </w:rPr>
      </w:pPr>
    </w:p>
    <w:p>
      <w:pPr>
        <w:ind w:left="120" w:right="220" w:firstLine="551"/>
        <w:spacing w:after="0" w:line="266" w:lineRule="auto"/>
        <w:rPr>
          <w:sz w:val="20"/>
          <w:szCs w:val="20"/>
          <w:color w:val="auto"/>
        </w:rPr>
      </w:pPr>
      <w:r>
        <w:rPr>
          <w:rFonts w:ascii="Times New Roman" w:cs="Times New Roman" w:eastAsia="Times New Roman" w:hAnsi="Times New Roman"/>
          <w:sz w:val="18"/>
          <w:szCs w:val="18"/>
          <w:color w:val="auto"/>
        </w:rPr>
        <w:t>Strategic risks are identified as part of the strategic planning process. Strategic planning sessions, with members of the Board of Directors and Executive Leadership, are held annually. The strategic review consists of results of strategic initiatives, an assessment of the economic outlook, competitive analysis, and an industry outlook, including a legislative and regulatory review.</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w:t>
      </w:r>
    </w:p>
    <w:p>
      <w:pPr>
        <w:spacing w:after="0" w:line="189"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Cybersecurity and fraud risk refers to the risk of failures, interruptions of services, or breaches of security with respect to the Company’s or the Bank’s communication, information, operations, devices, financial control, customer internet banking, customer information, email, data processing systems, or other bank or third party applications. The ability of the Company’s customers to bank remotely, including online and through mobile devices, requires secure transmission of confidential information and increases the risk of data security breaches. In addition, the Company and the Bank rely primarily on third party providers to develop, manage, maintain and protect these systems and applications. Any such failures, interruptions or fraud or security breaches, depending on the scope, duration, affected system(s) or customers(s), could expose the Company and/or the Bank to financial loss, reputation damage, litigation, or regulatory action. We continue to invest in technologies and training to protect our associates, our clients and our assets. While we have implemented various detective and preventative measures which seek to protect our Company, our customers’ information and the Bank from the risk of fraud, data security breaches or service interruptions, there can be no assurance that these measures will be effective in preventing potential breaches or losses for us or our customers.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ASSET/LIABILITY AND MARKET RISK MANAGEMENT</w:t>
      </w: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p>
      <w:pPr>
        <w:spacing w:after="0" w:line="189" w:lineRule="exact"/>
        <w:rPr>
          <w:sz w:val="20"/>
          <w:szCs w:val="20"/>
          <w:color w:val="auto"/>
        </w:rPr>
      </w:pPr>
    </w:p>
    <w:p>
      <w:pPr>
        <w:ind w:left="120" w:right="20" w:firstLine="551"/>
        <w:spacing w:after="0" w:line="261" w:lineRule="auto"/>
        <w:rPr>
          <w:sz w:val="20"/>
          <w:szCs w:val="20"/>
          <w:color w:val="auto"/>
        </w:rPr>
      </w:pPr>
      <w:r>
        <w:rPr>
          <w:rFonts w:ascii="Times New Roman" w:cs="Times New Roman" w:eastAsia="Times New Roman" w:hAnsi="Times New Roman"/>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53" w:lineRule="exact"/>
        <w:rPr>
          <w:sz w:val="20"/>
          <w:szCs w:val="20"/>
          <w:color w:val="auto"/>
        </w:rPr>
      </w:pPr>
    </w:p>
    <w:p>
      <w:pPr>
        <w:ind w:left="120" w:firstLine="551"/>
        <w:spacing w:after="0" w:line="274" w:lineRule="auto"/>
        <w:rPr>
          <w:sz w:val="20"/>
          <w:szCs w:val="20"/>
          <w:color w:val="auto"/>
        </w:rPr>
      </w:pPr>
      <w:r>
        <w:rPr>
          <w:rFonts w:ascii="Times New Roman" w:cs="Times New Roman" w:eastAsia="Times New Roman" w:hAnsi="Times New Roman"/>
          <w:sz w:val="17"/>
          <w:szCs w:val="17"/>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In addition, the Company has a Balance Sheet Management Committee of the Board of Directors that meets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32" w:lineRule="exact"/>
        <w:rPr>
          <w:sz w:val="20"/>
          <w:szCs w:val="20"/>
          <w:color w:val="auto"/>
        </w:rPr>
      </w:pPr>
    </w:p>
    <w:p>
      <w:pPr>
        <w:ind w:left="120" w:right="80" w:firstLine="551"/>
        <w:spacing w:after="0" w:line="261" w:lineRule="auto"/>
        <w:rPr>
          <w:sz w:val="20"/>
          <w:szCs w:val="20"/>
          <w:color w:val="auto"/>
        </w:rPr>
      </w:pPr>
      <w:r>
        <w:rPr>
          <w:rFonts w:ascii="Times New Roman" w:cs="Times New Roman" w:eastAsia="Times New Roman" w:hAnsi="Times New Roman"/>
          <w:sz w:val="18"/>
          <w:szCs w:val="18"/>
          <w:color w:val="auto"/>
        </w:rPr>
        <w:t>Our primary sources and uses of funds for the Company are deposits and loans. Our deposit levels and cost of deposits may fluctuate from period-to-period due to a variety of factors, including the stability of our deposit base, prevailing interest rates, and market conditions. Total deposits of $11.74 billion at December 31, 2020 increased $3.03 billion, or 34.83%, over total deposits of $8.70 billion at December 31, 2019. This significant deposit growth was primarily due to our customers maintaining greater liquidity.</w:t>
      </w:r>
    </w:p>
    <w:p>
      <w:pPr>
        <w:spacing w:after="0" w:line="139" w:lineRule="exact"/>
        <w:rPr>
          <w:sz w:val="20"/>
          <w:szCs w:val="20"/>
          <w:color w:val="auto"/>
        </w:rPr>
      </w:pPr>
    </w:p>
    <w:p>
      <w:pPr>
        <w:ind w:left="120" w:right="80" w:firstLine="551"/>
        <w:spacing w:after="0" w:line="255" w:lineRule="auto"/>
        <w:rPr>
          <w:sz w:val="20"/>
          <w:szCs w:val="20"/>
          <w:color w:val="auto"/>
        </w:rPr>
      </w:pPr>
      <w:r>
        <w:rPr>
          <w:rFonts w:ascii="Times New Roman" w:cs="Times New Roman" w:eastAsia="Times New Roman" w:hAnsi="Times New Roman"/>
          <w:sz w:val="18"/>
          <w:szCs w:val="18"/>
          <w:color w:val="auto"/>
        </w:rPr>
        <w:t>In general, our liquidity is managed daily by controlling the level of liquid assets as well as the use of funds provided by the cash flow from the investment portfolio, loan demand and deposit fluctuations. Our definition of liquid assets includes cash and cash equivalents in excess of minimum levels needed to fulfill normal business operations, short-term investment securities and other anticipated near term cash flows from investments. To meet unexpected demands, lines of credit are maintained with correspondent banks, the Federal Home Loan Bank and the Federal Reserve, although availability under these lines of credit are subject to certain conditions. The sale of investment securities can also serve as a contingent source of funds. We can obtain additional liquidity from deposit growth by offering competitive interest rates on deposits from both our local and national wholesale markets.</w:t>
      </w:r>
    </w:p>
    <w:p>
      <w:pPr>
        <w:spacing w:after="0" w:line="162" w:lineRule="exact"/>
        <w:rPr>
          <w:sz w:val="20"/>
          <w:szCs w:val="20"/>
          <w:color w:val="auto"/>
        </w:rPr>
      </w:pPr>
    </w:p>
    <w:p>
      <w:pPr>
        <w:jc w:val="both"/>
        <w:ind w:left="120" w:right="180" w:firstLine="551"/>
        <w:spacing w:after="0" w:line="266" w:lineRule="auto"/>
        <w:rPr>
          <w:sz w:val="20"/>
          <w:szCs w:val="20"/>
          <w:color w:val="auto"/>
        </w:rPr>
      </w:pPr>
      <w:r>
        <w:rPr>
          <w:rFonts w:ascii="Times New Roman" w:cs="Times New Roman" w:eastAsia="Times New Roman" w:hAnsi="Times New Roman"/>
          <w:sz w:val="18"/>
          <w:szCs w:val="18"/>
          <w:color w:val="auto"/>
        </w:rPr>
        <w:t>At December 31, 2020, we had $25.8 million in subordinated debt and $5.0 million in FHLB short-term borrowings at 0% cost. The Bank has available lines of credit exceeding $4 billion, most of which is secured by pledged loans. Our balance sheet has significant liquidity and our assets are funded almost entirely with core deposits. Furthermore, we have significant off-balance sheet sources of liquidity.</w:t>
      </w:r>
    </w:p>
    <w:p>
      <w:pPr>
        <w:spacing w:after="0" w:line="135" w:lineRule="exact"/>
        <w:rPr>
          <w:sz w:val="20"/>
          <w:szCs w:val="20"/>
          <w:color w:val="auto"/>
        </w:rPr>
      </w:pPr>
    </w:p>
    <w:p>
      <w:pPr>
        <w:ind w:left="120" w:right="80" w:firstLine="551"/>
        <w:spacing w:after="0" w:line="256" w:lineRule="auto"/>
        <w:rPr>
          <w:sz w:val="20"/>
          <w:szCs w:val="20"/>
          <w:color w:val="auto"/>
        </w:rPr>
      </w:pPr>
      <w:r>
        <w:rPr>
          <w:rFonts w:ascii="Times New Roman" w:cs="Times New Roman" w:eastAsia="Times New Roman" w:hAnsi="Times New Roman"/>
          <w:sz w:val="18"/>
          <w:szCs w:val="18"/>
          <w:color w:val="auto"/>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 For the Bank, sources of funds include principal payments on loans and investments, growth in deposits, FHLB advances, and other borrowed funds. Uses of funds include withdrawal of deposits, interest paid on deposits, increased loan balances, purchases, and noninterest expenses.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82" w:right="49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551"/>
        <w:spacing w:after="0" w:line="282" w:lineRule="auto"/>
        <w:rPr>
          <w:sz w:val="20"/>
          <w:szCs w:val="20"/>
          <w:color w:val="auto"/>
        </w:rPr>
      </w:pPr>
      <w:r>
        <w:rPr>
          <w:rFonts w:ascii="Times New Roman" w:cs="Times New Roman" w:eastAsia="Times New Roman" w:hAnsi="Times New Roman"/>
          <w:sz w:val="18"/>
          <w:szCs w:val="18"/>
          <w:color w:val="auto"/>
        </w:rPr>
        <w:t>Below is a summary of our average cash position and statement of cash flows for the years ended December 31, 2020 and 2019. For further details, see our “</w:t>
      </w:r>
      <w:r>
        <w:rPr>
          <w:rFonts w:ascii="Times New Roman" w:cs="Times New Roman" w:eastAsia="Times New Roman" w:hAnsi="Times New Roman"/>
          <w:sz w:val="18"/>
          <w:szCs w:val="18"/>
          <w:i w:val="1"/>
          <w:iCs w:val="1"/>
          <w:color w:val="auto"/>
        </w:rPr>
        <w:t>Consolidated Statements of Cash Flows</w:t>
      </w:r>
      <w:r>
        <w:rPr>
          <w:rFonts w:ascii="Times New Roman" w:cs="Times New Roman" w:eastAsia="Times New Roman" w:hAnsi="Times New Roman"/>
          <w:sz w:val="18"/>
          <w:szCs w:val="18"/>
          <w:color w:val="auto"/>
        </w:rPr>
        <w:t>” under Part IV consolidated financial statements of this report.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Summary of Cash Flows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60" w:type="dxa"/>
            <w:vAlign w:val="bottom"/>
            <w:gridSpan w:val="6"/>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7"/>
                <w:szCs w:val="17"/>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gridSpan w:val="5"/>
          </w:tcPr>
          <w:p>
            <w:pPr>
              <w:jc w:val="right"/>
              <w:ind w:right="531"/>
              <w:spacing w:after="0" w:line="156"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1,226,262</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average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185,096</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7"/>
              </w:rPr>
              <w:t>(1,268,758)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2,856,304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(511,935)</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1,772,642</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firstLine="551"/>
        <w:spacing w:after="0" w:line="282" w:lineRule="auto"/>
        <w:rPr>
          <w:sz w:val="20"/>
          <w:szCs w:val="20"/>
          <w:color w:val="auto"/>
        </w:rPr>
      </w:pPr>
      <w:r>
        <w:rPr>
          <w:rFonts w:ascii="Times New Roman" w:cs="Times New Roman" w:eastAsia="Times New Roman" w:hAnsi="Times New Roman"/>
          <w:sz w:val="18"/>
          <w:szCs w:val="18"/>
          <w:color w:val="auto"/>
        </w:rPr>
        <w:t>Average cash and cash equivalents increased by $937.8 million, or 325.16%, to $1.23 billion for the year ended December 31, 2020, compared to $288.4 million for 2019.</w:t>
      </w:r>
    </w:p>
    <w:p>
      <w:pPr>
        <w:spacing w:after="0" w:line="121" w:lineRule="exact"/>
        <w:rPr>
          <w:sz w:val="20"/>
          <w:szCs w:val="20"/>
          <w:color w:val="auto"/>
        </w:rPr>
      </w:pPr>
    </w:p>
    <w:p>
      <w:pPr>
        <w:ind w:left="120" w:right="720" w:firstLine="551"/>
        <w:spacing w:after="0" w:line="282" w:lineRule="auto"/>
        <w:rPr>
          <w:sz w:val="20"/>
          <w:szCs w:val="20"/>
          <w:color w:val="auto"/>
        </w:rPr>
      </w:pPr>
      <w:r>
        <w:rPr>
          <w:rFonts w:ascii="Times New Roman" w:cs="Times New Roman" w:eastAsia="Times New Roman" w:hAnsi="Times New Roman"/>
          <w:sz w:val="18"/>
          <w:szCs w:val="18"/>
          <w:color w:val="auto"/>
        </w:rPr>
        <w:t>At December 31, 2020, cash and cash equivalents totaled $1.96 billion. This represented an increase of $1.78 billion, or 955.51%, from $185.5 million at December 31, 2019.</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89" w:lineRule="exact"/>
        <w:rPr>
          <w:sz w:val="20"/>
          <w:szCs w:val="20"/>
          <w:color w:val="auto"/>
        </w:rPr>
      </w:pPr>
    </w:p>
    <w:p>
      <w:pPr>
        <w:ind w:left="120" w:right="160" w:firstLine="551"/>
        <w:spacing w:after="0" w:line="261" w:lineRule="auto"/>
        <w:rPr>
          <w:sz w:val="20"/>
          <w:szCs w:val="20"/>
          <w:color w:val="auto"/>
        </w:rPr>
      </w:pPr>
      <w:r>
        <w:rPr>
          <w:rFonts w:ascii="Times New Roman" w:cs="Times New Roman" w:eastAsia="Times New Roman" w:hAnsi="Times New Roman"/>
          <w:sz w:val="18"/>
          <w:szCs w:val="18"/>
          <w:color w:val="auto"/>
        </w:rPr>
        <w:t>In the normal course of its business activities, we are exposed to market risks, including price and liquidity risk. Market risk is the potential for loss from adverse changes in market rates and prices, such as interest rates (interest rate risk). Liquidity risk arises from the possibility that we may not be able to satisfy current or future commitments or that we may be more reliant on alternative funding sources such as long-term debt. Financial products that expose us to market risk include securities, loans, deposits, debt, and derivative financial instruments.</w:t>
      </w:r>
    </w:p>
    <w:p>
      <w:pPr>
        <w:spacing w:after="0" w:line="139" w:lineRule="exact"/>
        <w:rPr>
          <w:sz w:val="20"/>
          <w:szCs w:val="20"/>
          <w:color w:val="auto"/>
        </w:rPr>
      </w:pPr>
    </w:p>
    <w:p>
      <w:pPr>
        <w:ind w:left="120" w:right="340" w:firstLine="551"/>
        <w:spacing w:after="0" w:line="266" w:lineRule="auto"/>
        <w:rPr>
          <w:sz w:val="20"/>
          <w:szCs w:val="20"/>
          <w:color w:val="auto"/>
        </w:rPr>
      </w:pPr>
      <w:r>
        <w:rPr>
          <w:rFonts w:ascii="Times New Roman" w:cs="Times New Roman" w:eastAsia="Times New Roman" w:hAnsi="Times New Roman"/>
          <w:sz w:val="18"/>
          <w:szCs w:val="18"/>
          <w:color w:val="auto"/>
        </w:rPr>
        <w:t>The table below provides the actual balances as of December 31, 2020 of interest-earning assets and interest-bearing liabilities, including the average rate earned or incurred for 2020, the projected contractual maturities over the next five years, and the estimated fair value of each category determined using available market information and appropriate valuation methodologies.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Maturing</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Two</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Four</w:t>
            </w:r>
          </w:p>
        </w:tc>
        <w:tc>
          <w:tcPr>
            <w:tcW w:w="80" w:type="dxa"/>
            <w:vAlign w:val="bottom"/>
          </w:tcPr>
          <w:p>
            <w:pPr>
              <w:spacing w:after="0"/>
              <w:rPr>
                <w:sz w:val="10"/>
                <w:szCs w:val="10"/>
                <w:color w:val="auto"/>
              </w:rPr>
            </w:pPr>
          </w:p>
        </w:tc>
        <w:tc>
          <w:tcPr>
            <w:tcW w:w="8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Five Years</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Beyond</w:t>
            </w:r>
          </w:p>
        </w:tc>
        <w:tc>
          <w:tcPr>
            <w:tcW w:w="18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5"/>
          </w:tcPr>
          <w:p>
            <w:pPr>
              <w:jc w:val="right"/>
              <w:ind w:right="16"/>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Interest-earning assets:</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Investment securities available-for-sale (1)</w:t>
            </w:r>
          </w:p>
        </w:tc>
        <w:tc>
          <w:tcPr>
            <w:tcW w:w="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2,398,923</w:t>
            </w:r>
          </w:p>
        </w:tc>
        <w:tc>
          <w:tcPr>
            <w:tcW w:w="82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1.97%</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12,694</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149,991</w:t>
            </w:r>
          </w:p>
        </w:tc>
        <w:tc>
          <w:tcPr>
            <w:tcW w:w="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613,608</w:t>
            </w:r>
          </w:p>
        </w:tc>
        <w:tc>
          <w:tcPr>
            <w:tcW w:w="14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686,367</w:t>
            </w:r>
          </w:p>
        </w:tc>
        <w:tc>
          <w:tcPr>
            <w:tcW w:w="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936,263</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2,398,923</w:t>
            </w:r>
          </w:p>
        </w:tc>
        <w:tc>
          <w:tcPr>
            <w:tcW w:w="0" w:type="dxa"/>
            <w:vAlign w:val="bottom"/>
          </w:tcPr>
          <w:p>
            <w:pPr>
              <w:spacing w:after="0"/>
              <w:rPr>
                <w:sz w:val="1"/>
                <w:szCs w:val="1"/>
                <w:color w:val="auto"/>
              </w:rPr>
            </w:pPr>
          </w:p>
        </w:tc>
      </w:tr>
      <w:tr>
        <w:trPr>
          <w:trHeight w:val="135"/>
        </w:trPr>
        <w:tc>
          <w:tcPr>
            <w:tcW w:w="43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Investment securities held-to-maturity (1)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578,626</w:t>
            </w:r>
          </w:p>
        </w:tc>
        <w:tc>
          <w:tcPr>
            <w:tcW w:w="82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34,306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42,548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84,513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149,053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268,206</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604,223</w:t>
            </w:r>
          </w:p>
        </w:tc>
        <w:tc>
          <w:tcPr>
            <w:tcW w:w="0" w:type="dxa"/>
            <w:vAlign w:val="bottom"/>
          </w:tcPr>
          <w:p>
            <w:pPr>
              <w:spacing w:after="0"/>
              <w:rPr>
                <w:sz w:val="1"/>
                <w:szCs w:val="1"/>
                <w:color w:val="auto"/>
              </w:rPr>
            </w:pPr>
          </w:p>
        </w:tc>
      </w:tr>
      <w:tr>
        <w:trPr>
          <w:trHeight w:val="135"/>
        </w:trPr>
        <w:tc>
          <w:tcPr>
            <w:tcW w:w="4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Investment in FHLB stock</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17,688</w:t>
            </w:r>
          </w:p>
        </w:tc>
        <w:tc>
          <w:tcPr>
            <w:tcW w:w="82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17,688</w:t>
            </w:r>
          </w:p>
        </w:tc>
        <w:tc>
          <w:tcPr>
            <w:tcW w:w="18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17,688</w:t>
            </w:r>
          </w:p>
        </w:tc>
        <w:tc>
          <w:tcPr>
            <w:tcW w:w="0" w:type="dxa"/>
            <w:vAlign w:val="bottom"/>
          </w:tcPr>
          <w:p>
            <w:pPr>
              <w:spacing w:after="0"/>
              <w:rPr>
                <w:sz w:val="1"/>
                <w:szCs w:val="1"/>
                <w:color w:val="auto"/>
              </w:rPr>
            </w:pPr>
          </w:p>
        </w:tc>
      </w:tr>
      <w:tr>
        <w:trPr>
          <w:trHeight w:val="135"/>
        </w:trPr>
        <w:tc>
          <w:tcPr>
            <w:tcW w:w="43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Interest-earning deposits due from</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Federal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1,879,418</w:t>
            </w:r>
          </w:p>
        </w:tc>
        <w:tc>
          <w:tcPr>
            <w:tcW w:w="82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6"/>
              </w:rPr>
              <w:t>1,878,678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1,879,455</w:t>
            </w:r>
          </w:p>
        </w:tc>
        <w:tc>
          <w:tcPr>
            <w:tcW w:w="0" w:type="dxa"/>
            <w:vAlign w:val="bottom"/>
          </w:tcPr>
          <w:p>
            <w:pPr>
              <w:spacing w:after="0"/>
              <w:rPr>
                <w:sz w:val="1"/>
                <w:szCs w:val="1"/>
                <w:color w:val="auto"/>
              </w:rPr>
            </w:pPr>
          </w:p>
        </w:tc>
      </w:tr>
      <w:tr>
        <w:trPr>
          <w:trHeight w:val="135"/>
        </w:trPr>
        <w:tc>
          <w:tcPr>
            <w:tcW w:w="436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Reserve and with other institutions</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Loans and lease finance receivables (2)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8,348,808</w:t>
            </w:r>
          </w:p>
        </w:tc>
        <w:tc>
          <w:tcPr>
            <w:tcW w:w="20" w:type="dxa"/>
            <w:vAlign w:val="bottom"/>
          </w:tcPr>
          <w:p>
            <w:pPr>
              <w:spacing w:after="0"/>
              <w:rPr>
                <w:sz w:val="11"/>
                <w:szCs w:val="11"/>
                <w:color w:val="auto"/>
              </w:rPr>
            </w:pPr>
          </w:p>
        </w:tc>
        <w:tc>
          <w:tcPr>
            <w:tcW w:w="82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897,281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1,413,759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555,899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483,212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4,998,657</w:t>
            </w:r>
          </w:p>
        </w:tc>
        <w:tc>
          <w:tcPr>
            <w:tcW w:w="18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8,349,870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36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13,223,463</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6"/>
              </w:rPr>
              <w:t>2,822,959</w:t>
            </w: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w w:val="96"/>
              </w:rPr>
              <w:t>1,606,298</w:t>
            </w:r>
          </w:p>
        </w:tc>
        <w:tc>
          <w:tcPr>
            <w:tcW w:w="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1,254,760</w:t>
            </w:r>
          </w:p>
        </w:tc>
        <w:tc>
          <w:tcPr>
            <w:tcW w:w="140" w:type="dxa"/>
            <w:vAlign w:val="bottom"/>
            <w:gridSpan w:val="2"/>
            <w:shd w:val="clear" w:color="auto" w:fill="CCEEFF"/>
          </w:tcPr>
          <w:p>
            <w:pPr>
              <w:jc w:val="center"/>
              <w:ind w:left="17"/>
              <w:spacing w:after="0" w:line="135" w:lineRule="exact"/>
              <w:rPr>
                <w:sz w:val="20"/>
                <w:szCs w:val="20"/>
                <w:color w:val="auto"/>
              </w:rPr>
            </w:pPr>
            <w:r>
              <w:rPr>
                <w:rFonts w:ascii="Times New Roman" w:cs="Times New Roman" w:eastAsia="Times New Roman" w:hAnsi="Times New Roman"/>
                <w:sz w:val="13"/>
                <w:szCs w:val="13"/>
                <w:u w:val="single" w:color="auto"/>
                <w:color w:val="auto"/>
                <w:w w:val="91"/>
              </w:rPr>
              <w:t>$</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w w:val="96"/>
              </w:rPr>
              <w:t>1,318,632</w:t>
            </w:r>
          </w:p>
        </w:tc>
        <w:tc>
          <w:tcPr>
            <w:tcW w:w="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6,220,814</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13,250,159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Interest-bearing liabilities: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deposits</w:t>
            </w:r>
          </w:p>
        </w:tc>
        <w:tc>
          <w:tcPr>
            <w:tcW w:w="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4,281,114</w:t>
            </w:r>
          </w:p>
        </w:tc>
        <w:tc>
          <w:tcPr>
            <w:tcW w:w="82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6"/>
              </w:rPr>
              <w:t>4,241,889</w:t>
            </w: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24,154</w:t>
            </w:r>
          </w:p>
        </w:tc>
        <w:tc>
          <w:tcPr>
            <w:tcW w:w="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5,096</w:t>
            </w:r>
          </w:p>
        </w:tc>
        <w:tc>
          <w:tcPr>
            <w:tcW w:w="140" w:type="dxa"/>
            <w:vAlign w:val="bottom"/>
            <w:gridSpan w:val="2"/>
            <w:shd w:val="clear" w:color="auto" w:fill="CCEEFF"/>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1,312</w:t>
            </w:r>
          </w:p>
        </w:tc>
        <w:tc>
          <w:tcPr>
            <w:tcW w:w="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8,663</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4,281,952</w:t>
            </w:r>
          </w:p>
        </w:tc>
        <w:tc>
          <w:tcPr>
            <w:tcW w:w="0" w:type="dxa"/>
            <w:vAlign w:val="bottom"/>
          </w:tcPr>
          <w:p>
            <w:pPr>
              <w:spacing w:after="0"/>
              <w:rPr>
                <w:sz w:val="1"/>
                <w:szCs w:val="1"/>
                <w:color w:val="auto"/>
              </w:rPr>
            </w:pPr>
          </w:p>
        </w:tc>
      </w:tr>
      <w:tr>
        <w:trPr>
          <w:trHeight w:val="135"/>
        </w:trPr>
        <w:tc>
          <w:tcPr>
            <w:tcW w:w="4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Borrowings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444,406</w:t>
            </w:r>
          </w:p>
        </w:tc>
        <w:tc>
          <w:tcPr>
            <w:tcW w:w="82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444,406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444,349</w:t>
            </w:r>
          </w:p>
        </w:tc>
        <w:tc>
          <w:tcPr>
            <w:tcW w:w="0" w:type="dxa"/>
            <w:vAlign w:val="bottom"/>
          </w:tcPr>
          <w:p>
            <w:pPr>
              <w:spacing w:after="0"/>
              <w:rPr>
                <w:sz w:val="1"/>
                <w:szCs w:val="1"/>
                <w:color w:val="auto"/>
              </w:rPr>
            </w:pPr>
          </w:p>
        </w:tc>
      </w:tr>
      <w:tr>
        <w:trPr>
          <w:trHeight w:val="135"/>
        </w:trPr>
        <w:tc>
          <w:tcPr>
            <w:tcW w:w="43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Junior subordinated debentures</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25,774</w:t>
            </w:r>
          </w:p>
        </w:tc>
        <w:tc>
          <w:tcPr>
            <w:tcW w:w="82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25,774</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19,431</w:t>
            </w:r>
          </w:p>
        </w:tc>
        <w:tc>
          <w:tcPr>
            <w:tcW w:w="0" w:type="dxa"/>
            <w:vAlign w:val="bottom"/>
          </w:tcPr>
          <w:p>
            <w:pPr>
              <w:spacing w:after="0"/>
              <w:rPr>
                <w:sz w:val="1"/>
                <w:szCs w:val="1"/>
                <w:color w:val="auto"/>
              </w:rPr>
            </w:pPr>
          </w:p>
        </w:tc>
      </w:tr>
      <w:tr>
        <w:trPr>
          <w:trHeight w:val="142"/>
        </w:trPr>
        <w:tc>
          <w:tcPr>
            <w:tcW w:w="436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4,751,294</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6"/>
              </w:rPr>
              <w:t>4,686,295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24,154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5,096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34,437</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4,745,732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980" w:hanging="432"/>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include mortgage-backed securities which generally prepay before maturity.</w:t>
      </w:r>
    </w:p>
    <w:p>
      <w:pPr>
        <w:spacing w:after="0" w:line="3" w:lineRule="exact"/>
        <w:rPr>
          <w:rFonts w:ascii="Times New Roman" w:cs="Times New Roman" w:eastAsia="Times New Roman" w:hAnsi="Times New Roman"/>
          <w:sz w:val="14"/>
          <w:szCs w:val="14"/>
          <w:color w:val="auto"/>
        </w:rPr>
      </w:pPr>
    </w:p>
    <w:p>
      <w:pPr>
        <w:ind w:left="980" w:hanging="432"/>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loans, net of deferred loan fees, costs and discounts.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82"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 Management</w:t>
      </w:r>
    </w:p>
    <w:p>
      <w:pPr>
        <w:spacing w:after="0" w:line="202" w:lineRule="exact"/>
        <w:rPr>
          <w:sz w:val="20"/>
          <w:szCs w:val="20"/>
          <w:color w:val="auto"/>
        </w:rPr>
      </w:pPr>
    </w:p>
    <w:p>
      <w:pPr>
        <w:ind w:left="120" w:right="20" w:firstLine="551"/>
        <w:spacing w:after="0" w:line="253" w:lineRule="auto"/>
        <w:rPr>
          <w:sz w:val="20"/>
          <w:szCs w:val="20"/>
          <w:color w:val="auto"/>
        </w:rPr>
      </w:pPr>
      <w:r>
        <w:rPr>
          <w:rFonts w:ascii="Times New Roman" w:cs="Times New Roman" w:eastAsia="Times New Roman" w:hAnsi="Times New Roman"/>
          <w:sz w:val="18"/>
          <w:szCs w:val="18"/>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54" w:lineRule="exact"/>
        <w:rPr>
          <w:sz w:val="20"/>
          <w:szCs w:val="20"/>
          <w:color w:val="auto"/>
        </w:rPr>
      </w:pPr>
    </w:p>
    <w:p>
      <w:pPr>
        <w:ind w:left="120" w:right="60" w:firstLine="551"/>
        <w:spacing w:after="0" w:line="255" w:lineRule="auto"/>
        <w:rPr>
          <w:sz w:val="20"/>
          <w:szCs w:val="20"/>
          <w:color w:val="auto"/>
        </w:rPr>
      </w:pPr>
      <w:r>
        <w:rPr>
          <w:rFonts w:ascii="Times New Roman" w:cs="Times New Roman" w:eastAsia="Times New Roman" w:hAnsi="Times New Roman"/>
          <w:sz w:val="18"/>
          <w:szCs w:val="18"/>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interest rate risk policy measures the sensitivity of our net interest income over both a one-year and two-year cumulative time horizon.</w:t>
      </w:r>
    </w:p>
    <w:p>
      <w:pPr>
        <w:spacing w:after="0" w:line="198" w:lineRule="exact"/>
        <w:rPr>
          <w:sz w:val="20"/>
          <w:szCs w:val="20"/>
          <w:color w:val="auto"/>
        </w:rPr>
      </w:pPr>
    </w:p>
    <w:p>
      <w:pPr>
        <w:ind w:left="120" w:right="40" w:firstLine="551"/>
        <w:spacing w:after="0" w:line="258" w:lineRule="auto"/>
        <w:rPr>
          <w:sz w:val="20"/>
          <w:szCs w:val="20"/>
          <w:color w:val="auto"/>
        </w:rPr>
      </w:pPr>
      <w:r>
        <w:rPr>
          <w:rFonts w:ascii="Times New Roman" w:cs="Times New Roman" w:eastAsia="Times New Roman" w:hAnsi="Times New Roman"/>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one-year horizon assuming no balance sheet growth, given a 200 basis point upward and either a 100 or 200 basis point downward shift in interest rates depending on the level of current market rates. The simulation model uses a parallel yield curve shift that ramps rates up or down on a pro rata basis over the 12-month and 24-month time horizon.</w:t>
      </w:r>
    </w:p>
    <w:p>
      <w:pPr>
        <w:spacing w:after="0" w:line="143" w:lineRule="exact"/>
        <w:rPr>
          <w:sz w:val="20"/>
          <w:szCs w:val="20"/>
          <w:color w:val="auto"/>
        </w:rPr>
      </w:pPr>
    </w:p>
    <w:p>
      <w:pPr>
        <w:ind w:left="120" w:right="140" w:firstLine="551"/>
        <w:spacing w:after="0" w:line="282" w:lineRule="auto"/>
        <w:rPr>
          <w:sz w:val="20"/>
          <w:szCs w:val="20"/>
          <w:color w:val="auto"/>
        </w:rPr>
      </w:pPr>
      <w:r>
        <w:rPr>
          <w:rFonts w:ascii="Times New Roman" w:cs="Times New Roman" w:eastAsia="Times New Roman" w:hAnsi="Times New Roman"/>
          <w:sz w:val="18"/>
          <w:szCs w:val="18"/>
          <w:color w:val="auto"/>
        </w:rPr>
        <w:t>The following depicts the Company’s net interest income sensitivity analysis for the periods presented below, when rates are ramped up 200bps or ramped down 100bps over a 12-month time horizon.</w:t>
      </w:r>
    </w:p>
    <w:p>
      <w:pPr>
        <w:spacing w:after="0" w:line="15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b w:val="1"/>
          <w:bCs w:val="1"/>
          <w:color w:val="auto"/>
        </w:rPr>
        <w:t>Estimated Net Interest Income Sensitivity (1)</w:t>
      </w:r>
    </w:p>
    <w:p>
      <w:pPr>
        <w:spacing w:after="0" w:line="11" w:lineRule="exact"/>
        <w:rPr>
          <w:sz w:val="20"/>
          <w:szCs w:val="20"/>
          <w:color w:val="auto"/>
        </w:rPr>
      </w:pPr>
    </w:p>
    <w:tbl>
      <w:tblPr>
        <w:tblLayout w:type="fixed"/>
        <w:tblInd w:w="560" w:type="dxa"/>
        <w:tblCellMar>
          <w:top w:w="0" w:type="dxa"/>
          <w:left w:w="0" w:type="dxa"/>
          <w:bottom w:w="0" w:type="dxa"/>
          <w:right w:w="0" w:type="dxa"/>
        </w:tblCellMar>
      </w:tblPr>
      <w:tr>
        <w:trPr>
          <w:trHeight w:val="169"/>
        </w:trPr>
        <w:tc>
          <w:tcPr>
            <w:tcW w:w="14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120" w:type="dxa"/>
            <w:vAlign w:val="bottom"/>
            <w:tcBorders>
              <w:top w:val="single" w:sz="8" w:color="auto"/>
            </w:tcBorders>
            <w:gridSpan w:val="4"/>
          </w:tcPr>
          <w:p>
            <w:pPr>
              <w:ind w:left="840"/>
              <w:spacing w:after="0" w:line="169" w:lineRule="exact"/>
              <w:rPr>
                <w:sz w:val="20"/>
                <w:szCs w:val="20"/>
                <w:color w:val="auto"/>
              </w:rPr>
            </w:pPr>
            <w:r>
              <w:rPr>
                <w:rFonts w:ascii="Times New Roman" w:cs="Times New Roman" w:eastAsia="Times New Roman" w:hAnsi="Times New Roman"/>
                <w:sz w:val="15"/>
                <w:szCs w:val="15"/>
                <w:b w:val="1"/>
                <w:bCs w:val="1"/>
                <w:color w:val="auto"/>
              </w:rPr>
              <w:t>December 31, 2020</w:t>
            </w:r>
          </w:p>
        </w:tc>
        <w:tc>
          <w:tcPr>
            <w:tcW w:w="2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gridSpan w:val="3"/>
          </w:tcPr>
          <w:p>
            <w:pPr>
              <w:jc w:val="right"/>
              <w:ind w:right="844"/>
              <w:spacing w:after="0" w:line="169" w:lineRule="exact"/>
              <w:rPr>
                <w:sz w:val="20"/>
                <w:szCs w:val="20"/>
                <w:color w:val="auto"/>
              </w:rPr>
            </w:pPr>
            <w:r>
              <w:rPr>
                <w:rFonts w:ascii="Times New Roman" w:cs="Times New Roman" w:eastAsia="Times New Roman" w:hAnsi="Times New Roman"/>
                <w:sz w:val="15"/>
                <w:szCs w:val="15"/>
                <w:b w:val="1"/>
                <w:bCs w:val="1"/>
                <w:color w:val="auto"/>
              </w:rPr>
              <w:t>December 31, 2019</w:t>
            </w:r>
          </w:p>
        </w:tc>
        <w:tc>
          <w:tcPr>
            <w:tcW w:w="0" w:type="dxa"/>
            <w:vAlign w:val="bottom"/>
          </w:tcPr>
          <w:p>
            <w:pPr>
              <w:spacing w:after="0"/>
              <w:rPr>
                <w:sz w:val="1"/>
                <w:szCs w:val="1"/>
                <w:color w:val="auto"/>
              </w:rPr>
            </w:pPr>
          </w:p>
        </w:tc>
      </w:tr>
      <w:tr>
        <w:trPr>
          <w:trHeight w:val="134"/>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Interest Rate Scenario</w:t>
            </w:r>
          </w:p>
        </w:tc>
        <w:tc>
          <w:tcPr>
            <w:tcW w:w="62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24-month Period</w:t>
            </w:r>
          </w:p>
        </w:tc>
        <w:tc>
          <w:tcPr>
            <w:tcW w:w="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right"/>
              <w:ind w:right="124"/>
              <w:spacing w:after="0" w:line="134" w:lineRule="exact"/>
              <w:rPr>
                <w:sz w:val="20"/>
                <w:szCs w:val="20"/>
                <w:color w:val="auto"/>
              </w:rPr>
            </w:pPr>
            <w:r>
              <w:rPr>
                <w:rFonts w:ascii="Times New Roman" w:cs="Times New Roman" w:eastAsia="Times New Roman" w:hAnsi="Times New Roman"/>
                <w:sz w:val="15"/>
                <w:szCs w:val="15"/>
                <w:b w:val="1"/>
                <w:bCs w:val="1"/>
                <w:color w:val="auto"/>
              </w:rPr>
              <w:t>24-month Period</w:t>
            </w:r>
          </w:p>
        </w:tc>
        <w:tc>
          <w:tcPr>
            <w:tcW w:w="0" w:type="dxa"/>
            <w:vAlign w:val="bottom"/>
          </w:tcPr>
          <w:p>
            <w:pPr>
              <w:spacing w:after="0"/>
              <w:rPr>
                <w:sz w:val="1"/>
                <w:szCs w:val="1"/>
                <w:color w:val="auto"/>
              </w:rPr>
            </w:pPr>
          </w:p>
        </w:tc>
      </w:tr>
      <w:tr>
        <w:trPr>
          <w:trHeight w:val="175"/>
        </w:trPr>
        <w:tc>
          <w:tcPr>
            <w:tcW w:w="1480" w:type="dxa"/>
            <w:vAlign w:val="bottom"/>
            <w:tcBorders>
              <w:bottom w:val="single" w:sz="8" w:color="auto"/>
            </w:tcBorders>
            <w:vMerge w:val="continue"/>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gridSpan w:val="2"/>
          </w:tcPr>
          <w:p>
            <w:pPr>
              <w:ind w:left="180"/>
              <w:spacing w:after="0" w:line="170" w:lineRule="exact"/>
              <w:rPr>
                <w:sz w:val="20"/>
                <w:szCs w:val="20"/>
                <w:color w:val="auto"/>
              </w:rPr>
            </w:pPr>
            <w:r>
              <w:rPr>
                <w:rFonts w:ascii="Times New Roman" w:cs="Times New Roman" w:eastAsia="Times New Roman" w:hAnsi="Times New Roman"/>
                <w:sz w:val="15"/>
                <w:szCs w:val="15"/>
                <w:b w:val="1"/>
                <w:bCs w:val="1"/>
                <w:color w:val="auto"/>
              </w:rPr>
              <w:t>12-month Period</w:t>
            </w:r>
          </w:p>
        </w:tc>
        <w:tc>
          <w:tcPr>
            <w:tcW w:w="1560" w:type="dxa"/>
            <w:vAlign w:val="bottom"/>
            <w:gridSpan w:val="2"/>
          </w:tcPr>
          <w:p>
            <w:pPr>
              <w:jc w:val="center"/>
              <w:ind w:right="200"/>
              <w:spacing w:after="0" w:line="170" w:lineRule="exact"/>
              <w:rPr>
                <w:sz w:val="20"/>
                <w:szCs w:val="20"/>
                <w:color w:val="auto"/>
              </w:rPr>
            </w:pPr>
            <w:r>
              <w:rPr>
                <w:rFonts w:ascii="Times New Roman" w:cs="Times New Roman" w:eastAsia="Times New Roman" w:hAnsi="Times New Roman"/>
                <w:sz w:val="15"/>
                <w:szCs w:val="15"/>
                <w:b w:val="1"/>
                <w:bCs w:val="1"/>
                <w:color w:val="auto"/>
              </w:rPr>
              <w:t>(Cumulative)</w:t>
            </w:r>
          </w:p>
        </w:tc>
        <w:tc>
          <w:tcPr>
            <w:tcW w:w="2320" w:type="dxa"/>
            <w:vAlign w:val="bottom"/>
            <w:gridSpan w:val="2"/>
          </w:tcPr>
          <w:p>
            <w:pPr>
              <w:jc w:val="right"/>
              <w:ind w:right="480"/>
              <w:spacing w:after="0" w:line="170" w:lineRule="exact"/>
              <w:rPr>
                <w:sz w:val="20"/>
                <w:szCs w:val="20"/>
                <w:color w:val="auto"/>
              </w:rPr>
            </w:pPr>
            <w:r>
              <w:rPr>
                <w:rFonts w:ascii="Times New Roman" w:cs="Times New Roman" w:eastAsia="Times New Roman" w:hAnsi="Times New Roman"/>
                <w:sz w:val="15"/>
                <w:szCs w:val="15"/>
                <w:b w:val="1"/>
                <w:bCs w:val="1"/>
                <w:color w:val="auto"/>
              </w:rPr>
              <w:t>Interest Rate Scenario</w:t>
            </w:r>
          </w:p>
        </w:tc>
        <w:tc>
          <w:tcPr>
            <w:tcW w:w="1560" w:type="dxa"/>
            <w:vAlign w:val="bottom"/>
            <w:gridSpan w:val="2"/>
          </w:tcPr>
          <w:p>
            <w:pPr>
              <w:ind w:left="180"/>
              <w:spacing w:after="0" w:line="170" w:lineRule="exact"/>
              <w:rPr>
                <w:sz w:val="20"/>
                <w:szCs w:val="20"/>
                <w:color w:val="auto"/>
              </w:rPr>
            </w:pPr>
            <w:r>
              <w:rPr>
                <w:rFonts w:ascii="Times New Roman" w:cs="Times New Roman" w:eastAsia="Times New Roman" w:hAnsi="Times New Roman"/>
                <w:sz w:val="15"/>
                <w:szCs w:val="15"/>
                <w:b w:val="1"/>
                <w:bCs w:val="1"/>
                <w:color w:val="auto"/>
              </w:rPr>
              <w:t>12-month Period</w:t>
            </w:r>
          </w:p>
        </w:tc>
        <w:tc>
          <w:tcPr>
            <w:tcW w:w="1480" w:type="dxa"/>
            <w:vAlign w:val="bottom"/>
          </w:tcPr>
          <w:p>
            <w:pPr>
              <w:jc w:val="right"/>
              <w:ind w:right="244"/>
              <w:spacing w:after="0" w:line="170" w:lineRule="exact"/>
              <w:rPr>
                <w:sz w:val="20"/>
                <w:szCs w:val="20"/>
                <w:color w:val="auto"/>
              </w:rPr>
            </w:pPr>
            <w:r>
              <w:rPr>
                <w:rFonts w:ascii="Times New Roman" w:cs="Times New Roman" w:eastAsia="Times New Roman" w:hAnsi="Times New Roman"/>
                <w:sz w:val="15"/>
                <w:szCs w:val="15"/>
                <w:b w:val="1"/>
                <w:bCs w:val="1"/>
                <w:color w:val="auto"/>
              </w:rPr>
              <w:t>(Cumulative)</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+ 200 basis points</w:t>
            </w:r>
          </w:p>
        </w:tc>
        <w:tc>
          <w:tcPr>
            <w:tcW w:w="6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24"/>
              <w:spacing w:after="0" w:line="143" w:lineRule="exact"/>
              <w:rPr>
                <w:sz w:val="20"/>
                <w:szCs w:val="20"/>
                <w:color w:val="auto"/>
              </w:rPr>
            </w:pPr>
            <w:r>
              <w:rPr>
                <w:rFonts w:ascii="Times New Roman" w:cs="Times New Roman" w:eastAsia="Times New Roman" w:hAnsi="Times New Roman"/>
                <w:sz w:val="15"/>
                <w:szCs w:val="15"/>
                <w:color w:val="auto"/>
              </w:rPr>
              <w:t>11.10%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04"/>
              <w:spacing w:after="0" w:line="143" w:lineRule="exact"/>
              <w:rPr>
                <w:sz w:val="20"/>
                <w:szCs w:val="20"/>
                <w:color w:val="auto"/>
              </w:rPr>
            </w:pPr>
            <w:r>
              <w:rPr>
                <w:rFonts w:ascii="Times New Roman" w:cs="Times New Roman" w:eastAsia="Times New Roman" w:hAnsi="Times New Roman"/>
                <w:sz w:val="15"/>
                <w:szCs w:val="15"/>
                <w:color w:val="auto"/>
              </w:rPr>
              <w:t>19.60%</w:t>
            </w:r>
          </w:p>
        </w:tc>
        <w:tc>
          <w:tcPr>
            <w:tcW w:w="200" w:type="dxa"/>
            <w:vAlign w:val="bottom"/>
            <w:shd w:val="clear" w:color="auto" w:fill="CCEEFF"/>
          </w:tcPr>
          <w:p>
            <w:pPr>
              <w:spacing w:after="0"/>
              <w:rPr>
                <w:sz w:val="12"/>
                <w:szCs w:val="12"/>
                <w:color w:val="auto"/>
              </w:rPr>
            </w:pPr>
          </w:p>
        </w:tc>
        <w:tc>
          <w:tcPr>
            <w:tcW w:w="22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+ 200 basis points</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24"/>
              <w:spacing w:after="0" w:line="143" w:lineRule="exact"/>
              <w:rPr>
                <w:sz w:val="20"/>
                <w:szCs w:val="20"/>
                <w:color w:val="auto"/>
              </w:rPr>
            </w:pPr>
            <w:r>
              <w:rPr>
                <w:rFonts w:ascii="Times New Roman" w:cs="Times New Roman" w:eastAsia="Times New Roman" w:hAnsi="Times New Roman"/>
                <w:sz w:val="15"/>
                <w:szCs w:val="15"/>
                <w:color w:val="auto"/>
              </w:rPr>
              <w:t>5.20%</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164"/>
              <w:spacing w:after="0" w:line="143" w:lineRule="exact"/>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98"/>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- 100 basis points</w:t>
            </w:r>
          </w:p>
        </w:tc>
        <w:tc>
          <w:tcPr>
            <w:tcW w:w="208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spacing w:after="0"/>
              <w:rPr>
                <w:sz w:val="17"/>
                <w:szCs w:val="17"/>
                <w:color w:val="auto"/>
              </w:rPr>
            </w:pPr>
          </w:p>
        </w:tc>
        <w:tc>
          <w:tcPr>
            <w:tcW w:w="13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-2.40%</w:t>
            </w:r>
          </w:p>
        </w:tc>
        <w:tc>
          <w:tcPr>
            <w:tcW w:w="200" w:type="dxa"/>
            <w:vAlign w:val="bottom"/>
          </w:tcPr>
          <w:p>
            <w:pPr>
              <w:spacing w:after="0"/>
              <w:rPr>
                <w:sz w:val="17"/>
                <w:szCs w:val="17"/>
                <w:color w:val="auto"/>
              </w:rPr>
            </w:pP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- 100 basis points</w:t>
            </w:r>
          </w:p>
        </w:tc>
        <w:tc>
          <w:tcPr>
            <w:tcW w:w="146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-2.10%</w:t>
            </w:r>
          </w:p>
        </w:tc>
        <w:tc>
          <w:tcPr>
            <w:tcW w:w="100" w:type="dxa"/>
            <w:vAlign w:val="bottom"/>
          </w:tcPr>
          <w:p>
            <w:pPr>
              <w:spacing w:after="0"/>
              <w:rPr>
                <w:sz w:val="17"/>
                <w:szCs w:val="17"/>
                <w:color w:val="auto"/>
              </w:rPr>
            </w:pPr>
          </w:p>
        </w:tc>
        <w:tc>
          <w:tcPr>
            <w:tcW w:w="14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-4.60%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080" w:right="160" w:hanging="425"/>
        <w:spacing w:after="0" w:line="298" w:lineRule="auto"/>
        <w:tabs>
          <w:tab w:leader="none" w:pos="20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change from base scenario, but the current low interest rate environment limits the absolute decline in rates as the model does not assume rates go below zero.</w:t>
      </w:r>
    </w:p>
    <w:p>
      <w:pPr>
        <w:spacing w:after="0" w:line="146" w:lineRule="exact"/>
        <w:rPr>
          <w:sz w:val="20"/>
          <w:szCs w:val="20"/>
          <w:color w:val="auto"/>
        </w:rPr>
      </w:pPr>
    </w:p>
    <w:p>
      <w:pPr>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Based on our current simulation models, we believe that the interest rate risk profile of the balance sheet is asset sensitive over both a one-year and a two-year horizon. The estimated sensitivity does not necessarily represent a forecast and the results may not be indicative of actual changes to our net interest income. These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82"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Our exposure in the rates down scenario is impacted by the current low interest rate environment and the model does not assume that rates go below 0.01%.</w:t>
      </w:r>
    </w:p>
    <w:p>
      <w:pPr>
        <w:spacing w:after="0" w:line="160" w:lineRule="exact"/>
        <w:rPr>
          <w:sz w:val="20"/>
          <w:szCs w:val="20"/>
          <w:color w:val="auto"/>
        </w:rPr>
      </w:pPr>
    </w:p>
    <w:p>
      <w:pPr>
        <w:ind w:left="120" w:right="80" w:firstLine="551"/>
        <w:spacing w:after="0" w:line="254" w:lineRule="auto"/>
        <w:rPr>
          <w:sz w:val="20"/>
          <w:szCs w:val="20"/>
          <w:color w:val="auto"/>
        </w:rPr>
      </w:pPr>
      <w:r>
        <w:rPr>
          <w:rFonts w:ascii="Times New Roman" w:cs="Times New Roman" w:eastAsia="Times New Roman" w:hAnsi="Times New Roman"/>
          <w:sz w:val="18"/>
          <w:szCs w:val="18"/>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December 31, 2020 and December 31, 2019, the EVE profile indicates a decline in net balance sheet value due to instantaneous downward changes in rates, compared to an increase resulting from an increase in rates.</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Economic Value of Equity Sensitivity</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45"/>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Instantaneous Rate Change</w:t>
            </w:r>
          </w:p>
        </w:tc>
        <w:tc>
          <w:tcPr>
            <w:tcW w:w="23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2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03"/>
        </w:trPr>
        <w:tc>
          <w:tcPr>
            <w:tcW w:w="4740" w:type="dxa"/>
            <w:vAlign w:val="bottom"/>
            <w:tcBorders>
              <w:top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100 bp decrease in interest rates</w:t>
            </w: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100 bp increase in interest rates</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14.2%</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bp increase in interest rates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300 bp increase in interest rates</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400 bp increase in interest rates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36.2%</w:t>
            </w:r>
          </w:p>
        </w:tc>
      </w:tr>
    </w:tbl>
    <w:p>
      <w:pPr>
        <w:spacing w:after="0" w:line="157" w:lineRule="exact"/>
        <w:rPr>
          <w:sz w:val="20"/>
          <w:szCs w:val="20"/>
          <w:color w:val="auto"/>
        </w:rPr>
      </w:pPr>
    </w:p>
    <w:p>
      <w:pPr>
        <w:ind w:left="120" w:right="140" w:firstLine="551"/>
        <w:spacing w:after="0" w:line="261" w:lineRule="auto"/>
        <w:rPr>
          <w:sz w:val="20"/>
          <w:szCs w:val="20"/>
          <w:color w:val="auto"/>
        </w:rPr>
      </w:pPr>
      <w:r>
        <w:rPr>
          <w:rFonts w:ascii="Times New Roman" w:cs="Times New Roman" w:eastAsia="Times New Roman" w:hAnsi="Times New Roman"/>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189" w:lineRule="exact"/>
        <w:rPr>
          <w:sz w:val="20"/>
          <w:szCs w:val="20"/>
          <w:color w:val="auto"/>
        </w:rPr>
      </w:pPr>
    </w:p>
    <w:p>
      <w:pPr>
        <w:ind w:left="120" w:right="20" w:firstLine="551"/>
        <w:spacing w:after="0" w:line="266" w:lineRule="auto"/>
        <w:rPr>
          <w:sz w:val="20"/>
          <w:szCs w:val="20"/>
          <w:color w:val="auto"/>
        </w:rPr>
      </w:pPr>
      <w:r>
        <w:rPr>
          <w:rFonts w:ascii="Times New Roman" w:cs="Times New Roman" w:eastAsia="Times New Roman" w:hAnsi="Times New Roman"/>
          <w:sz w:val="18"/>
          <w:szCs w:val="18"/>
          <w:color w:val="auto"/>
        </w:rPr>
        <w:t>Recent developments in the financial markets have placed an increased awareness of Counterparty Risks. These risks occur when a financial institution has an indebtedness or potential for indebtedness to another financial institution. We have assessed our Counterparty Risk with the following results:</w:t>
      </w:r>
    </w:p>
    <w:p>
      <w:pPr>
        <w:spacing w:after="0" w:line="176" w:lineRule="exact"/>
        <w:rPr>
          <w:sz w:val="20"/>
          <w:szCs w:val="20"/>
          <w:color w:val="auto"/>
        </w:rPr>
      </w:pPr>
    </w:p>
    <w:p>
      <w:pPr>
        <w:ind w:left="1420" w:hanging="427"/>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any investments in the preferred stock of any other company;</w:t>
      </w:r>
    </w:p>
    <w:p>
      <w:pPr>
        <w:spacing w:after="0" w:line="27" w:lineRule="exact"/>
        <w:rPr>
          <w:rFonts w:ascii="Times New Roman" w:cs="Times New Roman" w:eastAsia="Times New Roman" w:hAnsi="Times New Roman"/>
          <w:sz w:val="18"/>
          <w:szCs w:val="18"/>
          <w:color w:val="auto"/>
        </w:rPr>
      </w:pPr>
    </w:p>
    <w:p>
      <w:pPr>
        <w:ind w:left="1420" w:right="240" w:hanging="427"/>
        <w:spacing w:after="0" w:line="250"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investment securities are either municipal securities or securities either issued or guaranteed by government, agencies, including Fannie Mae, Freddie Mac, SBA or FHLB;</w:t>
      </w:r>
    </w:p>
    <w:p>
      <w:pPr>
        <w:ind w:left="1420" w:hanging="427"/>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commercial line insurance policies are with companies with the highest AM Best ratings of A or above;</w:t>
      </w:r>
    </w:p>
    <w:p>
      <w:pPr>
        <w:spacing w:after="0" w:line="9" w:lineRule="exact"/>
        <w:rPr>
          <w:rFonts w:ascii="Times New Roman" w:cs="Times New Roman" w:eastAsia="Times New Roman" w:hAnsi="Times New Roman"/>
          <w:sz w:val="18"/>
          <w:szCs w:val="18"/>
          <w:color w:val="auto"/>
        </w:rPr>
      </w:pPr>
    </w:p>
    <w:p>
      <w:pPr>
        <w:ind w:left="1420" w:right="880" w:hanging="427"/>
        <w:spacing w:after="0" w:line="250"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significant exposure to our Cash Surrender Value of Life Insurance since the Cash Surrender Value balance is predominately supported by insurance companies that carry an AM Best rating of B+ or greater;</w:t>
      </w:r>
    </w:p>
    <w:p>
      <w:pPr>
        <w:ind w:left="1420" w:hanging="427"/>
        <w:spacing w:after="0" w:line="260"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significant Counterparty exposure related to derivatives such as interest rate swaps. Our Counterparty is a major financial institution and our agreement requires the Counterparty to post cash collateral for mark-to-market balances due to us;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60"/>
          </w:cols>
          <w:pgMar w:left="320" w:top="482" w:right="51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40" w:hanging="427"/>
        <w:spacing w:after="0" w:line="261"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risk of loss associated with our counterparty borrowers related to interest rate swaps is generally mitigated as the loans with swaps are underwritten to take into account potential additional exposure;</w:t>
      </w:r>
    </w:p>
    <w:p>
      <w:pPr>
        <w:ind w:left="1420" w:right="220" w:hanging="427"/>
        <w:spacing w:after="0" w:line="250"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2020, we had $389.0 million in Fed Funds lines of credit with other major U.S. banks. These lines of credit are available for overnight borrowings; and</w:t>
      </w:r>
    </w:p>
    <w:p>
      <w:pPr>
        <w:ind w:left="1420" w:right="420" w:hanging="427"/>
        <w:spacing w:after="0" w:line="260"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2020, we had $5.0 million in FHLB short-term borrowing at 0% cost. Our secured borrowing capacity with the FHLB was $4.29 billion, of which $4.29 billion was available as of December 31, 2020.</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Price and Foreign Exchange Risk</w:t>
      </w:r>
    </w:p>
    <w:p>
      <w:pPr>
        <w:spacing w:after="0" w:line="189" w:lineRule="exact"/>
        <w:rPr>
          <w:sz w:val="20"/>
          <w:szCs w:val="20"/>
          <w:color w:val="auto"/>
        </w:rPr>
      </w:pPr>
    </w:p>
    <w:p>
      <w:pPr>
        <w:ind w:left="120" w:firstLine="551"/>
        <w:spacing w:after="0" w:line="282" w:lineRule="auto"/>
        <w:rPr>
          <w:sz w:val="20"/>
          <w:szCs w:val="20"/>
          <w:color w:val="auto"/>
        </w:rPr>
      </w:pPr>
      <w:r>
        <w:rPr>
          <w:rFonts w:ascii="Times New Roman" w:cs="Times New Roman" w:eastAsia="Times New Roman" w:hAnsi="Times New Roman"/>
          <w:sz w:val="18"/>
          <w:szCs w:val="18"/>
          <w:color w:val="auto"/>
        </w:rPr>
        <w:t>Price risk arises from changes in market factors that affect the value of traded instruments. Foreign exchange risk is the risk to earnings or capital arising from movements in foreign exchange rates.</w:t>
      </w:r>
    </w:p>
    <w:p>
      <w:pPr>
        <w:spacing w:after="0" w:line="121" w:lineRule="exact"/>
        <w:rPr>
          <w:sz w:val="20"/>
          <w:szCs w:val="20"/>
          <w:color w:val="auto"/>
        </w:rPr>
      </w:pPr>
    </w:p>
    <w:p>
      <w:pPr>
        <w:ind w:left="120" w:right="500" w:firstLine="551"/>
        <w:spacing w:after="0" w:line="282" w:lineRule="auto"/>
        <w:rPr>
          <w:sz w:val="20"/>
          <w:szCs w:val="20"/>
          <w:color w:val="auto"/>
        </w:rPr>
      </w:pPr>
      <w:r>
        <w:rPr>
          <w:rFonts w:ascii="Times New Roman" w:cs="Times New Roman" w:eastAsia="Times New Roman" w:hAnsi="Times New Roman"/>
          <w:sz w:val="18"/>
          <w:szCs w:val="18"/>
          <w:color w:val="auto"/>
        </w:rPr>
        <w:t>Our current exposure to price risk is nominal. We do not have trading accounts. Consequently, the level of price risk within the investment portfolio is limited to the need to sell securities for reasons other than trading.</w:t>
      </w:r>
    </w:p>
    <w:p>
      <w:pPr>
        <w:spacing w:after="0" w:line="135" w:lineRule="exact"/>
        <w:rPr>
          <w:sz w:val="20"/>
          <w:szCs w:val="20"/>
          <w:color w:val="auto"/>
        </w:rPr>
      </w:pPr>
    </w:p>
    <w:p>
      <w:pPr>
        <w:ind w:left="120" w:right="540" w:firstLine="551"/>
        <w:spacing w:after="0" w:line="312" w:lineRule="auto"/>
        <w:rPr>
          <w:sz w:val="20"/>
          <w:szCs w:val="20"/>
          <w:color w:val="auto"/>
        </w:rPr>
      </w:pPr>
      <w:r>
        <w:rPr>
          <w:rFonts w:ascii="Times New Roman" w:cs="Times New Roman" w:eastAsia="Times New Roman" w:hAnsi="Times New Roman"/>
          <w:sz w:val="17"/>
          <w:szCs w:val="17"/>
          <w:color w:val="auto"/>
        </w:rPr>
        <w:t>We maintain limited deposit accounts with various foreign banks. Our Interbank Liability Policy seeks to limit the balance in any of these accounts to an amount that does not in our judgment present a significant risk to our earnings from changes in the value of foreign currencies.</w:t>
      </w:r>
    </w:p>
    <w:p>
      <w:pPr>
        <w:spacing w:after="0" w:line="99" w:lineRule="exact"/>
        <w:rPr>
          <w:sz w:val="20"/>
          <w:szCs w:val="20"/>
          <w:color w:val="auto"/>
        </w:rPr>
      </w:pPr>
    </w:p>
    <w:p>
      <w:pPr>
        <w:ind w:left="120" w:right="280" w:firstLine="551"/>
        <w:spacing w:after="0" w:line="266" w:lineRule="auto"/>
        <w:rPr>
          <w:sz w:val="20"/>
          <w:szCs w:val="20"/>
          <w:color w:val="auto"/>
        </w:rPr>
      </w:pPr>
      <w:r>
        <w:rPr>
          <w:rFonts w:ascii="Times New Roman" w:cs="Times New Roman" w:eastAsia="Times New Roman" w:hAnsi="Times New Roman"/>
          <w:sz w:val="18"/>
          <w:szCs w:val="18"/>
          <w:color w:val="auto"/>
        </w:rPr>
        <w:t>Our asset liability model seeks to calculate the market value of the Bank’s equity. In addition, management prepares, on a monthly basis, a capital volatility report that compares changes in the market value of the investment portfolio. We have as our target to always be well-capitalized by regulatory standards.</w:t>
      </w:r>
    </w:p>
    <w:p>
      <w:pPr>
        <w:spacing w:after="0" w:line="320"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89"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 xml:space="preserve">Market risk is the risk of loss from adverse changes in the market prices and interest rates. Our market risk arises primarily from interest rate risk inherent in our lending and deposit taking activities. We currently do not enter into futures, forwards, or option contracts. For quantitative and qualitative disclosures about market risks in our portfolio, see “Asset/Liability Management and Interest Rate Sensitivity Management” included in Item 7 — </w:t>
      </w:r>
      <w:r>
        <w:rPr>
          <w:rFonts w:ascii="Times New Roman" w:cs="Times New Roman" w:eastAsia="Times New Roman" w:hAnsi="Times New Roman"/>
          <w:sz w:val="18"/>
          <w:szCs w:val="18"/>
          <w:i w:val="1"/>
          <w:iCs w:val="1"/>
          <w:color w:val="auto"/>
        </w:rPr>
        <w:t xml:space="preserve">Management’s Discussion and Analysis of Financial Condition and the Results of Operations </w:t>
      </w:r>
      <w:r>
        <w:rPr>
          <w:rFonts w:ascii="Times New Roman" w:cs="Times New Roman" w:eastAsia="Times New Roman" w:hAnsi="Times New Roman"/>
          <w:sz w:val="18"/>
          <w:szCs w:val="18"/>
          <w:color w:val="auto"/>
        </w:rPr>
        <w:t>presented elsewhere in this report. Our analysis of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and market-sensitive financial information contain forward looking statements and is subject to the disclosure at the beginning of Part I regarding such forward-looking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140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130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2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CVB Financial Corp.</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2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2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and Financial Statement Schedules</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0" w:type="dxa"/>
            <w:vAlign w:val="bottom"/>
          </w:tcPr>
          <w:p>
            <w:pPr>
              <w:spacing w:after="0"/>
              <w:rPr>
                <w:sz w:val="24"/>
                <w:szCs w:val="24"/>
                <w:color w:val="auto"/>
              </w:rPr>
            </w:pPr>
          </w:p>
        </w:tc>
        <w:tc>
          <w:tcPr>
            <w:tcW w:w="9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rPr>
              <w:t>Consolidated Financial Statements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52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0" w:type="dxa"/>
            <w:vAlign w:val="bottom"/>
          </w:tcPr>
          <w:p>
            <w:pPr>
              <w:spacing w:after="0"/>
              <w:rPr>
                <w:sz w:val="18"/>
                <w:szCs w:val="18"/>
                <w:color w:val="auto"/>
              </w:rPr>
            </w:pPr>
          </w:p>
        </w:tc>
        <w:tc>
          <w:tcPr>
            <w:tcW w:w="9520" w:type="dxa"/>
            <w:vAlign w:val="bottom"/>
            <w:gridSpan w:val="3"/>
          </w:tcPr>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Consolidated Balance Sheets — December 31, 2020 and 2019</w:t>
              </w:r>
            </w:hyperlink>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520" w:type="dxa"/>
            <w:vAlign w:val="bottom"/>
            <w:gridSpan w:val="3"/>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Consolidated Statements of Earnings and Comprehensive Income — Years Ended December 31, 2020, 2019 and 2018</w:t>
              </w:r>
            </w:hyperlink>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520" w:type="dxa"/>
            <w:vAlign w:val="bottom"/>
            <w:gridSpan w:val="3"/>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Consolidated Statements of Stockholders’ Equity — Three Years Ended December 31, 2020, 2019 and 2018</w:t>
              </w:r>
            </w:hyperlink>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520" w:type="dxa"/>
            <w:vAlign w:val="bottom"/>
            <w:gridSpan w:val="3"/>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Consolidated Statements of Cash Flows — Years Ended December 31, 2020, 2019 and 2018</w:t>
              </w:r>
            </w:hyperlink>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520" w:type="dxa"/>
            <w:vAlign w:val="bottom"/>
            <w:gridSpan w:val="3"/>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Notes to Consolidated Financial Statements</w:t>
              </w:r>
            </w:hyperlink>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9520" w:type="dxa"/>
            <w:vAlign w:val="bottom"/>
            <w:gridSpan w:val="3"/>
          </w:tcPr>
          <w:p>
            <w:pPr>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Report of Independent Registered Public Accounting Firm</w:t>
              </w:r>
            </w:hyperlink>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ind w:left="120" w:right="180" w:firstLine="551"/>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material or because the information is included in the financial statements or the notes thereto.</w:t>
      </w:r>
    </w:p>
    <w:p>
      <w:pPr>
        <w:spacing w:after="0" w:line="54" w:lineRule="exact"/>
        <w:rPr>
          <w:sz w:val="20"/>
          <w:szCs w:val="20"/>
          <w:color w:val="auto"/>
        </w:rPr>
      </w:pPr>
    </w:p>
    <w:p>
      <w:pPr>
        <w:ind w:left="120" w:right="340" w:firstLine="551"/>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about the location of management’s annual reports on internal control, our financial reporting and the audit report of KPMG LLP thereon. See “Item 9A.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left="120" w:firstLine="551"/>
        <w:spacing w:after="0" w:line="258" w:lineRule="auto"/>
        <w:rPr>
          <w:sz w:val="20"/>
          <w:szCs w:val="20"/>
          <w:color w:val="auto"/>
        </w:rPr>
      </w:pPr>
      <w:r>
        <w:rPr>
          <w:rFonts w:ascii="Times New Roman" w:cs="Times New Roman" w:eastAsia="Times New Roman" w:hAnsi="Times New Roman"/>
          <w:sz w:val="18"/>
          <w:szCs w:val="18"/>
          <w:color w:val="auto"/>
        </w:rPr>
        <w:t>Management of CVB Financial Corp., together with its consolidated subsidiaries (the “Company”), is responsible for establishing and maintaining adequate internal control over financial reporting. The Company’s internal control over financial reporting is a process designed by, or under the supervision of, the Company’s principal executive and principal financial officers to provide reasonable assurance regarding the reliability of financial reporting and the preparation of the Company’s financial statements for external reporting purposes in accordance with U.S. generally accepted accounting principles.</w:t>
      </w:r>
    </w:p>
    <w:p>
      <w:pPr>
        <w:spacing w:after="0" w:line="75" w:lineRule="exact"/>
        <w:rPr>
          <w:sz w:val="20"/>
          <w:szCs w:val="20"/>
          <w:color w:val="auto"/>
        </w:rPr>
      </w:pPr>
    </w:p>
    <w:p>
      <w:pPr>
        <w:ind w:left="120" w:right="20" w:firstLine="551"/>
        <w:spacing w:after="0" w:line="277" w:lineRule="auto"/>
        <w:rPr>
          <w:sz w:val="20"/>
          <w:szCs w:val="20"/>
          <w:color w:val="auto"/>
        </w:rPr>
      </w:pPr>
      <w:r>
        <w:rPr>
          <w:rFonts w:ascii="Times New Roman" w:cs="Times New Roman" w:eastAsia="Times New Roman" w:hAnsi="Times New Roman"/>
          <w:sz w:val="17"/>
          <w:szCs w:val="17"/>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60" w:lineRule="exact"/>
        <w:rPr>
          <w:sz w:val="20"/>
          <w:szCs w:val="20"/>
          <w:color w:val="auto"/>
        </w:rPr>
      </w:pPr>
    </w:p>
    <w:p>
      <w:pPr>
        <w:ind w:left="120" w:right="40" w:firstLine="551"/>
        <w:spacing w:after="0" w:line="258" w:lineRule="auto"/>
        <w:rPr>
          <w:sz w:val="20"/>
          <w:szCs w:val="20"/>
          <w:color w:val="auto"/>
        </w:rPr>
      </w:pPr>
      <w:r>
        <w:rPr>
          <w:rFonts w:ascii="Times New Roman" w:cs="Times New Roman" w:eastAsia="Times New Roman" w:hAnsi="Times New Roman"/>
          <w:sz w:val="18"/>
          <w:szCs w:val="18"/>
          <w:color w:val="auto"/>
        </w:rPr>
        <w:t>As of December 31, 2020, management conducted an assessment of the effectiveness of the Company’s internal control over financial reporting based on the framework established in Internal Control — Integrated Framework (2013) issued by the Committee of Sponsoring Organizations of the Treadway Commission (COSO). Based on this assessment, management has determined that the Company’s internal control over financial reporting as of December 31, 2020 is effective. KPMG LLP, an independent registered public accounting firm, has issued their report on the effectiveness of internal control over financial reporting as of December 31, 2020.</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 attestation</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65"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We have audited CVB Financial Corp. and subsidiaries’ (the Company) internal control over financial reporting as of December 31, 2020,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2020, based on criteria established in Internal Control – Integrated Framework (2013) issued by the Committee of Sponsoring Organizations of the Treadway Commission.</w:t>
      </w:r>
    </w:p>
    <w:p>
      <w:pPr>
        <w:spacing w:after="0" w:line="75"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2020 and 2019, the related consolidated statements of earnings and comprehensive income, stockholders’ equity, and cash flows for each of the years in the three-year period ended December 31, 2020, and the related notes (collectively, the consolidated financial statements), and our report dated March 1, 2021 expressed an unqualified opinion on those consolidated financial statements.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6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65"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 2021</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82" w:right="4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 Changes in Internal Control over Financial Reporting</w:t>
      </w:r>
    </w:p>
    <w:p>
      <w:pPr>
        <w:spacing w:after="0" w:line="202" w:lineRule="exact"/>
        <w:rPr>
          <w:sz w:val="20"/>
          <w:szCs w:val="20"/>
          <w:color w:val="auto"/>
        </w:rPr>
      </w:pPr>
    </w:p>
    <w:p>
      <w:pPr>
        <w:ind w:left="120" w:firstLine="551"/>
        <w:spacing w:after="0" w:line="258" w:lineRule="auto"/>
        <w:rPr>
          <w:sz w:val="20"/>
          <w:szCs w:val="20"/>
          <w:color w:val="auto"/>
        </w:rPr>
      </w:pPr>
      <w:r>
        <w:rPr>
          <w:rFonts w:ascii="Times New Roman" w:cs="Times New Roman" w:eastAsia="Times New Roman" w:hAnsi="Times New Roman"/>
          <w:sz w:val="18"/>
          <w:szCs w:val="18"/>
          <w:color w:val="auto"/>
        </w:rPr>
        <w:t>We maintain controls and procedures designed to ensure that information required to be disclosed by us in reports that we file or submit under the Securities Exchange Act of 1934, as amended (the “Exchange Act”), is recorded, processed, summarized and reported within the time periods specified in SEC rules and forms. Such information is reported to our management, including our Chief Executive Officer and Chief Financial Officer to allow timely and accurate disclosure based on the definition of “disclosure controls and procedures” in SEC Rule 13a-15(e) and 15d-15(e) promulgated pursuant to the Exchange Act.</w:t>
      </w:r>
    </w:p>
    <w:p>
      <w:pPr>
        <w:spacing w:after="0" w:line="143" w:lineRule="exact"/>
        <w:rPr>
          <w:sz w:val="20"/>
          <w:szCs w:val="20"/>
          <w:color w:val="auto"/>
        </w:rPr>
      </w:pPr>
    </w:p>
    <w:p>
      <w:pPr>
        <w:ind w:left="120" w:firstLine="551"/>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of the effectiveness of our disclosure controls and procedures under the supervision and with the participation of our management, including our Chief Executive Officer and the Chief Financial Officer. Based on the foregoing, our Chief Executive Officer and the Chief Financial Officer concluded that our disclosure controls and procedures are effective as of the end of the period covered by this report.</w:t>
      </w:r>
    </w:p>
    <w:p>
      <w:pPr>
        <w:spacing w:after="0" w:line="139" w:lineRule="exact"/>
        <w:rPr>
          <w:sz w:val="20"/>
          <w:szCs w:val="20"/>
          <w:color w:val="auto"/>
        </w:rPr>
      </w:pPr>
    </w:p>
    <w:p>
      <w:pPr>
        <w:ind w:left="120" w:right="720" w:firstLine="551"/>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2020, there have been no changes in our internal control over financial reporting that has materially affected or is reasonably likely to materially affect our internal control over financial reporting.</w:t>
      </w:r>
    </w:p>
    <w:p>
      <w:pPr>
        <w:spacing w:after="0" w:line="360"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82" w:right="4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02" w:lineRule="exact"/>
        <w:rPr>
          <w:sz w:val="20"/>
          <w:szCs w:val="20"/>
          <w:color w:val="auto"/>
        </w:rPr>
      </w:pPr>
    </w:p>
    <w:p>
      <w:pPr>
        <w:ind w:left="120" w:right="200" w:firstLine="551"/>
        <w:spacing w:after="0" w:line="258" w:lineRule="auto"/>
        <w:rPr>
          <w:sz w:val="20"/>
          <w:szCs w:val="20"/>
          <w:color w:val="auto"/>
        </w:rPr>
      </w:pPr>
      <w:r>
        <w:rPr>
          <w:rFonts w:ascii="Times New Roman" w:cs="Times New Roman" w:eastAsia="Times New Roman" w:hAnsi="Times New Roman"/>
          <w:sz w:val="18"/>
          <w:szCs w:val="18"/>
          <w:color w:val="auto"/>
        </w:rPr>
        <w:t>Except as hereinafter noted, the information concerning directors and executive officers of the Company, corporate governance and our audit committee financial experts is incorporated by reference from the section entitled “Discussion of Proposals recommended by the Board — Proposal 1: Election of Directors” and “Beneficial Ownership Reporting Compliance,” “Corporate Governance Principles and Board Matters,” and “Audit Committee” of our definitive Proxy Statement to be filed pursuant to Regulation 14A within 120 days after the end of the last fiscal year. For information concerning the executive officers of the Company, see Item I of Part I hereto.</w:t>
      </w:r>
    </w:p>
    <w:p>
      <w:pPr>
        <w:spacing w:after="0" w:line="143" w:lineRule="exact"/>
        <w:rPr>
          <w:sz w:val="20"/>
          <w:szCs w:val="20"/>
          <w:color w:val="auto"/>
        </w:rPr>
      </w:pPr>
    </w:p>
    <w:p>
      <w:pPr>
        <w:ind w:left="120" w:right="20" w:firstLine="551"/>
        <w:spacing w:after="0" w:line="256" w:lineRule="auto"/>
        <w:rPr>
          <w:sz w:val="20"/>
          <w:szCs w:val="20"/>
          <w:color w:val="auto"/>
        </w:rPr>
      </w:pPr>
      <w:r>
        <w:rPr>
          <w:rFonts w:ascii="Times New Roman" w:cs="Times New Roman" w:eastAsia="Times New Roman" w:hAnsi="Times New Roman"/>
          <w:sz w:val="18"/>
          <w:szCs w:val="18"/>
          <w:color w:val="auto"/>
        </w:rPr>
        <w:t>The Company has adopted a Code of Ethics that applies to all of the Company’s employees, including the Company’s principal executive officer, the principal financial officer, accounting officers, and all employees who perform these functions. A copy of the Code of Ethics is available to any person without charge by submitting a request to the Company’s Chief Financial Officer at 701 N. Haven Avenue, Suite 350, Ontario, CA 91764. If the Company shall amend its Code of Ethics as it applies to the principal executive officer, principal financial officer, principal accounting officer or controller (or persons performing similar functions) or shall grant a waiver from any provision of the code of ethics to any such person, the Company shall disclose such amendment or waiver on its website at www.cbbank.com under the tab “Investor Relations.”</w:t>
      </w:r>
    </w:p>
    <w:p>
      <w:pPr>
        <w:spacing w:after="0" w:line="386"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89" w:lineRule="exact"/>
        <w:rPr>
          <w:sz w:val="20"/>
          <w:szCs w:val="20"/>
          <w:color w:val="auto"/>
        </w:rPr>
      </w:pPr>
    </w:p>
    <w:p>
      <w:pPr>
        <w:ind w:left="120" w:right="20" w:firstLine="551"/>
        <w:spacing w:after="0" w:line="266" w:lineRule="auto"/>
        <w:rPr>
          <w:sz w:val="20"/>
          <w:szCs w:val="20"/>
          <w:color w:val="auto"/>
        </w:rPr>
      </w:pPr>
      <w:r>
        <w:rPr>
          <w:rFonts w:ascii="Times New Roman" w:cs="Times New Roman" w:eastAsia="Times New Roman" w:hAnsi="Times New Roman"/>
          <w:sz w:val="18"/>
          <w:szCs w:val="18"/>
          <w:color w:val="auto"/>
        </w:rPr>
        <w:t>Information concerning management remuneration and transactions is incorporated by reference from the section entitled “Election of Directors” and “Executive Compensation — Certain Relationships and Related Transactions” of our definitive Proxy Statement to be filed pursuant to Regulation 14A within 120 days after the end of the last fiscal year.</w:t>
      </w:r>
    </w:p>
    <w:p>
      <w:pPr>
        <w:spacing w:after="0" w:line="320" w:lineRule="exact"/>
        <w:rPr>
          <w:sz w:val="20"/>
          <w:szCs w:val="20"/>
          <w:color w:val="auto"/>
        </w:rPr>
      </w:pPr>
    </w:p>
    <w:p>
      <w:pPr>
        <w:ind w:left="1420" w:right="200" w:hanging="1308"/>
        <w:spacing w:after="0" w:line="28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32" w:lineRule="exact"/>
        <w:rPr>
          <w:sz w:val="20"/>
          <w:szCs w:val="20"/>
          <w:color w:val="auto"/>
        </w:rPr>
      </w:pPr>
    </w:p>
    <w:p>
      <w:pPr>
        <w:ind w:left="120" w:right="36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2020 relating to our equity compensation plans pursuant to which grants of options, restricted stock, or other rights to acquire shares may be granted from time to time.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39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80" w:type="dxa"/>
            <w:vAlign w:val="bottom"/>
            <w:gridSpan w:val="3"/>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3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Exercise Price of</w:t>
            </w:r>
          </w:p>
        </w:tc>
        <w:tc>
          <w:tcPr>
            <w:tcW w:w="1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3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Equity Compensation Plans</w:t>
            </w:r>
          </w:p>
        </w:tc>
        <w:tc>
          <w:tcPr>
            <w:tcW w:w="0" w:type="dxa"/>
            <w:vAlign w:val="bottom"/>
          </w:tcPr>
          <w:p>
            <w:pPr>
              <w:spacing w:after="0"/>
              <w:rPr>
                <w:sz w:val="1"/>
                <w:szCs w:val="1"/>
                <w:color w:val="auto"/>
              </w:rPr>
            </w:pPr>
          </w:p>
        </w:tc>
      </w:tr>
      <w:tr>
        <w:trPr>
          <w:trHeight w:val="203"/>
        </w:trPr>
        <w:tc>
          <w:tcPr>
            <w:tcW w:w="39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3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480" w:type="dxa"/>
            <w:vAlign w:val="bottom"/>
          </w:tcPr>
          <w:p>
            <w:pPr>
              <w:spacing w:after="0"/>
              <w:rPr>
                <w:sz w:val="17"/>
                <w:szCs w:val="17"/>
                <w:color w:val="auto"/>
              </w:rPr>
            </w:pPr>
          </w:p>
        </w:tc>
        <w:tc>
          <w:tcPr>
            <w:tcW w:w="2280" w:type="dxa"/>
            <w:vAlign w:val="bottom"/>
            <w:gridSpan w:val="3"/>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1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(Excluding Securities</w:t>
            </w:r>
          </w:p>
        </w:tc>
        <w:tc>
          <w:tcPr>
            <w:tcW w:w="0" w:type="dxa"/>
            <w:vAlign w:val="bottom"/>
          </w:tcPr>
          <w:p>
            <w:pPr>
              <w:spacing w:after="0"/>
              <w:rPr>
                <w:sz w:val="1"/>
                <w:szCs w:val="1"/>
                <w:color w:val="auto"/>
              </w:rPr>
            </w:pPr>
          </w:p>
        </w:tc>
      </w:tr>
      <w:tr>
        <w:trPr>
          <w:trHeight w:val="215"/>
        </w:trPr>
        <w:tc>
          <w:tcPr>
            <w:tcW w:w="3960" w:type="dxa"/>
            <w:vAlign w:val="bottom"/>
            <w:vMerge w:val="continue"/>
          </w:tcPr>
          <w:p>
            <w:pPr>
              <w:spacing w:after="0"/>
              <w:rPr>
                <w:sz w:val="18"/>
                <w:szCs w:val="18"/>
                <w:color w:val="auto"/>
              </w:rPr>
            </w:pPr>
          </w:p>
        </w:tc>
        <w:tc>
          <w:tcPr>
            <w:tcW w:w="23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Warrants, and Rights (a)</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and Rights (b)</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Reflected in Column (a)) (c)</w:t>
            </w:r>
          </w:p>
        </w:tc>
        <w:tc>
          <w:tcPr>
            <w:tcW w:w="0" w:type="dxa"/>
            <w:vAlign w:val="bottom"/>
          </w:tcPr>
          <w:p>
            <w:pPr>
              <w:spacing w:after="0"/>
              <w:rPr>
                <w:sz w:val="1"/>
                <w:szCs w:val="1"/>
                <w:color w:val="auto"/>
              </w:rPr>
            </w:pPr>
          </w:p>
        </w:tc>
      </w:tr>
      <w:tr>
        <w:trPr>
          <w:trHeight w:val="172"/>
        </w:trPr>
        <w:tc>
          <w:tcPr>
            <w:tcW w:w="3960" w:type="dxa"/>
            <w:vAlign w:val="bottom"/>
            <w:tcBorders>
              <w:top w:val="single" w:sz="8" w:color="CCEEFF"/>
            </w:tcBorders>
            <w:shd w:val="clear" w:color="auto" w:fill="CCEEFF"/>
          </w:tcPr>
          <w:p>
            <w:pPr>
              <w:ind w:left="160"/>
              <w:spacing w:after="0" w:line="171" w:lineRule="exact"/>
              <w:rPr>
                <w:sz w:val="20"/>
                <w:szCs w:val="20"/>
                <w:color w:val="auto"/>
              </w:rPr>
            </w:pPr>
            <w:r>
              <w:rPr>
                <w:rFonts w:ascii="Times New Roman" w:cs="Times New Roman" w:eastAsia="Times New Roman" w:hAnsi="Times New Roman"/>
                <w:sz w:val="16"/>
                <w:szCs w:val="16"/>
                <w:color w:val="auto"/>
              </w:rPr>
              <w:t>Equity compensation plans approved by</w:t>
            </w:r>
          </w:p>
        </w:tc>
        <w:tc>
          <w:tcPr>
            <w:tcW w:w="18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security holders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428,320</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17.57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7,322,206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compensation plans not approved by</w:t>
            </w:r>
          </w:p>
        </w:tc>
        <w:tc>
          <w:tcPr>
            <w:tcW w:w="1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security holders</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428,320</w:t>
            </w:r>
          </w:p>
        </w:tc>
        <w:tc>
          <w:tcPr>
            <w:tcW w:w="4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17.57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7,322,206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right="120" w:firstLine="551"/>
        <w:spacing w:after="0" w:line="312" w:lineRule="auto"/>
        <w:rPr>
          <w:sz w:val="20"/>
          <w:szCs w:val="20"/>
          <w:color w:val="auto"/>
        </w:rPr>
      </w:pPr>
      <w:r>
        <w:rPr>
          <w:rFonts w:ascii="Times New Roman" w:cs="Times New Roman" w:eastAsia="Times New Roman" w:hAnsi="Times New Roman"/>
          <w:sz w:val="17"/>
          <w:szCs w:val="17"/>
          <w:color w:val="auto"/>
        </w:rPr>
        <w:t>Information concerning security ownership of certain beneficial owners and management is incorporated by reference from the sections entitled “Stock Ownership” of our definitive Proxy Statement to be filed pursuant to Regulation 14A within 120 days after the end of the last fiscal year.</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82"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02" w:lineRule="exact"/>
        <w:rPr>
          <w:sz w:val="20"/>
          <w:szCs w:val="20"/>
          <w:color w:val="auto"/>
        </w:rPr>
      </w:pPr>
    </w:p>
    <w:p>
      <w:pPr>
        <w:ind w:left="120" w:right="160" w:firstLine="551"/>
        <w:spacing w:after="0" w:line="289" w:lineRule="auto"/>
        <w:rPr>
          <w:sz w:val="20"/>
          <w:szCs w:val="20"/>
          <w:color w:val="auto"/>
        </w:rPr>
      </w:pPr>
      <w:r>
        <w:rPr>
          <w:rFonts w:ascii="Times New Roman" w:cs="Times New Roman" w:eastAsia="Times New Roman" w:hAnsi="Times New Roman"/>
          <w:sz w:val="17"/>
          <w:szCs w:val="17"/>
          <w:color w:val="auto"/>
        </w:rPr>
        <w:t>Information concerning certain relationships and related transactions with management and others and information regarding director independence is incorporated by reference from the section entitled “Executive Compensation — Certain Relationships and Related Transactions” and “Director Independence” of our definitive Proxy Statement to be filed pursuant to Regulation 14A within 120 days after the end of the last fiscal year.</w:t>
      </w:r>
    </w:p>
    <w:p>
      <w:pPr>
        <w:spacing w:after="0" w:line="356"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89" w:lineRule="exact"/>
        <w:rPr>
          <w:sz w:val="20"/>
          <w:szCs w:val="20"/>
          <w:color w:val="auto"/>
        </w:rPr>
      </w:pPr>
    </w:p>
    <w:p>
      <w:pPr>
        <w:ind w:left="120" w:firstLine="551"/>
        <w:spacing w:after="0" w:line="266" w:lineRule="auto"/>
        <w:rPr>
          <w:sz w:val="20"/>
          <w:szCs w:val="20"/>
          <w:color w:val="auto"/>
        </w:rPr>
      </w:pPr>
      <w:r>
        <w:rPr>
          <w:rFonts w:ascii="Times New Roman" w:cs="Times New Roman" w:eastAsia="Times New Roman" w:hAnsi="Times New Roman"/>
          <w:sz w:val="18"/>
          <w:szCs w:val="18"/>
          <w:color w:val="auto"/>
        </w:rPr>
        <w:t>Information concerning principal accounting fees and services is incorporated by reference from the section entitled “Ratification of Appointment of Independent Public Accountants” of our definitive Proxy Statement to be filed pursuant to Regulation 14A within 120 days after the end of the last fiscal year.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1760" w:hanging="983"/>
        <w:spacing w:after="0"/>
        <w:tabs>
          <w:tab w:leader="none" w:pos="176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(1) All Financial Statements</w:t>
      </w:r>
    </w:p>
    <w:p>
      <w:pPr>
        <w:spacing w:after="0" w:line="31" w:lineRule="exact"/>
        <w:rPr>
          <w:sz w:val="20"/>
          <w:szCs w:val="20"/>
          <w:color w:val="auto"/>
        </w:rPr>
      </w:pPr>
    </w:p>
    <w:p>
      <w:pPr>
        <w:ind w:left="2080" w:right="260"/>
        <w:spacing w:after="0" w:line="260" w:lineRule="auto"/>
        <w:rPr>
          <w:sz w:val="20"/>
          <w:szCs w:val="20"/>
          <w:color w:val="auto"/>
        </w:rPr>
      </w:pPr>
      <w:r>
        <w:rPr>
          <w:rFonts w:ascii="Times New Roman" w:cs="Times New Roman" w:eastAsia="Times New Roman" w:hAnsi="Times New Roman"/>
          <w:sz w:val="18"/>
          <w:szCs w:val="18"/>
          <w:color w:val="auto"/>
        </w:rPr>
        <w:t>Reference is made to the Index to Financial Statements on page 89 for a list of financial statements filed as part of this Annual Report on Form 10-K.</w:t>
      </w:r>
    </w:p>
    <w:p>
      <w:pPr>
        <w:spacing w:after="0" w:line="150" w:lineRule="exact"/>
        <w:rPr>
          <w:sz w:val="20"/>
          <w:szCs w:val="20"/>
          <w:color w:val="auto"/>
        </w:rPr>
      </w:pPr>
    </w:p>
    <w:p>
      <w:pPr>
        <w:ind w:left="2080" w:hanging="311"/>
        <w:spacing w:after="0"/>
        <w:tabs>
          <w:tab w:leader="none" w:pos="2080" w:val="left"/>
        </w:tabs>
        <w:numPr>
          <w:ilvl w:val="1"/>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31" w:lineRule="exact"/>
        <w:rPr>
          <w:rFonts w:ascii="Times New Roman" w:cs="Times New Roman" w:eastAsia="Times New Roman" w:hAnsi="Times New Roman"/>
          <w:sz w:val="18"/>
          <w:szCs w:val="18"/>
          <w:b w:val="1"/>
          <w:bCs w:val="1"/>
          <w:i w:val="1"/>
          <w:iCs w:val="1"/>
          <w:color w:val="auto"/>
        </w:rPr>
      </w:pPr>
    </w:p>
    <w:p>
      <w:pPr>
        <w:ind w:left="2080" w:right="240"/>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Reference is made to the Index to Financial Statements on page 89 for the listing of supplementary financial statement schedules required by this item.</w:t>
      </w:r>
    </w:p>
    <w:p>
      <w:pPr>
        <w:spacing w:after="0" w:line="150" w:lineRule="exact"/>
        <w:rPr>
          <w:rFonts w:ascii="Times New Roman" w:cs="Times New Roman" w:eastAsia="Times New Roman" w:hAnsi="Times New Roman"/>
          <w:sz w:val="18"/>
          <w:szCs w:val="18"/>
          <w:b w:val="1"/>
          <w:bCs w:val="1"/>
          <w:i w:val="1"/>
          <w:iCs w:val="1"/>
          <w:color w:val="auto"/>
        </w:rPr>
      </w:pPr>
    </w:p>
    <w:p>
      <w:pPr>
        <w:ind w:left="2080" w:hanging="311"/>
        <w:spacing w:after="0"/>
        <w:tabs>
          <w:tab w:leader="none" w:pos="2080" w:val="left"/>
        </w:tabs>
        <w:numPr>
          <w:ilvl w:val="1"/>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31" w:lineRule="exact"/>
        <w:rPr>
          <w:rFonts w:ascii="Times New Roman" w:cs="Times New Roman" w:eastAsia="Times New Roman" w:hAnsi="Times New Roman"/>
          <w:sz w:val="18"/>
          <w:szCs w:val="18"/>
          <w:b w:val="1"/>
          <w:bCs w:val="1"/>
          <w:i w:val="1"/>
          <w:iCs w:val="1"/>
          <w:color w:val="auto"/>
        </w:rPr>
      </w:pPr>
    </w:p>
    <w:p>
      <w:pPr>
        <w:ind w:left="2080"/>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listing of exhibits required by this item is set forth in the Index to Exhibits on page 95 of this Annual Report on Form 10-K.</w:t>
      </w:r>
    </w:p>
    <w:p>
      <w:pPr>
        <w:spacing w:after="0" w:line="150" w:lineRule="exact"/>
        <w:rPr>
          <w:rFonts w:ascii="Times New Roman" w:cs="Times New Roman" w:eastAsia="Times New Roman" w:hAnsi="Times New Roman"/>
          <w:sz w:val="18"/>
          <w:szCs w:val="18"/>
          <w:b w:val="1"/>
          <w:bCs w:val="1"/>
          <w:i w:val="1"/>
          <w:iCs w:val="1"/>
          <w:color w:val="auto"/>
        </w:rPr>
      </w:pPr>
    </w:p>
    <w:p>
      <w:pPr>
        <w:ind w:left="1580" w:hanging="803"/>
        <w:spacing w:after="0"/>
        <w:tabs>
          <w:tab w:leader="none" w:pos="158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31" w:lineRule="exact"/>
        <w:rPr>
          <w:rFonts w:ascii="Times New Roman" w:cs="Times New Roman" w:eastAsia="Times New Roman" w:hAnsi="Times New Roman"/>
          <w:sz w:val="18"/>
          <w:szCs w:val="18"/>
          <w:b w:val="1"/>
          <w:bCs w:val="1"/>
          <w:i w:val="1"/>
          <w:iCs w:val="1"/>
          <w:color w:val="auto"/>
        </w:rPr>
      </w:pPr>
    </w:p>
    <w:p>
      <w:pPr>
        <w:ind w:left="15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See Index to Exhibits on Page 95 of this Form 10-K.</w:t>
      </w:r>
    </w:p>
    <w:p>
      <w:pPr>
        <w:spacing w:after="0" w:line="175" w:lineRule="exact"/>
        <w:rPr>
          <w:rFonts w:ascii="Times New Roman" w:cs="Times New Roman" w:eastAsia="Times New Roman" w:hAnsi="Times New Roman"/>
          <w:sz w:val="18"/>
          <w:szCs w:val="18"/>
          <w:b w:val="1"/>
          <w:bCs w:val="1"/>
          <w:i w:val="1"/>
          <w:iCs w:val="1"/>
          <w:color w:val="auto"/>
        </w:rPr>
      </w:pPr>
    </w:p>
    <w:p>
      <w:pPr>
        <w:ind w:left="1580" w:hanging="803"/>
        <w:spacing w:after="0"/>
        <w:tabs>
          <w:tab w:leader="none" w:pos="158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31" w:lineRule="exact"/>
        <w:rPr>
          <w:rFonts w:ascii="Times New Roman" w:cs="Times New Roman" w:eastAsia="Times New Roman" w:hAnsi="Times New Roman"/>
          <w:sz w:val="18"/>
          <w:szCs w:val="18"/>
          <w:b w:val="1"/>
          <w:bCs w:val="1"/>
          <w:i w:val="1"/>
          <w:iCs w:val="1"/>
          <w:color w:val="auto"/>
        </w:rPr>
      </w:pPr>
    </w:p>
    <w:p>
      <w:pPr>
        <w:ind w:left="1580" w:right="540"/>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There are no financial statement schedules required by Regulation S-X that have been excluded from the annual report to shareholders.</w:t>
      </w:r>
    </w:p>
    <w:p>
      <w:pPr>
        <w:spacing w:after="0" w:line="191"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840"/>
          </w:cols>
          <w:pgMar w:left="320" w:top="482" w:right="7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1660" w:type="dxa"/>
            <w:vAlign w:val="bottom"/>
            <w:gridSpan w:val="3"/>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40" w:type="dxa"/>
            <w:vAlign w:val="bottom"/>
            <w:gridSpan w:val="9"/>
          </w:tcPr>
          <w:p>
            <w:pPr>
              <w:ind w:left="5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297"/>
        </w:trPr>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6"/>
        </w:trPr>
        <w:tc>
          <w:tcPr>
            <w:tcW w:w="9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700" w:type="dxa"/>
            <w:vAlign w:val="bottom"/>
          </w:tcPr>
          <w:p>
            <w:pPr>
              <w:spacing w:after="0"/>
              <w:rPr>
                <w:sz w:val="17"/>
                <w:szCs w:val="17"/>
                <w:color w:val="auto"/>
              </w:rPr>
            </w:pPr>
          </w:p>
        </w:tc>
        <w:tc>
          <w:tcPr>
            <w:tcW w:w="9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Agreement and Plan of Reorganization and Merger by and among CVB Financial Corp., Citizens Business Bank and Community</w:t>
              </w:r>
            </w:hyperlink>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Bank, dated February 26, 2018 (1)</w:t>
              </w:r>
            </w:hyperlink>
          </w:p>
        </w:tc>
        <w:tc>
          <w:tcPr>
            <w:tcW w:w="6840" w:type="dxa"/>
            <w:vAlign w:val="bottom"/>
            <w:gridSpan w:val="9"/>
          </w:tcPr>
          <w:p>
            <w:pPr>
              <w:spacing w:after="0"/>
              <w:rPr>
                <w:sz w:val="17"/>
                <w:szCs w:val="17"/>
                <w:color w:val="auto"/>
              </w:rPr>
            </w:pPr>
          </w:p>
        </w:tc>
      </w:tr>
      <w:tr>
        <w:trPr>
          <w:trHeight w:val="218"/>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tcPr>
          <w:p>
            <w:pPr>
              <w:spacing w:after="0"/>
              <w:rPr>
                <w:sz w:val="18"/>
                <w:szCs w:val="18"/>
                <w:color w:val="auto"/>
              </w:rPr>
            </w:pP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Articles of Incorporation of CVB Financial Corp., as amended (2)</w:t>
              </w:r>
            </w:hyperlink>
          </w:p>
        </w:tc>
      </w:tr>
      <w:tr>
        <w:trPr>
          <w:trHeight w:val="216"/>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tcPr>
          <w:p>
            <w:pPr>
              <w:spacing w:after="0"/>
              <w:rPr>
                <w:sz w:val="18"/>
                <w:szCs w:val="18"/>
                <w:color w:val="auto"/>
              </w:rPr>
            </w:pP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Amended and Restated Bylaws of CVB Financial Corp. (3)</w:t>
              </w:r>
            </w:hyperlink>
          </w:p>
        </w:tc>
      </w:tr>
      <w:tr>
        <w:trPr>
          <w:trHeight w:val="216"/>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tcPr>
          <w:p>
            <w:pPr>
              <w:spacing w:after="0"/>
              <w:rPr>
                <w:sz w:val="18"/>
                <w:szCs w:val="18"/>
                <w:color w:val="auto"/>
              </w:rPr>
            </w:pP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Form of CVB Financial Corp.’s Common Stock certificate (4)</w:t>
              </w:r>
            </w:hyperlink>
          </w:p>
        </w:tc>
      </w:tr>
      <w:tr>
        <w:trPr>
          <w:trHeight w:val="216"/>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Pr>
          <w:p>
            <w:pPr>
              <w:spacing w:after="0"/>
              <w:rPr>
                <w:sz w:val="18"/>
                <w:szCs w:val="18"/>
                <w:color w:val="auto"/>
              </w:rPr>
            </w:pP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Description of CVB Financial Corp. Common Stock (5)</w:t>
              </w:r>
            </w:hyperlink>
          </w:p>
        </w:tc>
      </w:tr>
      <w:tr>
        <w:trPr>
          <w:trHeight w:val="216"/>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18"/>
                <w:szCs w:val="18"/>
                <w:color w:val="auto"/>
              </w:rPr>
            </w:pP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CVB Financial Corp. 401(k) &amp; Profit Sharing Plan, as amended†(6)</w:t>
              </w:r>
            </w:hyperlink>
          </w:p>
        </w:tc>
      </w:tr>
      <w:tr>
        <w:trPr>
          <w:trHeight w:val="216"/>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rPr>
                <w:sz w:val="18"/>
                <w:szCs w:val="18"/>
                <w:color w:val="auto"/>
              </w:rPr>
            </w:pP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18">
              <w:r>
                <w:rPr>
                  <w:rFonts w:ascii="Times New Roman" w:cs="Times New Roman" w:eastAsia="Times New Roman" w:hAnsi="Times New Roman"/>
                  <w:sz w:val="18"/>
                  <w:szCs w:val="18"/>
                  <w:u w:val="single" w:color="auto"/>
                  <w:color w:val="0000EE"/>
                </w:rPr>
                <w:t>Form of Indemnification Agreement (7)</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10.3(a)</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CVB Financial Corp. 2008 Equity Incentive Plan†(8)</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10.3(b)</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CVB Financial Corp. Amendment No. 1 to the 2008 Equity Incentive Plan†(9)</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10.3(c)</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21">
              <w:r>
                <w:rPr>
                  <w:rFonts w:ascii="Times New Roman" w:cs="Times New Roman" w:eastAsia="Times New Roman" w:hAnsi="Times New Roman"/>
                  <w:sz w:val="18"/>
                  <w:szCs w:val="18"/>
                  <w:u w:val="single" w:color="auto"/>
                  <w:color w:val="0000EE"/>
                </w:rPr>
                <w:t>CVB Financial Corp. Amendment No. 2 to the 2008 Equity Incentive Plan†(10)</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10.3(d)</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CVB Financial Corp. Amendment No. 3 to the 2008 Equity Incentive Plan†(11)</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10.3(e)</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CVB Financial Corp. Amendment No. 4 to the 2008 Equity Incentive Plan†(12)</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10.3(f)</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CVB Financial Corp. Amendment No. 5 to the 2008 Equity Incentive Plan†(13)</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10.3(g)</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Form of Notice of Non-Qualified Stock Option Grant and Agreement pursuant to the 2008 Equity Incentive Plan†(14)</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10.3(h)</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Form of Notice of Grant and Restricted Stock Agreement pursuant to the 2008 Equity Incentive Plan†(15)</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10.4(a)</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CVB Financial Corp. 2018 Equity Incentive Plan†(16)</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10.4(b)</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Form of Stock Option Agreement under 2018 Equity Incentive Plan†(17)</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10.4(c)</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Form of Restricted Stock Agreement under 2018 Equity Incentive Plan†(18)</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10.4(d)</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30">
              <w:r>
                <w:rPr>
                  <w:rFonts w:ascii="Times New Roman" w:cs="Times New Roman" w:eastAsia="Times New Roman" w:hAnsi="Times New Roman"/>
                  <w:sz w:val="18"/>
                  <w:szCs w:val="18"/>
                  <w:u w:val="single" w:color="auto"/>
                  <w:color w:val="0000EE"/>
                </w:rPr>
                <w:t>Form of Restricted Stock Unit Agreement under 2018 Equity Incentive Plan†(19)</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10.5(a)</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31">
              <w:r>
                <w:rPr>
                  <w:rFonts w:ascii="Times New Roman" w:cs="Times New Roman" w:eastAsia="Times New Roman" w:hAnsi="Times New Roman"/>
                  <w:sz w:val="18"/>
                  <w:szCs w:val="18"/>
                  <w:u w:val="single" w:color="auto"/>
                  <w:color w:val="0000EE"/>
                </w:rPr>
                <w:t>The Executive Non Qualified Excess Plan(SM) Plan Document effective February 21, 2007†(20)</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10.5(b)</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62">
              <w:r>
                <w:rPr>
                  <w:rFonts w:ascii="Times New Roman" w:cs="Times New Roman" w:eastAsia="Times New Roman" w:hAnsi="Times New Roman"/>
                  <w:sz w:val="18"/>
                  <w:szCs w:val="18"/>
                  <w:u w:val="single" w:color="auto"/>
                  <w:color w:val="0000EE"/>
                </w:rPr>
                <w:t>CVB Financial Corp. Deferred Compensation Plan effective December 1, 2020†*</w:t>
              </w:r>
            </w:hyperlink>
          </w:p>
        </w:tc>
      </w:tr>
      <w:tr>
        <w:trPr>
          <w:trHeight w:val="216"/>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700" w:type="dxa"/>
            <w:vAlign w:val="bottom"/>
          </w:tcPr>
          <w:p>
            <w:pPr>
              <w:spacing w:after="0"/>
              <w:rPr>
                <w:sz w:val="18"/>
                <w:szCs w:val="18"/>
                <w:color w:val="auto"/>
              </w:rPr>
            </w:pP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CVB Financial Corp. 2015 Executive Incentive Plan†(21)</w:t>
              </w:r>
            </w:hyperlink>
          </w:p>
        </w:tc>
      </w:tr>
      <w:tr>
        <w:trPr>
          <w:trHeight w:val="194"/>
        </w:trPr>
        <w:tc>
          <w:tcPr>
            <w:tcW w:w="120" w:type="dxa"/>
            <w:vAlign w:val="bottom"/>
          </w:tcPr>
          <w:p>
            <w:pPr>
              <w:spacing w:after="0"/>
              <w:rPr>
                <w:sz w:val="16"/>
                <w:szCs w:val="16"/>
                <w:color w:val="auto"/>
              </w:rPr>
            </w:pPr>
          </w:p>
        </w:tc>
        <w:tc>
          <w:tcPr>
            <w:tcW w:w="1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10.7(a)</w:t>
            </w:r>
          </w:p>
        </w:tc>
        <w:tc>
          <w:tcPr>
            <w:tcW w:w="898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Employment Agreement, dated as of September 12, 2018, by and between Christopher D. Myers, on the one hand, and CVB</w:t>
              </w:r>
            </w:hyperlink>
          </w:p>
        </w:tc>
        <w:tc>
          <w:tcPr>
            <w:tcW w:w="360" w:type="dxa"/>
            <w:vAlign w:val="bottom"/>
            <w:gridSpan w:val="2"/>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Financial Corp. and Citizens Business Bank, on the other hand †(22)</w:t>
              </w:r>
            </w:hyperlink>
          </w:p>
        </w:tc>
        <w:tc>
          <w:tcPr>
            <w:tcW w:w="4380" w:type="dxa"/>
            <w:vAlign w:val="bottom"/>
            <w:gridSpan w:val="7"/>
          </w:tcPr>
          <w:p>
            <w:pPr>
              <w:spacing w:after="0"/>
              <w:rPr>
                <w:sz w:val="17"/>
                <w:szCs w:val="17"/>
                <w:color w:val="auto"/>
              </w:rPr>
            </w:pPr>
          </w:p>
        </w:tc>
      </w:tr>
      <w:tr>
        <w:trPr>
          <w:trHeight w:val="218"/>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10.7(b)</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34">
              <w:r>
                <w:rPr>
                  <w:rFonts w:ascii="Times New Roman" w:cs="Times New Roman" w:eastAsia="Times New Roman" w:hAnsi="Times New Roman"/>
                  <w:sz w:val="18"/>
                  <w:szCs w:val="18"/>
                  <w:u w:val="single" w:color="auto"/>
                  <w:color w:val="0000EE"/>
                </w:rPr>
                <w:t>Deferred Compensation Plan for Christopher D. Myers, effective January 1, 2007†(23)</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10.7(c)</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35">
              <w:r>
                <w:rPr>
                  <w:rFonts w:ascii="Times New Roman" w:cs="Times New Roman" w:eastAsia="Times New Roman" w:hAnsi="Times New Roman"/>
                  <w:sz w:val="18"/>
                  <w:szCs w:val="18"/>
                  <w:u w:val="single" w:color="auto"/>
                  <w:color w:val="0000EE"/>
                </w:rPr>
                <w:t>Retirement and Consulting Agreement for Christopher D. Myers, dated July 17, 2019†(24)</w:t>
              </w:r>
            </w:hyperlink>
          </w:p>
        </w:tc>
      </w:tr>
      <w:tr>
        <w:trPr>
          <w:trHeight w:val="216"/>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10.7(d)</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Amendment to Employment Agreement for Christopher D. Myers, Dated July 17, 2019†(25)</w:t>
              </w:r>
            </w:hyperlink>
          </w:p>
        </w:tc>
      </w:tr>
      <w:tr>
        <w:trPr>
          <w:trHeight w:val="194"/>
        </w:trPr>
        <w:tc>
          <w:tcPr>
            <w:tcW w:w="96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700" w:type="dxa"/>
            <w:vAlign w:val="bottom"/>
          </w:tcPr>
          <w:p>
            <w:pPr>
              <w:spacing w:after="0"/>
              <w:rPr>
                <w:sz w:val="16"/>
                <w:szCs w:val="16"/>
                <w:color w:val="auto"/>
              </w:rPr>
            </w:pPr>
          </w:p>
        </w:tc>
        <w:tc>
          <w:tcPr>
            <w:tcW w:w="934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Employment Agreement by and among CVB Financial Corp. and Citizens Business Bank, on the one hand, and David A. Brager,</w:t>
              </w:r>
            </w:hyperlink>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gridSpan w:val="12"/>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on the other hand, dated as of February 14, 2020. †(26)</w:t>
              </w:r>
            </w:hyperlink>
          </w:p>
        </w:tc>
      </w:tr>
      <w:tr>
        <w:trPr>
          <w:trHeight w:val="20"/>
        </w:trPr>
        <w:tc>
          <w:tcPr>
            <w:tcW w:w="1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10.9(a)</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38">
              <w:r>
                <w:rPr>
                  <w:rFonts w:ascii="Times New Roman" w:cs="Times New Roman" w:eastAsia="Times New Roman" w:hAnsi="Times New Roman"/>
                  <w:sz w:val="18"/>
                  <w:szCs w:val="18"/>
                  <w:u w:val="single" w:color="auto"/>
                  <w:color w:val="0000EE"/>
                </w:rPr>
                <w:t>Offer letter for David C. Harvey, dated December 7, 2009†(27)</w:t>
              </w:r>
            </w:hyperlink>
          </w:p>
        </w:tc>
      </w:tr>
      <w:tr>
        <w:trPr>
          <w:trHeight w:val="194"/>
        </w:trPr>
        <w:tc>
          <w:tcPr>
            <w:tcW w:w="120" w:type="dxa"/>
            <w:vAlign w:val="bottom"/>
          </w:tcPr>
          <w:p>
            <w:pPr>
              <w:spacing w:after="0"/>
              <w:rPr>
                <w:sz w:val="16"/>
                <w:szCs w:val="16"/>
                <w:color w:val="auto"/>
              </w:rPr>
            </w:pPr>
          </w:p>
        </w:tc>
        <w:tc>
          <w:tcPr>
            <w:tcW w:w="1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10.9(b)</w:t>
            </w:r>
          </w:p>
        </w:tc>
        <w:tc>
          <w:tcPr>
            <w:tcW w:w="878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Severance Compensation Agreement by and between David C. Harvey and Citizens Business Bank, effective January 28,</w:t>
              </w:r>
            </w:hyperlink>
          </w:p>
        </w:tc>
        <w:tc>
          <w:tcPr>
            <w:tcW w:w="560" w:type="dxa"/>
            <w:vAlign w:val="bottom"/>
            <w:gridSpan w:val="5"/>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2021†(28)</w:t>
              </w:r>
            </w:hyperlink>
          </w:p>
        </w:tc>
        <w:tc>
          <w:tcPr>
            <w:tcW w:w="8560" w:type="dxa"/>
            <w:vAlign w:val="bottom"/>
            <w:gridSpan w:val="10"/>
          </w:tcPr>
          <w:p>
            <w:pPr>
              <w:spacing w:after="0"/>
              <w:rPr>
                <w:sz w:val="17"/>
                <w:szCs w:val="17"/>
                <w:color w:val="auto"/>
              </w:rPr>
            </w:pPr>
          </w:p>
        </w:tc>
      </w:tr>
      <w:tr>
        <w:trPr>
          <w:trHeight w:val="218"/>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10.10(a)</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Offer Letter for E. Allen Nicholson executed April 30, 2016†(29)</w:t>
              </w:r>
            </w:hyperlink>
          </w:p>
        </w:tc>
      </w:tr>
      <w:tr>
        <w:trPr>
          <w:trHeight w:val="194"/>
        </w:trPr>
        <w:tc>
          <w:tcPr>
            <w:tcW w:w="120" w:type="dxa"/>
            <w:vAlign w:val="bottom"/>
          </w:tcPr>
          <w:p>
            <w:pPr>
              <w:spacing w:after="0"/>
              <w:rPr>
                <w:sz w:val="16"/>
                <w:szCs w:val="16"/>
                <w:color w:val="auto"/>
              </w:rPr>
            </w:pPr>
          </w:p>
        </w:tc>
        <w:tc>
          <w:tcPr>
            <w:tcW w:w="1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10.10(b)</w:t>
            </w:r>
          </w:p>
        </w:tc>
        <w:tc>
          <w:tcPr>
            <w:tcW w:w="892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Severance Compensation Agreement by and between E. Allen Nicholson and Citizens Business Bank, effective January 28,</w:t>
              </w:r>
            </w:hyperlink>
          </w:p>
        </w:tc>
        <w:tc>
          <w:tcPr>
            <w:tcW w:w="420" w:type="dxa"/>
            <w:vAlign w:val="bottom"/>
            <w:gridSpan w:val="3"/>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2021†(28)</w:t>
              </w:r>
            </w:hyperlink>
          </w:p>
        </w:tc>
        <w:tc>
          <w:tcPr>
            <w:tcW w:w="8560" w:type="dxa"/>
            <w:vAlign w:val="bottom"/>
            <w:gridSpan w:val="10"/>
          </w:tcPr>
          <w:p>
            <w:pPr>
              <w:spacing w:after="0"/>
              <w:rPr>
                <w:sz w:val="17"/>
                <w:szCs w:val="17"/>
                <w:color w:val="auto"/>
              </w:rPr>
            </w:pPr>
          </w:p>
        </w:tc>
      </w:tr>
      <w:tr>
        <w:trPr>
          <w:trHeight w:val="218"/>
        </w:trPr>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10.11(a)</w:t>
            </w: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Offer Letter for David Farnsworth dated July 1, 2016†(30)</w:t>
              </w:r>
            </w:hyperlink>
          </w:p>
        </w:tc>
      </w:tr>
      <w:tr>
        <w:trPr>
          <w:trHeight w:val="194"/>
        </w:trPr>
        <w:tc>
          <w:tcPr>
            <w:tcW w:w="120" w:type="dxa"/>
            <w:vAlign w:val="bottom"/>
          </w:tcPr>
          <w:p>
            <w:pPr>
              <w:spacing w:after="0"/>
              <w:rPr>
                <w:sz w:val="16"/>
                <w:szCs w:val="16"/>
                <w:color w:val="auto"/>
              </w:rPr>
            </w:pPr>
          </w:p>
        </w:tc>
        <w:tc>
          <w:tcPr>
            <w:tcW w:w="1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10.11(b)</w:t>
            </w:r>
          </w:p>
        </w:tc>
        <w:tc>
          <w:tcPr>
            <w:tcW w:w="884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Severance Compensation Agreement by and between David Farnsworth and Citizens Business Bank, effective January 28,</w:t>
              </w:r>
            </w:hyperlink>
          </w:p>
        </w:tc>
        <w:tc>
          <w:tcPr>
            <w:tcW w:w="500" w:type="dxa"/>
            <w:vAlign w:val="bottom"/>
            <w:gridSpan w:val="4"/>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2021†(28)</w:t>
              </w:r>
            </w:hyperlink>
          </w:p>
        </w:tc>
        <w:tc>
          <w:tcPr>
            <w:tcW w:w="8580" w:type="dxa"/>
            <w:vAlign w:val="bottom"/>
            <w:gridSpan w:val="11"/>
          </w:tcPr>
          <w:p>
            <w:pPr>
              <w:spacing w:after="0"/>
              <w:rPr>
                <w:sz w:val="17"/>
                <w:szCs w:val="17"/>
                <w:color w:val="auto"/>
              </w:rPr>
            </w:pPr>
          </w:p>
        </w:tc>
      </w:tr>
      <w:tr>
        <w:trPr>
          <w:trHeight w:val="196"/>
        </w:trPr>
        <w:tc>
          <w:tcPr>
            <w:tcW w:w="9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700" w:type="dxa"/>
            <w:vAlign w:val="bottom"/>
          </w:tcPr>
          <w:p>
            <w:pPr>
              <w:spacing w:after="0"/>
              <w:rPr>
                <w:sz w:val="17"/>
                <w:szCs w:val="17"/>
                <w:color w:val="auto"/>
              </w:rPr>
            </w:pPr>
          </w:p>
        </w:tc>
        <w:tc>
          <w:tcPr>
            <w:tcW w:w="90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Severance Compensation Agreement by and between Yamynn De Angelis and Citizens Business Bank, effective January 28,</w:t>
              </w:r>
            </w:hyperlink>
          </w:p>
        </w:tc>
        <w:tc>
          <w:tcPr>
            <w:tcW w:w="3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2021†(28)</w:t>
              </w:r>
            </w:hyperlink>
          </w:p>
        </w:tc>
        <w:tc>
          <w:tcPr>
            <w:tcW w:w="8580" w:type="dxa"/>
            <w:vAlign w:val="bottom"/>
            <w:gridSpan w:val="11"/>
          </w:tcPr>
          <w:p>
            <w:pPr>
              <w:spacing w:after="0"/>
              <w:rPr>
                <w:sz w:val="17"/>
                <w:szCs w:val="17"/>
                <w:color w:val="auto"/>
              </w:rPr>
            </w:pPr>
          </w:p>
        </w:tc>
      </w:tr>
      <w:tr>
        <w:trPr>
          <w:trHeight w:val="196"/>
        </w:trPr>
        <w:tc>
          <w:tcPr>
            <w:tcW w:w="9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00" w:type="dxa"/>
            <w:vAlign w:val="bottom"/>
          </w:tcPr>
          <w:p>
            <w:pPr>
              <w:spacing w:after="0"/>
              <w:rPr>
                <w:sz w:val="17"/>
                <w:szCs w:val="17"/>
                <w:color w:val="auto"/>
              </w:rPr>
            </w:pPr>
          </w:p>
        </w:tc>
        <w:tc>
          <w:tcPr>
            <w:tcW w:w="87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Severance Compensation Agreement by and between Richard H. Wohl and Citizens Business Bank, effective January 28,</w:t>
              </w:r>
            </w:hyperlink>
          </w:p>
        </w:tc>
        <w:tc>
          <w:tcPr>
            <w:tcW w:w="580" w:type="dxa"/>
            <w:vAlign w:val="bottom"/>
            <w:gridSpan w:val="6"/>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2021†(28)</w:t>
              </w:r>
            </w:hyperlink>
          </w:p>
        </w:tc>
        <w:tc>
          <w:tcPr>
            <w:tcW w:w="8560" w:type="dxa"/>
            <w:vAlign w:val="bottom"/>
            <w:gridSpan w:val="10"/>
          </w:tcPr>
          <w:p>
            <w:pPr>
              <w:spacing w:after="0"/>
              <w:rPr>
                <w:sz w:val="17"/>
                <w:szCs w:val="17"/>
                <w:color w:val="auto"/>
              </w:rPr>
            </w:pPr>
          </w:p>
        </w:tc>
      </w:tr>
      <w:tr>
        <w:trPr>
          <w:trHeight w:val="218"/>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tcPr>
          <w:p>
            <w:pPr>
              <w:spacing w:after="0"/>
              <w:rPr>
                <w:sz w:val="18"/>
                <w:szCs w:val="18"/>
                <w:color w:val="auto"/>
              </w:rPr>
            </w:pP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92">
              <w:r>
                <w:rPr>
                  <w:rFonts w:ascii="Times New Roman" w:cs="Times New Roman" w:eastAsia="Times New Roman" w:hAnsi="Times New Roman"/>
                  <w:sz w:val="18"/>
                  <w:szCs w:val="18"/>
                  <w:u w:val="single" w:color="auto"/>
                  <w:color w:val="0000EE"/>
                </w:rPr>
                <w:t>Subsidiaries of the Company*</w:t>
              </w:r>
            </w:hyperlink>
          </w:p>
        </w:tc>
      </w:tr>
      <w:tr>
        <w:trPr>
          <w:trHeight w:val="216"/>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tcPr>
          <w:p>
            <w:pPr>
              <w:spacing w:after="0"/>
              <w:rPr>
                <w:sz w:val="18"/>
                <w:szCs w:val="18"/>
                <w:color w:val="auto"/>
              </w:rPr>
            </w:pP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93">
              <w:r>
                <w:rPr>
                  <w:rFonts w:ascii="Times New Roman" w:cs="Times New Roman" w:eastAsia="Times New Roman" w:hAnsi="Times New Roman"/>
                  <w:sz w:val="18"/>
                  <w:szCs w:val="18"/>
                  <w:u w:val="single" w:color="auto"/>
                  <w:color w:val="0000EE"/>
                </w:rPr>
                <w:t>Consent of KPMG LLP*</w:t>
              </w:r>
            </w:hyperlink>
          </w:p>
        </w:tc>
      </w:tr>
      <w:tr>
        <w:trPr>
          <w:trHeight w:val="234"/>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700" w:type="dxa"/>
            <w:vAlign w:val="bottom"/>
          </w:tcPr>
          <w:p>
            <w:pPr>
              <w:spacing w:after="0"/>
              <w:rPr>
                <w:sz w:val="20"/>
                <w:szCs w:val="20"/>
                <w:color w:val="auto"/>
              </w:rPr>
            </w:pPr>
          </w:p>
        </w:tc>
        <w:tc>
          <w:tcPr>
            <w:tcW w:w="93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94">
              <w:r>
                <w:rPr>
                  <w:rFonts w:ascii="Times New Roman" w:cs="Times New Roman" w:eastAsia="Times New Roman" w:hAnsi="Times New Roman"/>
                  <w:sz w:val="18"/>
                  <w:szCs w:val="18"/>
                  <w:u w:val="single" w:color="auto"/>
                  <w:color w:val="0000EE"/>
                </w:rPr>
                <w:t>Certification of David A. Brager pursuant to Section 302 of the Sarbanes-Oxley Act of 2002*</w:t>
              </w:r>
            </w:hyperlink>
          </w:p>
        </w:tc>
      </w:tr>
      <w:tr>
        <w:trPr>
          <w:trHeight w:val="364"/>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60" w:type="dxa"/>
            <w:vAlign w:val="bottom"/>
            <w:gridSpan w:val="5"/>
          </w:tcPr>
          <w:p>
            <w:pPr>
              <w:ind w:left="3880"/>
              <w:spacing w:after="0"/>
              <w:rPr>
                <w:sz w:val="20"/>
                <w:szCs w:val="20"/>
                <w:color w:val="auto"/>
              </w:rPr>
            </w:pPr>
            <w:r>
              <w:rPr>
                <w:rFonts w:ascii="Times New Roman" w:cs="Times New Roman" w:eastAsia="Times New Roman" w:hAnsi="Times New Roman"/>
                <w:sz w:val="18"/>
                <w:szCs w:val="18"/>
                <w:color w:val="auto"/>
              </w:rPr>
              <w:t>95</w:t>
            </w: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320" w:top="482" w:right="5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bookmarkStart w:id="96" w:name="page97"/>
    <w:bookmarkEnd w:id="96"/>
    <w:tbl>
      <w:tblPr>
        <w:tblLayout w:type="fixed"/>
        <w:tblInd w:w="0" w:type="dxa"/>
        <w:tblCellMar>
          <w:top w:w="0" w:type="dxa"/>
          <w:left w:w="0" w:type="dxa"/>
          <w:bottom w:w="0" w:type="dxa"/>
          <w:right w:w="0" w:type="dxa"/>
        </w:tblCellMar>
      </w:tblPr>
      <w:tr>
        <w:trPr>
          <w:trHeight w:val="238"/>
        </w:trPr>
        <w:tc>
          <w:tcPr>
            <w:tcW w:w="1520" w:type="dxa"/>
            <w:vAlign w:val="bottom"/>
            <w:gridSpan w:val="3"/>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7160" w:type="dxa"/>
            <w:vAlign w:val="bottom"/>
          </w:tcPr>
          <w:p>
            <w:pPr>
              <w:spacing w:after="0"/>
              <w:rPr>
                <w:sz w:val="20"/>
                <w:szCs w:val="20"/>
                <w:color w:val="auto"/>
              </w:rPr>
            </w:pPr>
          </w:p>
        </w:tc>
      </w:tr>
      <w:tr>
        <w:trPr>
          <w:trHeight w:val="473"/>
        </w:trPr>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6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218"/>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18"/>
                <w:szCs w:val="18"/>
                <w:color w:val="auto"/>
              </w:rPr>
            </w:pPr>
          </w:p>
        </w:tc>
        <w:tc>
          <w:tcPr>
            <w:tcW w:w="7160" w:type="dxa"/>
            <w:vAlign w:val="bottom"/>
          </w:tcPr>
          <w:p>
            <w:pPr>
              <w:ind w:left="140"/>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Certification of E. Allen Nicholson pursuant to Section 302 of the Sarbanes-Oxley Act of 2002*</w:t>
              </w:r>
            </w:hyperlink>
          </w:p>
        </w:tc>
      </w:tr>
      <w:tr>
        <w:trPr>
          <w:trHeight w:val="216"/>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560" w:type="dxa"/>
            <w:vAlign w:val="bottom"/>
          </w:tcPr>
          <w:p>
            <w:pPr>
              <w:spacing w:after="0"/>
              <w:rPr>
                <w:sz w:val="18"/>
                <w:szCs w:val="18"/>
                <w:color w:val="auto"/>
              </w:rPr>
            </w:pPr>
          </w:p>
        </w:tc>
        <w:tc>
          <w:tcPr>
            <w:tcW w:w="7160" w:type="dxa"/>
            <w:vAlign w:val="bottom"/>
          </w:tcPr>
          <w:p>
            <w:pPr>
              <w:ind w:left="140"/>
              <w:spacing w:after="0"/>
              <w:rPr>
                <w:rFonts w:ascii="Times New Roman" w:cs="Times New Roman" w:eastAsia="Times New Roman" w:hAnsi="Times New Roman"/>
                <w:sz w:val="18"/>
                <w:szCs w:val="18"/>
                <w:u w:val="single" w:color="auto"/>
                <w:color w:val="0000EE"/>
              </w:rPr>
            </w:pPr>
            <w:hyperlink w:anchor="page196">
              <w:r>
                <w:rPr>
                  <w:rFonts w:ascii="Times New Roman" w:cs="Times New Roman" w:eastAsia="Times New Roman" w:hAnsi="Times New Roman"/>
                  <w:sz w:val="18"/>
                  <w:szCs w:val="18"/>
                  <w:u w:val="single" w:color="auto"/>
                  <w:color w:val="0000EE"/>
                </w:rPr>
                <w:t>Certification of David A. Brager pursuant to Section 906 of the Sarbanes-Oxley Act of 2002**</w:t>
              </w:r>
            </w:hyperlink>
          </w:p>
        </w:tc>
      </w:tr>
      <w:tr>
        <w:trPr>
          <w:trHeight w:val="216"/>
        </w:trPr>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spacing w:after="0"/>
              <w:rPr>
                <w:sz w:val="18"/>
                <w:szCs w:val="18"/>
                <w:color w:val="auto"/>
              </w:rPr>
            </w:pPr>
          </w:p>
        </w:tc>
        <w:tc>
          <w:tcPr>
            <w:tcW w:w="7160" w:type="dxa"/>
            <w:vAlign w:val="bottom"/>
          </w:tcPr>
          <w:p>
            <w:pPr>
              <w:ind w:left="140"/>
              <w:spacing w:after="0"/>
              <w:rPr>
                <w:rFonts w:ascii="Times New Roman" w:cs="Times New Roman" w:eastAsia="Times New Roman" w:hAnsi="Times New Roman"/>
                <w:sz w:val="18"/>
                <w:szCs w:val="18"/>
                <w:u w:val="single" w:color="auto"/>
                <w:color w:val="0000EE"/>
                <w:w w:val="99"/>
              </w:rPr>
            </w:pPr>
            <w:hyperlink w:anchor="page197">
              <w:r>
                <w:rPr>
                  <w:rFonts w:ascii="Times New Roman" w:cs="Times New Roman" w:eastAsia="Times New Roman" w:hAnsi="Times New Roman"/>
                  <w:sz w:val="18"/>
                  <w:szCs w:val="18"/>
                  <w:u w:val="single" w:color="auto"/>
                  <w:color w:val="0000EE"/>
                  <w:w w:val="99"/>
                </w:rPr>
                <w:t>Certification of E. Allen Nicholson pursuant to Section 906 of the Sarbanes-Oxley Act of 2002**</w:t>
              </w:r>
            </w:hyperlink>
          </w:p>
        </w:tc>
      </w:tr>
      <w:tr>
        <w:trPr>
          <w:trHeight w:val="216"/>
        </w:trPr>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660" w:right="80" w:hanging="1544"/>
        <w:spacing w:after="0" w:line="260" w:lineRule="auto"/>
        <w:tabs>
          <w:tab w:leader="none" w:pos="1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The cover page from the Company’s Annual Report on Form 10-K for the year ended December 31, 2020, has been formatted in Inline XBRL</w:t>
      </w:r>
    </w:p>
    <w:p>
      <w:pPr>
        <w:spacing w:after="0" w:line="181" w:lineRule="exact"/>
        <w:rPr>
          <w:sz w:val="20"/>
          <w:szCs w:val="20"/>
          <w:color w:val="auto"/>
        </w:rPr>
      </w:pPr>
    </w:p>
    <w:p>
      <w:pPr>
        <w:ind w:left="1000" w:hanging="884"/>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000" w:hanging="884"/>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000" w:hanging="884"/>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compensation plan.</w:t>
      </w:r>
    </w:p>
    <w:p>
      <w:pPr>
        <w:spacing w:after="0" w:line="9" w:lineRule="exact"/>
        <w:rPr>
          <w:sz w:val="20"/>
          <w:szCs w:val="20"/>
          <w:color w:val="auto"/>
        </w:rPr>
      </w:pPr>
    </w:p>
    <w:p>
      <w:pPr>
        <w:ind w:left="1000" w:hanging="884"/>
        <w:spacing w:after="0" w:line="250"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below, Form 8-A12G, Form 8-K, Form 10-Q, Form 10-K and Form DEF 14A identified in the exhibit index have SEC file number 001-10140.</w:t>
      </w:r>
    </w:p>
    <w:p>
      <w:pPr>
        <w:spacing w:after="0" w:line="1" w:lineRule="exact"/>
        <w:rPr>
          <w:sz w:val="20"/>
          <w:szCs w:val="20"/>
          <w:color w:val="auto"/>
        </w:rPr>
      </w:pPr>
    </w:p>
    <w:p>
      <w:pPr>
        <w:ind w:left="1000" w:hanging="884"/>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the following trust preferred security issuances and agree to furnish a copy to the SEC upon request:</w:t>
      </w:r>
    </w:p>
    <w:p>
      <w:pPr>
        <w:spacing w:after="0" w:line="9" w:lineRule="exact"/>
        <w:rPr>
          <w:rFonts w:ascii="Times New Roman" w:cs="Times New Roman" w:eastAsia="Times New Roman" w:hAnsi="Times New Roman"/>
          <w:sz w:val="18"/>
          <w:szCs w:val="18"/>
          <w:color w:val="auto"/>
        </w:rPr>
      </w:pPr>
    </w:p>
    <w:p>
      <w:pPr>
        <w:ind w:left="2200" w:right="120" w:hanging="883"/>
        <w:spacing w:after="0" w:line="250" w:lineRule="auto"/>
        <w:tabs>
          <w:tab w:leader="none" w:pos="22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by and between CVB Financial Corp. and U.S. Bank, National Association, as Trustee, dated as of January 31, 2006 (CVB Statutory Trust III).</w:t>
      </w:r>
    </w:p>
    <w:p>
      <w:pPr>
        <w:spacing w:after="0" w:line="1" w:lineRule="exact"/>
        <w:rPr>
          <w:sz w:val="20"/>
          <w:szCs w:val="20"/>
          <w:color w:val="auto"/>
        </w:rPr>
      </w:pP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2.1 to our Form 8-K filed with the SEC on February 27, 2018.</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3.1 to our Form 10-Q filed with the SEC on August 9, 2010.</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Exhibits 3.1 to our Form 8-K filed with the SEC on January 23, 2020.</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4.1 to our Form 8-A12G filed with the SEC on June 11, 2001.</w:t>
      </w:r>
    </w:p>
    <w:p>
      <w:pPr>
        <w:spacing w:after="0" w:line="9" w:lineRule="exact"/>
        <w:rPr>
          <w:rFonts w:ascii="Times New Roman" w:cs="Times New Roman" w:eastAsia="Times New Roman" w:hAnsi="Times New Roman"/>
          <w:sz w:val="18"/>
          <w:szCs w:val="18"/>
          <w:color w:val="auto"/>
        </w:rPr>
      </w:pPr>
    </w:p>
    <w:p>
      <w:pPr>
        <w:ind w:left="1000" w:right="900" w:hanging="884"/>
        <w:spacing w:after="0" w:line="265" w:lineRule="auto"/>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herein by reference to Exhibit 4.2 to our Annual Report on Form 10-K filed with the SEC on March 2, 2020. Incorporated herein by reference to Exhibit 10.2 to the Annual Report on Form 10-K filed with the SEC on February 29, 2016.</w:t>
      </w: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the Annual Report on Form 10-K filed with the SEC on February 29, 2016.</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the Current Report on Form 8-K filed June 29, 2016.</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Annex A to our Definitive Proxy Statement on Form DEF 14A filed with the SEC on April 16, 2008.</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our Current Report on Form 8-K filed with the SEC on September 22, 2009</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our Current Report on Form 8-K filed with the SEC on November 24, 2009.</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our Current Report on Form 8-K filed with the SEC on February 6, 2014.</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our Quarterly Report on Form 10-Q filed with the SEC on May 10, 2017.</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our Quarterly Report on Form 10-Q filed with the SEC on May 10, 2017.</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320" w:top="482" w:right="5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our Current Report on Form 8-K filed with the SEC on May 23, 2008.</w:t>
      </w:r>
    </w:p>
    <w:p>
      <w:pPr>
        <w:spacing w:after="0" w:line="27"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10.3 to our Current Report on Form 8-K filed with the SEC on May 23, 2008.</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herein by reference to Annex A to our Definitive Proxy Statement on Form DEF 14A filed with the SEC on April 4, 2018.</w:t>
      </w:r>
    </w:p>
    <w:p>
      <w:pPr>
        <w:spacing w:after="0" w:line="20" w:lineRule="exact"/>
        <w:rPr>
          <w:rFonts w:ascii="Times New Roman" w:cs="Times New Roman" w:eastAsia="Times New Roman" w:hAnsi="Times New Roman"/>
          <w:sz w:val="17"/>
          <w:szCs w:val="17"/>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our Form 8-K filed with the SEC on May 24, 2018.</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10.3 to our Form 8-K filed with the SEC on May 24, 2018.</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hereby by reference to Exhibit 10.4 to our Form 8-K filed with the SEC on May 24, 2018.</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10.26 to our Annual Report on Form 10-K filed with the SEC on March 1, 2007.</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herein by reference to Exhibit A to our Definitive Proxy Statement on Form DEF 14A filed with the SEC on April 3, 2015</w:t>
      </w:r>
    </w:p>
    <w:p>
      <w:pPr>
        <w:spacing w:after="0" w:line="20" w:lineRule="exact"/>
        <w:rPr>
          <w:rFonts w:ascii="Times New Roman" w:cs="Times New Roman" w:eastAsia="Times New Roman" w:hAnsi="Times New Roman"/>
          <w:sz w:val="17"/>
          <w:szCs w:val="17"/>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our Current Report on Form 8-K filed with the SEC on September 13, 2018.</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10.23 to our Annual Report on Form 10-K filed with the SEC on March 1, 2007.</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our Form 8-K filed with the SEC on July 19, 2019.</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 to our Form 8-K filed with the SEC on July 19, 2019.</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our Form 8-K filed with the SEC on February 20, 2020</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10.21(A) to our Annual Report on Form 10-K filed with the SEC on March 4, 2010.</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our Current Report on Form 8-K filed with the SEC on January 28, 2021.</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10.1 to the Current Report on Form 8-K filed May 5, 2016.</w:t>
      </w:r>
    </w:p>
    <w:p>
      <w:pPr>
        <w:spacing w:after="0" w:line="9"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Exhibit 10.3 to the Quarterly Report on Form 10-Q filed November 9, 2016.</w:t>
      </w:r>
    </w:p>
    <w:p>
      <w:pPr>
        <w:spacing w:after="0" w:line="13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780"/>
          </w:cols>
          <w:pgMar w:left="320" w:top="482" w:right="7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120" w:right="500" w:firstLine="55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1st day of March 2021.</w:t>
      </w:r>
    </w:p>
    <w:p>
      <w:pPr>
        <w:spacing w:after="0" w:line="16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A. BRAGER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David A. Brager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66" w:lineRule="exact"/>
        <w:rPr>
          <w:sz w:val="20"/>
          <w:szCs w:val="20"/>
          <w:color w:val="auto"/>
        </w:rPr>
      </w:pPr>
    </w:p>
    <w:p>
      <w:pPr>
        <w:ind w:left="120" w:right="40" w:firstLine="55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20" w:type="dxa"/>
            <w:vAlign w:val="bottom"/>
          </w:tcPr>
          <w:p>
            <w:pPr>
              <w:spacing w:after="0"/>
              <w:rPr>
                <w:sz w:val="15"/>
                <w:szCs w:val="15"/>
                <w:color w:val="auto"/>
              </w:rPr>
            </w:pPr>
          </w:p>
        </w:tc>
        <w:tc>
          <w:tcPr>
            <w:tcW w:w="344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5"/>
                <w:szCs w:val="15"/>
                <w:color w:val="auto"/>
              </w:rPr>
            </w:pPr>
          </w:p>
        </w:tc>
        <w:tc>
          <w:tcPr>
            <w:tcW w:w="20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9"/>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RAYMOND V. O’BRIEN III</w:t>
            </w:r>
          </w:p>
        </w:tc>
        <w:tc>
          <w:tcPr>
            <w:tcW w:w="32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Chairman of the Board</w:t>
            </w:r>
          </w:p>
        </w:tc>
        <w:tc>
          <w:tcPr>
            <w:tcW w:w="20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V. O’Brien III</w:t>
            </w:r>
          </w:p>
        </w:tc>
        <w:tc>
          <w:tcPr>
            <w:tcW w:w="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GEORGE A. BORBA, JR.</w:t>
            </w:r>
          </w:p>
        </w:tc>
        <w:tc>
          <w:tcPr>
            <w:tcW w:w="32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Vice Chairman</w:t>
            </w:r>
          </w:p>
        </w:tc>
        <w:tc>
          <w:tcPr>
            <w:tcW w:w="20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A. Borba, Jr.</w:t>
            </w:r>
          </w:p>
        </w:tc>
        <w:tc>
          <w:tcPr>
            <w:tcW w:w="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STEPHEN A. DEL GUERCIO</w:t>
            </w:r>
          </w:p>
        </w:tc>
        <w:tc>
          <w:tcPr>
            <w:tcW w:w="32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Director</w:t>
            </w:r>
          </w:p>
        </w:tc>
        <w:tc>
          <w:tcPr>
            <w:tcW w:w="20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A. Del Guercio</w:t>
            </w:r>
          </w:p>
        </w:tc>
        <w:tc>
          <w:tcPr>
            <w:tcW w:w="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RODRIGO GUERRA, JR.</w:t>
            </w:r>
          </w:p>
        </w:tc>
        <w:tc>
          <w:tcPr>
            <w:tcW w:w="32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Director</w:t>
            </w:r>
          </w:p>
        </w:tc>
        <w:tc>
          <w:tcPr>
            <w:tcW w:w="20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Rodrigo Guerra, Jr.</w:t>
            </w:r>
          </w:p>
        </w:tc>
        <w:tc>
          <w:tcPr>
            <w:tcW w:w="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ANNA KAN</w:t>
            </w:r>
          </w:p>
        </w:tc>
        <w:tc>
          <w:tcPr>
            <w:tcW w:w="32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Director</w:t>
            </w:r>
          </w:p>
        </w:tc>
        <w:tc>
          <w:tcPr>
            <w:tcW w:w="20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Anna Kan</w:t>
            </w:r>
          </w:p>
        </w:tc>
        <w:tc>
          <w:tcPr>
            <w:tcW w:w="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MARSHALL V. LAITSCH</w:t>
            </w:r>
          </w:p>
        </w:tc>
        <w:tc>
          <w:tcPr>
            <w:tcW w:w="32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Director</w:t>
            </w:r>
          </w:p>
        </w:tc>
        <w:tc>
          <w:tcPr>
            <w:tcW w:w="20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V. Laitsch</w:t>
            </w:r>
          </w:p>
        </w:tc>
        <w:tc>
          <w:tcPr>
            <w:tcW w:w="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KRISTINA M. LESLIE</w:t>
            </w:r>
          </w:p>
        </w:tc>
        <w:tc>
          <w:tcPr>
            <w:tcW w:w="32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Director</w:t>
            </w:r>
          </w:p>
        </w:tc>
        <w:tc>
          <w:tcPr>
            <w:tcW w:w="20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Kristina M. Leslie</w:t>
            </w:r>
          </w:p>
        </w:tc>
        <w:tc>
          <w:tcPr>
            <w:tcW w:w="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JANE OLVERA</w:t>
            </w:r>
          </w:p>
        </w:tc>
        <w:tc>
          <w:tcPr>
            <w:tcW w:w="32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Director</w:t>
            </w:r>
          </w:p>
        </w:tc>
        <w:tc>
          <w:tcPr>
            <w:tcW w:w="20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 Olvera</w:t>
            </w:r>
          </w:p>
        </w:tc>
        <w:tc>
          <w:tcPr>
            <w:tcW w:w="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HAL W. OSWALT</w:t>
            </w:r>
          </w:p>
        </w:tc>
        <w:tc>
          <w:tcPr>
            <w:tcW w:w="320" w:type="dxa"/>
            <w:vAlign w:val="bottom"/>
          </w:tcPr>
          <w:p>
            <w:pPr>
              <w:spacing w:after="0"/>
              <w:rPr>
                <w:sz w:val="24"/>
                <w:szCs w:val="24"/>
                <w:color w:val="auto"/>
              </w:rPr>
            </w:pPr>
          </w:p>
        </w:tc>
        <w:tc>
          <w:tcPr>
            <w:tcW w:w="3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6"/>
              </w:rPr>
              <w:t>Director</w:t>
            </w:r>
          </w:p>
        </w:tc>
        <w:tc>
          <w:tcPr>
            <w:tcW w:w="208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 W. Oswalt</w:t>
            </w:r>
          </w:p>
        </w:tc>
        <w:tc>
          <w:tcPr>
            <w:tcW w:w="320" w:type="dxa"/>
            <w:vAlign w:val="bottom"/>
          </w:tcPr>
          <w:p>
            <w:pPr>
              <w:spacing w:after="0"/>
              <w:rPr>
                <w:sz w:val="20"/>
                <w:szCs w:val="20"/>
                <w:color w:val="auto"/>
              </w:rPr>
            </w:pPr>
          </w:p>
        </w:tc>
        <w:tc>
          <w:tcPr>
            <w:tcW w:w="3660" w:type="dxa"/>
            <w:vAlign w:val="bottom"/>
            <w:gridSpan w:val="2"/>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DAVID A. BRAGER</w:t>
            </w:r>
          </w:p>
        </w:tc>
        <w:tc>
          <w:tcPr>
            <w:tcW w:w="32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 and</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960" w:type="dxa"/>
            <w:vAlign w:val="bottom"/>
            <w:tcBorders>
              <w:bottom w:val="single" w:sz="8" w:color="auto"/>
            </w:tcBorders>
            <w:gridSpan w:val="2"/>
          </w:tcPr>
          <w:p>
            <w:pPr>
              <w:spacing w:after="0"/>
              <w:rPr>
                <w:sz w:val="2"/>
                <w:szCs w:val="2"/>
                <w:color w:val="auto"/>
              </w:rPr>
            </w:pPr>
          </w:p>
        </w:tc>
        <w:tc>
          <w:tcPr>
            <w:tcW w:w="320" w:type="dxa"/>
            <w:vAlign w:val="bottom"/>
            <w:vMerge w:val="restart"/>
          </w:tcPr>
          <w:p>
            <w:pPr>
              <w:spacing w:after="0"/>
              <w:rPr>
                <w:sz w:val="2"/>
                <w:szCs w:val="2"/>
                <w:color w:val="auto"/>
              </w:rPr>
            </w:pPr>
          </w:p>
        </w:tc>
        <w:tc>
          <w:tcPr>
            <w:tcW w:w="3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8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164"/>
        </w:trPr>
        <w:tc>
          <w:tcPr>
            <w:tcW w:w="496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David A. Brager</w:t>
            </w:r>
          </w:p>
        </w:tc>
        <w:tc>
          <w:tcPr>
            <w:tcW w:w="320" w:type="dxa"/>
            <w:vAlign w:val="bottom"/>
            <w:vMerge w:val="continue"/>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 ALLEN NICHOLSON</w:t>
            </w:r>
          </w:p>
        </w:tc>
        <w:tc>
          <w:tcPr>
            <w:tcW w:w="32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960" w:type="dxa"/>
            <w:vAlign w:val="bottom"/>
            <w:tcBorders>
              <w:bottom w:val="single" w:sz="8" w:color="auto"/>
            </w:tcBorders>
            <w:gridSpan w:val="2"/>
          </w:tcPr>
          <w:p>
            <w:pPr>
              <w:spacing w:after="0"/>
              <w:rPr>
                <w:sz w:val="2"/>
                <w:szCs w:val="2"/>
                <w:color w:val="auto"/>
              </w:rPr>
            </w:pPr>
          </w:p>
        </w:tc>
        <w:tc>
          <w:tcPr>
            <w:tcW w:w="320" w:type="dxa"/>
            <w:vAlign w:val="bottom"/>
            <w:vMerge w:val="restart"/>
          </w:tcPr>
          <w:p>
            <w:pPr>
              <w:spacing w:after="0"/>
              <w:rPr>
                <w:sz w:val="2"/>
                <w:szCs w:val="2"/>
                <w:color w:val="auto"/>
              </w:rPr>
            </w:pPr>
          </w:p>
        </w:tc>
        <w:tc>
          <w:tcPr>
            <w:tcW w:w="3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and</w:t>
            </w:r>
          </w:p>
        </w:tc>
        <w:tc>
          <w:tcPr>
            <w:tcW w:w="208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164"/>
        </w:trPr>
        <w:tc>
          <w:tcPr>
            <w:tcW w:w="496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E. Allen Nicholson</w:t>
            </w:r>
          </w:p>
        </w:tc>
        <w:tc>
          <w:tcPr>
            <w:tcW w:w="320" w:type="dxa"/>
            <w:vAlign w:val="bottom"/>
            <w:vMerge w:val="continue"/>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760" w:type="dxa"/>
            <w:vAlign w:val="bottom"/>
            <w:gridSpan w:val="2"/>
          </w:tcPr>
          <w:p>
            <w:pPr>
              <w:jc w:val="right"/>
              <w:ind w:right="3031"/>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(Dollars in thousands, except share amounts)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6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due from banks</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122,305</w:t>
            </w:r>
          </w:p>
        </w:tc>
        <w:tc>
          <w:tcPr>
            <w:tcW w:w="26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Interest-earning balances due from Federal Reserve</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1,835,855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1,958,160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Interest-earning balances due from depository institutions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securities available-for-sale, at fair value (with amortized cost of $2,344,174 at December 31, 2020,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and $1,718,357 at December 31, 2019)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2,398,923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 securities held-to-maturity (with fair value of $604,223 at December 31, 2020, and $678,948 at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December 31, 2019)</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2,977,549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 in stock of Federal Home Loan Bank (FHLB)</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Loans and lease finance receivables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8,348,808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7,564,577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(93,692)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(68,660)</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800"/>
              <w:spacing w:after="0"/>
              <w:rPr>
                <w:sz w:val="20"/>
                <w:szCs w:val="20"/>
                <w:color w:val="auto"/>
              </w:rPr>
            </w:pPr>
            <w:r>
              <w:rPr>
                <w:rFonts w:ascii="Times New Roman" w:cs="Times New Roman" w:eastAsia="Times New Roman" w:hAnsi="Times New Roman"/>
                <w:sz w:val="16"/>
                <w:szCs w:val="16"/>
                <w:color w:val="auto"/>
              </w:rPr>
              <w:t>Net loans and lease finance receivables</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8,255,116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7,495,917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Bank owned life insurance (BOLI)</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226,818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663,707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real estate owned (OREO)</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14,419,314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11,282,450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Deposits: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Noninterest-bearing</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7,455,387</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5,245,517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Interest-bearing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4,281,114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3,459,411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b w:val="1"/>
                <w:bCs w:val="1"/>
                <w:color w:val="auto"/>
              </w:rPr>
              <w:t>Total deposits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11,736,501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8,704,928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Customer repurchase agreements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439,406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borrowings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compensation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21,611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Junior subordinated debentures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60,113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122,919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7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12,411,324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Common stock, authorized, 225,000,000 shares without par; issued and outstanding 135,600,501 at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December 31, 2020, and 140,102,480 at December 31, 2019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1,211,780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760,861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income, net of tax</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76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2,007,990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14,419,314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11,282,450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99"/>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4"/>
              <w:spacing w:after="0" w:line="169" w:lineRule="exact"/>
              <w:rPr>
                <w:sz w:val="20"/>
                <w:szCs w:val="20"/>
                <w:color w:val="auto"/>
              </w:rPr>
            </w:pPr>
            <w:r>
              <w:rPr>
                <w:rFonts w:ascii="Times New Roman" w:cs="Times New Roman" w:eastAsia="Times New Roman" w:hAnsi="Times New Roman"/>
                <w:sz w:val="15"/>
                <w:szCs w:val="15"/>
                <w:b w:val="1"/>
                <w:bCs w:val="1"/>
                <w:color w:val="auto"/>
              </w:rPr>
              <w:t>2020</w:t>
            </w: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4"/>
              <w:spacing w:after="0" w:line="169" w:lineRule="exact"/>
              <w:rPr>
                <w:sz w:val="20"/>
                <w:szCs w:val="20"/>
                <w:color w:val="auto"/>
              </w:rPr>
            </w:pPr>
            <w:r>
              <w:rPr>
                <w:rFonts w:ascii="Times New Roman" w:cs="Times New Roman" w:eastAsia="Times New Roman" w:hAnsi="Times New Roman"/>
                <w:sz w:val="15"/>
                <w:szCs w:val="15"/>
                <w:b w:val="1"/>
                <w:bCs w:val="1"/>
                <w:color w:val="auto"/>
              </w:rPr>
              <w:t>2019</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4"/>
              <w:spacing w:after="0" w:line="169" w:lineRule="exact"/>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Interest income:</w:t>
            </w: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b w:val="1"/>
                <w:bCs w:val="1"/>
                <w:color w:val="auto"/>
              </w:rPr>
              <w:t>Loans and leases, including fees</w:t>
            </w:r>
          </w:p>
        </w:tc>
        <w:tc>
          <w:tcPr>
            <w:tcW w:w="820" w:type="dxa"/>
            <w:vAlign w:val="bottom"/>
            <w:gridSpan w:val="2"/>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377,402</w:t>
            </w:r>
          </w:p>
        </w:tc>
        <w:tc>
          <w:tcPr>
            <w:tcW w:w="64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397,628</w:t>
            </w:r>
          </w:p>
        </w:tc>
        <w:tc>
          <w:tcPr>
            <w:tcW w:w="32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293,284</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Investment securities: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Investment securities available-for-sale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36,052</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39,330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45,988</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600"/>
              <w:spacing w:after="0" w:line="162" w:lineRule="exact"/>
              <w:rPr>
                <w:sz w:val="20"/>
                <w:szCs w:val="20"/>
                <w:color w:val="auto"/>
              </w:rPr>
            </w:pPr>
            <w:r>
              <w:rPr>
                <w:rFonts w:ascii="Times New Roman" w:cs="Times New Roman" w:eastAsia="Times New Roman" w:hAnsi="Times New Roman"/>
                <w:sz w:val="15"/>
                <w:szCs w:val="15"/>
                <w:color w:val="auto"/>
              </w:rPr>
              <w:t>Investment securities held-to-maturity</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14,223</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17,388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18,901</w:t>
            </w:r>
          </w:p>
        </w:tc>
        <w:tc>
          <w:tcPr>
            <w:tcW w:w="0" w:type="dxa"/>
            <w:vAlign w:val="bottom"/>
          </w:tcPr>
          <w:p>
            <w:pPr>
              <w:spacing w:after="0"/>
              <w:rPr>
                <w:sz w:val="1"/>
                <w:szCs w:val="1"/>
                <w:color w:val="auto"/>
              </w:rPr>
            </w:pPr>
          </w:p>
        </w:tc>
      </w:tr>
      <w:tr>
        <w:trPr>
          <w:trHeight w:val="176"/>
        </w:trPr>
        <w:tc>
          <w:tcPr>
            <w:tcW w:w="6340" w:type="dxa"/>
            <w:vAlign w:val="bottom"/>
          </w:tcPr>
          <w:p>
            <w:pPr>
              <w:ind w:left="920"/>
              <w:spacing w:after="0" w:line="169" w:lineRule="exact"/>
              <w:rPr>
                <w:sz w:val="20"/>
                <w:szCs w:val="20"/>
                <w:color w:val="auto"/>
              </w:rPr>
            </w:pPr>
            <w:r>
              <w:rPr>
                <w:rFonts w:ascii="Times New Roman" w:cs="Times New Roman" w:eastAsia="Times New Roman" w:hAnsi="Times New Roman"/>
                <w:sz w:val="15"/>
                <w:szCs w:val="15"/>
                <w:b w:val="1"/>
                <w:bCs w:val="1"/>
                <w:color w:val="auto"/>
              </w:rPr>
              <w:t>Total investment income</w:t>
            </w:r>
          </w:p>
        </w:tc>
        <w:tc>
          <w:tcPr>
            <w:tcW w:w="6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50,275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56,718</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64,889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Dividends from FHLB stock</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978</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1,235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2,045</w:t>
            </w:r>
          </w:p>
        </w:tc>
        <w:tc>
          <w:tcPr>
            <w:tcW w:w="0" w:type="dxa"/>
            <w:vAlign w:val="bottom"/>
          </w:tcPr>
          <w:p>
            <w:pPr>
              <w:spacing w:after="0"/>
              <w:rPr>
                <w:sz w:val="1"/>
                <w:szCs w:val="1"/>
                <w:color w:val="auto"/>
              </w:rPr>
            </w:pPr>
          </w:p>
        </w:tc>
      </w:tr>
      <w:tr>
        <w:trPr>
          <w:trHeight w:val="162"/>
        </w:trPr>
        <w:tc>
          <w:tcPr>
            <w:tcW w:w="63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Interest-earning deposits with other institutions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1,682</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2,269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1,642</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340" w:type="dxa"/>
            <w:vAlign w:val="bottom"/>
            <w:shd w:val="clear" w:color="auto" w:fill="CCEEFF"/>
          </w:tcPr>
          <w:p>
            <w:pPr>
              <w:ind w:left="920"/>
              <w:spacing w:after="0" w:line="162" w:lineRule="exact"/>
              <w:rPr>
                <w:sz w:val="20"/>
                <w:szCs w:val="20"/>
                <w:color w:val="auto"/>
              </w:rPr>
            </w:pPr>
            <w:r>
              <w:rPr>
                <w:rFonts w:ascii="Times New Roman" w:cs="Times New Roman" w:eastAsia="Times New Roman" w:hAnsi="Times New Roman"/>
                <w:sz w:val="15"/>
                <w:szCs w:val="15"/>
                <w:b w:val="1"/>
                <w:bCs w:val="1"/>
                <w:color w:val="auto"/>
              </w:rPr>
              <w:t>Total interest income</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430,337</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457,850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361,860</w:t>
            </w:r>
          </w:p>
        </w:tc>
        <w:tc>
          <w:tcPr>
            <w:tcW w:w="0" w:type="dxa"/>
            <w:vAlign w:val="bottom"/>
          </w:tcPr>
          <w:p>
            <w:pPr>
              <w:spacing w:after="0"/>
              <w:rPr>
                <w:sz w:val="1"/>
                <w:szCs w:val="1"/>
                <w:color w:val="auto"/>
              </w:rPr>
            </w:pPr>
          </w:p>
        </w:tc>
      </w:tr>
      <w:tr>
        <w:trPr>
          <w:trHeight w:val="169"/>
        </w:trPr>
        <w:tc>
          <w:tcPr>
            <w:tcW w:w="63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Interest expense:</w:t>
            </w:r>
          </w:p>
        </w:tc>
        <w:tc>
          <w:tcPr>
            <w:tcW w:w="6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Deposits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12,602</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17,120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9,825</w:t>
            </w:r>
          </w:p>
        </w:tc>
        <w:tc>
          <w:tcPr>
            <w:tcW w:w="0" w:type="dxa"/>
            <w:vAlign w:val="bottom"/>
          </w:tcPr>
          <w:p>
            <w:pPr>
              <w:spacing w:after="0"/>
              <w:rPr>
                <w:sz w:val="1"/>
                <w:szCs w:val="1"/>
                <w:color w:val="auto"/>
              </w:rPr>
            </w:pPr>
          </w:p>
        </w:tc>
      </w:tr>
      <w:tr>
        <w:trPr>
          <w:trHeight w:val="162"/>
        </w:trPr>
        <w:tc>
          <w:tcPr>
            <w:tcW w:w="63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Borrowings and customer repurchase agreements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1,131</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3,959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2,067</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Junior subordinated debentures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551</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999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923</w:t>
            </w:r>
          </w:p>
        </w:tc>
        <w:tc>
          <w:tcPr>
            <w:tcW w:w="0" w:type="dxa"/>
            <w:vAlign w:val="bottom"/>
          </w:tcPr>
          <w:p>
            <w:pPr>
              <w:spacing w:after="0"/>
              <w:rPr>
                <w:sz w:val="1"/>
                <w:szCs w:val="1"/>
                <w:color w:val="auto"/>
              </w:rPr>
            </w:pPr>
          </w:p>
        </w:tc>
      </w:tr>
      <w:tr>
        <w:trPr>
          <w:trHeight w:val="176"/>
        </w:trPr>
        <w:tc>
          <w:tcPr>
            <w:tcW w:w="6340" w:type="dxa"/>
            <w:vAlign w:val="bottom"/>
          </w:tcPr>
          <w:p>
            <w:pPr>
              <w:ind w:left="920"/>
              <w:spacing w:after="0" w:line="169" w:lineRule="exact"/>
              <w:rPr>
                <w:sz w:val="20"/>
                <w:szCs w:val="20"/>
                <w:color w:val="auto"/>
              </w:rPr>
            </w:pPr>
            <w:r>
              <w:rPr>
                <w:rFonts w:ascii="Times New Roman" w:cs="Times New Roman" w:eastAsia="Times New Roman" w:hAnsi="Times New Roman"/>
                <w:sz w:val="15"/>
                <w:szCs w:val="15"/>
                <w:b w:val="1"/>
                <w:bCs w:val="1"/>
                <w:color w:val="auto"/>
              </w:rPr>
              <w:t>Total interest expense</w:t>
            </w:r>
          </w:p>
        </w:tc>
        <w:tc>
          <w:tcPr>
            <w:tcW w:w="6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14,284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22,078</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12,815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Net interest income before provision for credit losses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416,053</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435,772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349,045</w:t>
            </w:r>
          </w:p>
        </w:tc>
        <w:tc>
          <w:tcPr>
            <w:tcW w:w="0" w:type="dxa"/>
            <w:vAlign w:val="bottom"/>
          </w:tcPr>
          <w:p>
            <w:pPr>
              <w:spacing w:after="0"/>
              <w:rPr>
                <w:sz w:val="1"/>
                <w:szCs w:val="1"/>
                <w:color w:val="auto"/>
              </w:rPr>
            </w:pPr>
          </w:p>
        </w:tc>
      </w:tr>
      <w:tr>
        <w:trPr>
          <w:trHeight w:val="162"/>
        </w:trPr>
        <w:tc>
          <w:tcPr>
            <w:tcW w:w="6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Provision for credit losses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23,500</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1,500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b w:val="1"/>
                <w:bCs w:val="1"/>
                <w:color w:val="auto"/>
              </w:rPr>
              <w:t>Net interest income after provision for credit losses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392,553</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430,772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347,545</w:t>
            </w:r>
          </w:p>
        </w:tc>
        <w:tc>
          <w:tcPr>
            <w:tcW w:w="0" w:type="dxa"/>
            <w:vAlign w:val="bottom"/>
          </w:tcPr>
          <w:p>
            <w:pPr>
              <w:spacing w:after="0"/>
              <w:rPr>
                <w:sz w:val="1"/>
                <w:szCs w:val="1"/>
                <w:color w:val="auto"/>
              </w:rPr>
            </w:pPr>
          </w:p>
        </w:tc>
      </w:tr>
      <w:tr>
        <w:trPr>
          <w:trHeight w:val="169"/>
        </w:trPr>
        <w:tc>
          <w:tcPr>
            <w:tcW w:w="63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Noninterest income:</w:t>
            </w:r>
          </w:p>
        </w:tc>
        <w:tc>
          <w:tcPr>
            <w:tcW w:w="6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Service charges on deposit accounts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16,561</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20,010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17,070</w:t>
            </w:r>
          </w:p>
        </w:tc>
        <w:tc>
          <w:tcPr>
            <w:tcW w:w="0" w:type="dxa"/>
            <w:vAlign w:val="bottom"/>
          </w:tcPr>
          <w:p>
            <w:pPr>
              <w:spacing w:after="0"/>
              <w:rPr>
                <w:sz w:val="1"/>
                <w:szCs w:val="1"/>
                <w:color w:val="auto"/>
              </w:rPr>
            </w:pPr>
          </w:p>
        </w:tc>
      </w:tr>
      <w:tr>
        <w:trPr>
          <w:trHeight w:val="162"/>
        </w:trPr>
        <w:tc>
          <w:tcPr>
            <w:tcW w:w="63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Trust and investment services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9,978</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9,525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8,774</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Bankcard services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1,886</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3,163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3,485</w:t>
            </w:r>
          </w:p>
        </w:tc>
        <w:tc>
          <w:tcPr>
            <w:tcW w:w="0" w:type="dxa"/>
            <w:vAlign w:val="bottom"/>
          </w:tcPr>
          <w:p>
            <w:pPr>
              <w:spacing w:after="0"/>
              <w:rPr>
                <w:sz w:val="1"/>
                <w:szCs w:val="1"/>
                <w:color w:val="auto"/>
              </w:rPr>
            </w:pPr>
          </w:p>
        </w:tc>
      </w:tr>
      <w:tr>
        <w:trPr>
          <w:trHeight w:val="162"/>
        </w:trPr>
        <w:tc>
          <w:tcPr>
            <w:tcW w:w="63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BOLI income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8,100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5,798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4,018</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Gain on OREO, net</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388</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129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3,546</w:t>
            </w:r>
          </w:p>
        </w:tc>
        <w:tc>
          <w:tcPr>
            <w:tcW w:w="0" w:type="dxa"/>
            <w:vAlign w:val="bottom"/>
          </w:tcPr>
          <w:p>
            <w:pPr>
              <w:spacing w:after="0"/>
              <w:rPr>
                <w:sz w:val="1"/>
                <w:szCs w:val="1"/>
                <w:color w:val="auto"/>
              </w:rPr>
            </w:pPr>
          </w:p>
        </w:tc>
      </w:tr>
      <w:tr>
        <w:trPr>
          <w:trHeight w:val="162"/>
        </w:trPr>
        <w:tc>
          <w:tcPr>
            <w:tcW w:w="63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Gain on sale of building, net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1,680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4,776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Gain on eminent domain condemnation, net</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5,685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3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11,277</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9,956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6,588</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34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b w:val="1"/>
                <w:bCs w:val="1"/>
                <w:color w:val="auto"/>
              </w:rPr>
              <w:t>Total noninterest income</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49,870</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59,042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43,481</w:t>
            </w:r>
          </w:p>
        </w:tc>
        <w:tc>
          <w:tcPr>
            <w:tcW w:w="0" w:type="dxa"/>
            <w:vAlign w:val="bottom"/>
          </w:tcPr>
          <w:p>
            <w:pPr>
              <w:spacing w:after="0"/>
              <w:rPr>
                <w:sz w:val="1"/>
                <w:szCs w:val="1"/>
                <w:color w:val="auto"/>
              </w:rPr>
            </w:pPr>
          </w:p>
        </w:tc>
      </w:tr>
      <w:tr>
        <w:trPr>
          <w:trHeight w:val="169"/>
        </w:trPr>
        <w:tc>
          <w:tcPr>
            <w:tcW w:w="63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Noninterest expense:</w:t>
            </w:r>
          </w:p>
        </w:tc>
        <w:tc>
          <w:tcPr>
            <w:tcW w:w="6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Salaries and employee benefits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119,759</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119,475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100,601</w:t>
            </w:r>
          </w:p>
        </w:tc>
        <w:tc>
          <w:tcPr>
            <w:tcW w:w="0" w:type="dxa"/>
            <w:vAlign w:val="bottom"/>
          </w:tcPr>
          <w:p>
            <w:pPr>
              <w:spacing w:after="0"/>
              <w:rPr>
                <w:sz w:val="1"/>
                <w:szCs w:val="1"/>
                <w:color w:val="auto"/>
              </w:rPr>
            </w:pPr>
          </w:p>
        </w:tc>
      </w:tr>
      <w:tr>
        <w:trPr>
          <w:trHeight w:val="162"/>
        </w:trPr>
        <w:tc>
          <w:tcPr>
            <w:tcW w:w="63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Occupancy and equipment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20,622</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20,457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20,153</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Professional services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9,460</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7,752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6,477</w:t>
            </w:r>
          </w:p>
        </w:tc>
        <w:tc>
          <w:tcPr>
            <w:tcW w:w="0" w:type="dxa"/>
            <w:vAlign w:val="bottom"/>
          </w:tcPr>
          <w:p>
            <w:pPr>
              <w:spacing w:after="0"/>
              <w:rPr>
                <w:sz w:val="1"/>
                <w:szCs w:val="1"/>
                <w:color w:val="auto"/>
              </w:rPr>
            </w:pPr>
          </w:p>
        </w:tc>
      </w:tr>
      <w:tr>
        <w:trPr>
          <w:trHeight w:val="162"/>
        </w:trPr>
        <w:tc>
          <w:tcPr>
            <w:tcW w:w="63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Computer software expense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11,302</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10,658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9,343</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Marketing and promotion</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4,488</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5,890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5,302</w:t>
            </w:r>
          </w:p>
        </w:tc>
        <w:tc>
          <w:tcPr>
            <w:tcW w:w="0" w:type="dxa"/>
            <w:vAlign w:val="bottom"/>
          </w:tcPr>
          <w:p>
            <w:pPr>
              <w:spacing w:after="0"/>
              <w:rPr>
                <w:sz w:val="1"/>
                <w:szCs w:val="1"/>
                <w:color w:val="auto"/>
              </w:rPr>
            </w:pPr>
          </w:p>
        </w:tc>
      </w:tr>
      <w:tr>
        <w:trPr>
          <w:trHeight w:val="162"/>
        </w:trPr>
        <w:tc>
          <w:tcPr>
            <w:tcW w:w="63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Recapture of provision for unfunded loan commitments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intangible assets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9,352</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10,798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5,254</w:t>
            </w:r>
          </w:p>
        </w:tc>
        <w:tc>
          <w:tcPr>
            <w:tcW w:w="0" w:type="dxa"/>
            <w:vAlign w:val="bottom"/>
          </w:tcPr>
          <w:p>
            <w:pPr>
              <w:spacing w:after="0"/>
              <w:rPr>
                <w:sz w:val="1"/>
                <w:szCs w:val="1"/>
                <w:color w:val="auto"/>
              </w:rPr>
            </w:pPr>
          </w:p>
        </w:tc>
      </w:tr>
      <w:tr>
        <w:trPr>
          <w:trHeight w:val="162"/>
        </w:trPr>
        <w:tc>
          <w:tcPr>
            <w:tcW w:w="63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Acquisition related expenses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6,447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16,404</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17,920</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17,263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16,627</w:t>
            </w:r>
          </w:p>
        </w:tc>
        <w:tc>
          <w:tcPr>
            <w:tcW w:w="0" w:type="dxa"/>
            <w:vAlign w:val="bottom"/>
          </w:tcPr>
          <w:p>
            <w:pPr>
              <w:spacing w:after="0"/>
              <w:rPr>
                <w:sz w:val="1"/>
                <w:szCs w:val="1"/>
                <w:color w:val="auto"/>
              </w:rPr>
            </w:pPr>
          </w:p>
        </w:tc>
      </w:tr>
      <w:tr>
        <w:trPr>
          <w:trHeight w:val="176"/>
        </w:trPr>
        <w:tc>
          <w:tcPr>
            <w:tcW w:w="6340" w:type="dxa"/>
            <w:vAlign w:val="bottom"/>
          </w:tcPr>
          <w:p>
            <w:pPr>
              <w:ind w:left="460"/>
              <w:spacing w:after="0" w:line="169" w:lineRule="exact"/>
              <w:rPr>
                <w:sz w:val="20"/>
                <w:szCs w:val="20"/>
                <w:color w:val="auto"/>
              </w:rPr>
            </w:pPr>
            <w:r>
              <w:rPr>
                <w:rFonts w:ascii="Times New Roman" w:cs="Times New Roman" w:eastAsia="Times New Roman" w:hAnsi="Times New Roman"/>
                <w:sz w:val="15"/>
                <w:szCs w:val="15"/>
                <w:b w:val="1"/>
                <w:bCs w:val="1"/>
                <w:color w:val="auto"/>
              </w:rPr>
              <w:t>Total noninterest expense</w:t>
            </w:r>
          </w:p>
        </w:tc>
        <w:tc>
          <w:tcPr>
            <w:tcW w:w="6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192,903</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198,740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179,911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Earnings before income taxes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249,520</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291,074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211,115</w:t>
            </w:r>
          </w:p>
        </w:tc>
        <w:tc>
          <w:tcPr>
            <w:tcW w:w="0" w:type="dxa"/>
            <w:vAlign w:val="bottom"/>
          </w:tcPr>
          <w:p>
            <w:pPr>
              <w:spacing w:after="0"/>
              <w:rPr>
                <w:sz w:val="1"/>
                <w:szCs w:val="1"/>
                <w:color w:val="auto"/>
              </w:rPr>
            </w:pPr>
          </w:p>
        </w:tc>
      </w:tr>
      <w:tr>
        <w:trPr>
          <w:trHeight w:val="162"/>
        </w:trPr>
        <w:tc>
          <w:tcPr>
            <w:tcW w:w="6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Income taxes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72,361</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83,247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59,112</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3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b w:val="1"/>
                <w:bCs w:val="1"/>
                <w:color w:val="auto"/>
              </w:rPr>
              <w:t>Net earnings</w:t>
            </w:r>
          </w:p>
        </w:tc>
        <w:tc>
          <w:tcPr>
            <w:tcW w:w="820" w:type="dxa"/>
            <w:vAlign w:val="bottom"/>
            <w:gridSpan w:val="2"/>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177,159</w:t>
            </w:r>
          </w:p>
        </w:tc>
        <w:tc>
          <w:tcPr>
            <w:tcW w:w="64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207,827</w:t>
            </w:r>
          </w:p>
        </w:tc>
        <w:tc>
          <w:tcPr>
            <w:tcW w:w="32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152,003</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Unrealized gain (loss) on securities arising during the period, before tax</w:t>
            </w:r>
          </w:p>
        </w:tc>
        <w:tc>
          <w:tcPr>
            <w:tcW w:w="820" w:type="dxa"/>
            <w:vAlign w:val="bottom"/>
            <w:gridSpan w:val="2"/>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32,277</w:t>
            </w:r>
          </w:p>
        </w:tc>
        <w:tc>
          <w:tcPr>
            <w:tcW w:w="64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43,872</w:t>
            </w:r>
          </w:p>
        </w:tc>
        <w:tc>
          <w:tcPr>
            <w:tcW w:w="32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(28,526)</w:t>
            </w:r>
          </w:p>
        </w:tc>
        <w:tc>
          <w:tcPr>
            <w:tcW w:w="0" w:type="dxa"/>
            <w:vAlign w:val="bottom"/>
          </w:tcPr>
          <w:p>
            <w:pPr>
              <w:spacing w:after="0"/>
              <w:rPr>
                <w:sz w:val="1"/>
                <w:szCs w:val="1"/>
                <w:color w:val="auto"/>
              </w:rPr>
            </w:pPr>
          </w:p>
        </w:tc>
      </w:tr>
      <w:tr>
        <w:trPr>
          <w:trHeight w:val="162"/>
        </w:trPr>
        <w:tc>
          <w:tcPr>
            <w:tcW w:w="6340" w:type="dxa"/>
            <w:vAlign w:val="bottom"/>
          </w:tcPr>
          <w:p>
            <w:pPr>
              <w:ind w:left="580"/>
              <w:spacing w:after="0" w:line="162" w:lineRule="exact"/>
              <w:rPr>
                <w:sz w:val="20"/>
                <w:szCs w:val="20"/>
                <w:color w:val="auto"/>
              </w:rPr>
            </w:pPr>
            <w:r>
              <w:rPr>
                <w:rFonts w:ascii="Times New Roman" w:cs="Times New Roman" w:eastAsia="Times New Roman" w:hAnsi="Times New Roman"/>
                <w:sz w:val="15"/>
                <w:szCs w:val="15"/>
                <w:color w:val="auto"/>
              </w:rPr>
              <w:t>Less: Reclassification adjustment for net gain on securities included in net income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comprehensive income (loss), before tax</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32,277</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43,867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(28,526)</w:t>
            </w:r>
          </w:p>
        </w:tc>
        <w:tc>
          <w:tcPr>
            <w:tcW w:w="0" w:type="dxa"/>
            <w:vAlign w:val="bottom"/>
          </w:tcPr>
          <w:p>
            <w:pPr>
              <w:spacing w:after="0"/>
              <w:rPr>
                <w:sz w:val="1"/>
                <w:szCs w:val="1"/>
                <w:color w:val="auto"/>
              </w:rPr>
            </w:pPr>
          </w:p>
        </w:tc>
      </w:tr>
      <w:tr>
        <w:trPr>
          <w:trHeight w:val="162"/>
        </w:trPr>
        <w:tc>
          <w:tcPr>
            <w:tcW w:w="634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Less: Income tax (expense) benefit related to items of other comprehensive income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(9,542)</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(12,969)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8,434</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comprehensive income (loss), net of tax</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22,735</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30,898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(20,092)</w:t>
            </w:r>
          </w:p>
        </w:tc>
        <w:tc>
          <w:tcPr>
            <w:tcW w:w="0" w:type="dxa"/>
            <w:vAlign w:val="bottom"/>
          </w:tcPr>
          <w:p>
            <w:pPr>
              <w:spacing w:after="0"/>
              <w:rPr>
                <w:sz w:val="1"/>
                <w:szCs w:val="1"/>
                <w:color w:val="auto"/>
              </w:rPr>
            </w:pPr>
          </w:p>
        </w:tc>
      </w:tr>
      <w:tr>
        <w:trPr>
          <w:trHeight w:val="169"/>
        </w:trPr>
        <w:tc>
          <w:tcPr>
            <w:tcW w:w="6340" w:type="dxa"/>
            <w:vAlign w:val="bottom"/>
          </w:tcPr>
          <w:p>
            <w:pPr>
              <w:ind w:left="300"/>
              <w:spacing w:after="0" w:line="169" w:lineRule="exact"/>
              <w:rPr>
                <w:sz w:val="20"/>
                <w:szCs w:val="20"/>
                <w:color w:val="auto"/>
              </w:rPr>
            </w:pPr>
            <w:r>
              <w:rPr>
                <w:rFonts w:ascii="Times New Roman" w:cs="Times New Roman" w:eastAsia="Times New Roman" w:hAnsi="Times New Roman"/>
                <w:sz w:val="15"/>
                <w:szCs w:val="15"/>
                <w:color w:val="auto"/>
              </w:rPr>
              <w:t>Comprehensive income</w:t>
            </w:r>
          </w:p>
        </w:tc>
        <w:tc>
          <w:tcPr>
            <w:tcW w:w="6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199,894</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238,725</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131,911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Basic earnings per common share</w:t>
            </w:r>
          </w:p>
        </w:tc>
        <w:tc>
          <w:tcPr>
            <w:tcW w:w="820" w:type="dxa"/>
            <w:vAlign w:val="bottom"/>
            <w:gridSpan w:val="2"/>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1.30</w:t>
            </w:r>
          </w:p>
        </w:tc>
        <w:tc>
          <w:tcPr>
            <w:tcW w:w="640" w:type="dxa"/>
            <w:vAlign w:val="bottom"/>
            <w:gridSpan w:val="2"/>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480"/>
              <w:spacing w:after="0" w:line="156" w:lineRule="exact"/>
              <w:rPr>
                <w:sz w:val="20"/>
                <w:szCs w:val="20"/>
                <w:color w:val="auto"/>
              </w:rPr>
            </w:pPr>
            <w:r>
              <w:rPr>
                <w:rFonts w:ascii="Times New Roman" w:cs="Times New Roman" w:eastAsia="Times New Roman" w:hAnsi="Times New Roman"/>
                <w:sz w:val="15"/>
                <w:szCs w:val="15"/>
                <w:color w:val="auto"/>
              </w:rPr>
              <w:t>1.48</w:t>
            </w:r>
          </w:p>
        </w:tc>
        <w:tc>
          <w:tcPr>
            <w:tcW w:w="320" w:type="dxa"/>
            <w:vAlign w:val="bottom"/>
            <w:gridSpan w:val="2"/>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rPr>
                <w:sz w:val="1"/>
                <w:szCs w:val="1"/>
                <w:color w:val="auto"/>
              </w:rPr>
            </w:pPr>
          </w:p>
        </w:tc>
      </w:tr>
      <w:tr>
        <w:trPr>
          <w:trHeight w:val="198"/>
        </w:trPr>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Diluted earnings per common share</w:t>
            </w:r>
          </w:p>
        </w:tc>
        <w:tc>
          <w:tcPr>
            <w:tcW w:w="82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1.30</w:t>
            </w:r>
          </w:p>
        </w:tc>
        <w:tc>
          <w:tcPr>
            <w:tcW w:w="6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1.48</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1.24</w:t>
            </w:r>
          </w:p>
        </w:tc>
        <w:tc>
          <w:tcPr>
            <w:tcW w:w="0" w:type="dxa"/>
            <w:vAlign w:val="bottom"/>
          </w:tcPr>
          <w:p>
            <w:pPr>
              <w:spacing w:after="0"/>
              <w:rPr>
                <w:sz w:val="1"/>
                <w:szCs w:val="1"/>
                <w:color w:val="auto"/>
              </w:rPr>
            </w:pPr>
          </w:p>
        </w:tc>
      </w:tr>
    </w:tbl>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See accompanying notes to the consolidated financial statements.</w:t>
      </w: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(Dollars and shares in thousands)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0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96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1"/>
                <w:szCs w:val="11"/>
                <w:color w:val="auto"/>
              </w:rPr>
            </w:pPr>
          </w:p>
        </w:tc>
        <w:tc>
          <w:tcPr>
            <w:tcW w:w="1200" w:type="dxa"/>
            <w:vAlign w:val="bottom"/>
            <w:gridSpan w:val="3"/>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108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60" w:type="dxa"/>
            <w:vAlign w:val="bottom"/>
            <w:gridSpan w:val="4"/>
            <w:vMerge w:val="continue"/>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128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January 1, 2018</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110,185</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573,453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494,361</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1,452</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$1,069,266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Cumulative adjustment upon adoption of ASU 2018-02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9"/>
        </w:trPr>
        <w:tc>
          <w:tcPr>
            <w:tcW w:w="60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(7,760)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(7,760)</w:t>
            </w:r>
          </w:p>
        </w:tc>
        <w:tc>
          <w:tcPr>
            <w:tcW w:w="0" w:type="dxa"/>
            <w:vAlign w:val="bottom"/>
          </w:tcPr>
          <w:p>
            <w:pPr>
              <w:spacing w:after="0"/>
              <w:rPr>
                <w:sz w:val="1"/>
                <w:szCs w:val="1"/>
                <w:color w:val="auto"/>
              </w:rPr>
            </w:pPr>
          </w:p>
        </w:tc>
      </w:tr>
      <w:tr>
        <w:trPr>
          <w:trHeight w:val="148"/>
        </w:trPr>
        <w:tc>
          <w:tcPr>
            <w:tcW w:w="60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common stock for acquisition of Community Bank</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29,842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722,767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722,767</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1,701</w:t>
            </w:r>
          </w:p>
        </w:tc>
        <w:tc>
          <w:tcPr>
            <w:tcW w:w="0" w:type="dxa"/>
            <w:vAlign w:val="bottom"/>
          </w:tcPr>
          <w:p>
            <w:pPr>
              <w:spacing w:after="0"/>
              <w:rPr>
                <w:sz w:val="1"/>
                <w:szCs w:val="1"/>
                <w:color w:val="auto"/>
              </w:rPr>
            </w:pPr>
          </w:p>
        </w:tc>
      </w:tr>
      <w:tr>
        <w:trPr>
          <w:trHeight w:val="148"/>
        </w:trPr>
        <w:tc>
          <w:tcPr>
            <w:tcW w:w="60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Shares issued pursuant to stock-based compensation plan</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3,508</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dividends declared on common stock ($0.56 per share)</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(70,203)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(70,203)</w:t>
            </w:r>
          </w:p>
        </w:tc>
        <w:tc>
          <w:tcPr>
            <w:tcW w:w="0" w:type="dxa"/>
            <w:vAlign w:val="bottom"/>
          </w:tcPr>
          <w:p>
            <w:pPr>
              <w:spacing w:after="0"/>
              <w:rPr>
                <w:sz w:val="1"/>
                <w:szCs w:val="1"/>
                <w:color w:val="auto"/>
              </w:rPr>
            </w:pPr>
          </w:p>
        </w:tc>
      </w:tr>
      <w:tr>
        <w:trPr>
          <w:trHeight w:val="149"/>
        </w:trPr>
        <w:tc>
          <w:tcPr>
            <w:tcW w:w="60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152,003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152,003</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(20,092)</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(20,092)</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2018</w:t>
            </w: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140,000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1,293,669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575,805</w:t>
            </w:r>
          </w:p>
        </w:tc>
        <w:tc>
          <w:tcPr>
            <w:tcW w:w="2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(18,284)</w:t>
            </w: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1,851,190</w:t>
            </w:r>
          </w:p>
        </w:tc>
        <w:tc>
          <w:tcPr>
            <w:tcW w:w="0" w:type="dxa"/>
            <w:vAlign w:val="bottom"/>
          </w:tcPr>
          <w:p>
            <w:pPr>
              <w:spacing w:after="0"/>
              <w:rPr>
                <w:sz w:val="1"/>
                <w:szCs w:val="1"/>
                <w:color w:val="auto"/>
              </w:rPr>
            </w:pPr>
          </w:p>
        </w:tc>
      </w:tr>
      <w:tr>
        <w:trPr>
          <w:trHeight w:val="129"/>
        </w:trPr>
        <w:tc>
          <w:tcPr>
            <w:tcW w:w="6020" w:type="dxa"/>
            <w:vAlign w:val="bottom"/>
            <w:tcBorders>
              <w:top w:val="single" w:sz="8" w:color="CCEEFF"/>
            </w:tcBorders>
            <w:shd w:val="clear" w:color="auto" w:fill="CCEEFF"/>
          </w:tcPr>
          <w:p>
            <w:pPr>
              <w:ind w:left="280"/>
              <w:spacing w:after="0" w:line="12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(2,640)</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(2,640)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2,215</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Shares issued pursuant to stock-based compensation plan</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5,548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5,548</w:t>
            </w:r>
          </w:p>
        </w:tc>
        <w:tc>
          <w:tcPr>
            <w:tcW w:w="0" w:type="dxa"/>
            <w:vAlign w:val="bottom"/>
          </w:tcPr>
          <w:p>
            <w:pPr>
              <w:spacing w:after="0"/>
              <w:rPr>
                <w:sz w:val="1"/>
                <w:szCs w:val="1"/>
                <w:color w:val="auto"/>
              </w:rPr>
            </w:pPr>
          </w:p>
        </w:tc>
      </w:tr>
      <w:tr>
        <w:trPr>
          <w:trHeight w:val="148"/>
        </w:trPr>
        <w:tc>
          <w:tcPr>
            <w:tcW w:w="60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dividends declared on common stock ($0.72 per share)</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(100,940)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(100,940)</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207,827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207,827</w:t>
            </w:r>
          </w:p>
        </w:tc>
        <w:tc>
          <w:tcPr>
            <w:tcW w:w="0" w:type="dxa"/>
            <w:vAlign w:val="bottom"/>
          </w:tcPr>
          <w:p>
            <w:pPr>
              <w:spacing w:after="0"/>
              <w:rPr>
                <w:sz w:val="1"/>
                <w:szCs w:val="1"/>
                <w:color w:val="auto"/>
              </w:rPr>
            </w:pPr>
          </w:p>
        </w:tc>
      </w:tr>
      <w:tr>
        <w:trPr>
          <w:trHeight w:val="148"/>
        </w:trPr>
        <w:tc>
          <w:tcPr>
            <w:tcW w:w="60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30,898</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30,898</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140,102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1,298,792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682,692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12,614</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1,994,098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Cumulative adjustment upon adoption of ASU 2016-13</w:t>
            </w: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20" w:type="dxa"/>
            <w:vAlign w:val="bottom"/>
            <w:vMerge w:val="continue"/>
          </w:tcPr>
          <w:p>
            <w:pPr>
              <w:spacing w:after="0"/>
              <w:rPr>
                <w:sz w:val="11"/>
                <w:szCs w:val="11"/>
                <w:color w:val="auto"/>
              </w:rPr>
            </w:pPr>
          </w:p>
        </w:tc>
        <w:tc>
          <w:tcPr>
            <w:tcW w:w="8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(1,325)</w:t>
            </w:r>
          </w:p>
        </w:tc>
        <w:tc>
          <w:tcPr>
            <w:tcW w:w="1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(1,325)</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(5,008)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(92,772)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(92,772)</w:t>
            </w:r>
          </w:p>
        </w:tc>
        <w:tc>
          <w:tcPr>
            <w:tcW w:w="0" w:type="dxa"/>
            <w:vAlign w:val="bottom"/>
          </w:tcPr>
          <w:p>
            <w:pPr>
              <w:spacing w:after="0"/>
              <w:rPr>
                <w:sz w:val="1"/>
                <w:szCs w:val="1"/>
                <w:color w:val="auto"/>
              </w:rPr>
            </w:pPr>
          </w:p>
        </w:tc>
      </w:tr>
      <w:tr>
        <w:trPr>
          <w:trHeight w:val="149"/>
        </w:trPr>
        <w:tc>
          <w:tcPr>
            <w:tcW w:w="60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Shares issued pursuant to stock-based compensation plan</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5,529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5,529</w:t>
            </w:r>
          </w:p>
        </w:tc>
        <w:tc>
          <w:tcPr>
            <w:tcW w:w="0" w:type="dxa"/>
            <w:vAlign w:val="bottom"/>
          </w:tcPr>
          <w:p>
            <w:pPr>
              <w:spacing w:after="0"/>
              <w:rPr>
                <w:sz w:val="1"/>
                <w:szCs w:val="1"/>
                <w:color w:val="auto"/>
              </w:rPr>
            </w:pPr>
          </w:p>
        </w:tc>
      </w:tr>
      <w:tr>
        <w:trPr>
          <w:trHeight w:val="148"/>
        </w:trPr>
        <w:tc>
          <w:tcPr>
            <w:tcW w:w="60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dividends declared on common stock ($0.72 per share)</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(97,665)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(97,665)</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177,159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177,159</w:t>
            </w:r>
          </w:p>
        </w:tc>
        <w:tc>
          <w:tcPr>
            <w:tcW w:w="0" w:type="dxa"/>
            <w:vAlign w:val="bottom"/>
          </w:tcPr>
          <w:p>
            <w:pPr>
              <w:spacing w:after="0"/>
              <w:rPr>
                <w:sz w:val="1"/>
                <w:szCs w:val="1"/>
                <w:color w:val="auto"/>
              </w:rPr>
            </w:pPr>
          </w:p>
        </w:tc>
      </w:tr>
      <w:tr>
        <w:trPr>
          <w:trHeight w:val="148"/>
        </w:trPr>
        <w:tc>
          <w:tcPr>
            <w:tcW w:w="60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22,735</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22,735</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135,601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1,211,780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760,861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35,349</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2,007,990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6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9"/>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68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Interest and dividends received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400,867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438,795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363,217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Service charges and other fees received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39,525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35,915</w:t>
            </w:r>
          </w:p>
        </w:tc>
        <w:tc>
          <w:tcPr>
            <w:tcW w:w="0" w:type="dxa"/>
            <w:vAlign w:val="bottom"/>
          </w:tcPr>
          <w:p>
            <w:pPr>
              <w:spacing w:after="0"/>
              <w:rPr>
                <w:sz w:val="1"/>
                <w:szCs w:val="1"/>
                <w:color w:val="auto"/>
              </w:rPr>
            </w:pPr>
          </w:p>
        </w:tc>
      </w:tr>
      <w:tr>
        <w:trPr>
          <w:trHeight w:val="216"/>
        </w:trPr>
        <w:tc>
          <w:tcPr>
            <w:tcW w:w="68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Interest paid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(13,627)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(21,193)</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(13,241)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paid to vendors, employees and others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(168,036)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(182,568)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(171,998)</w:t>
            </w:r>
          </w:p>
        </w:tc>
        <w:tc>
          <w:tcPr>
            <w:tcW w:w="0" w:type="dxa"/>
            <w:vAlign w:val="bottom"/>
          </w:tcPr>
          <w:p>
            <w:pPr>
              <w:spacing w:after="0"/>
              <w:rPr>
                <w:sz w:val="1"/>
                <w:szCs w:val="1"/>
                <w:color w:val="auto"/>
              </w:rPr>
            </w:pPr>
          </w:p>
        </w:tc>
      </w:tr>
      <w:tr>
        <w:trPr>
          <w:trHeight w:val="216"/>
        </w:trPr>
        <w:tc>
          <w:tcPr>
            <w:tcW w:w="68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(69,341)</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(48,876)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Payments to FDIC, loss share agreement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9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8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208,182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164,953</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8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Proceeds from redemption of FHLB stock</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17,250</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6"/>
                <w:szCs w:val="16"/>
                <w:color w:val="auto"/>
              </w:rPr>
              <w:t>Net change in interest-earning balances from depository institutions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(40,632)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4,739</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13,076</w:t>
            </w:r>
          </w:p>
        </w:tc>
        <w:tc>
          <w:tcPr>
            <w:tcW w:w="0" w:type="dxa"/>
            <w:vAlign w:val="bottom"/>
          </w:tcPr>
          <w:p>
            <w:pPr>
              <w:spacing w:after="0"/>
              <w:rPr>
                <w:sz w:val="1"/>
                <w:szCs w:val="1"/>
                <w:color w:val="auto"/>
              </w:rPr>
            </w:pPr>
          </w:p>
        </w:tc>
      </w:tr>
      <w:tr>
        <w:trPr>
          <w:trHeight w:val="216"/>
        </w:trPr>
        <w:tc>
          <w:tcPr>
            <w:tcW w:w="6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Proceeds from sale of investment securities held-for-sale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716,996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Proceeds from repayment of investment securities available-for-sale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642,576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383,155</w:t>
            </w:r>
          </w:p>
        </w:tc>
        <w:tc>
          <w:tcPr>
            <w:tcW w:w="0" w:type="dxa"/>
            <w:vAlign w:val="bottom"/>
          </w:tcPr>
          <w:p>
            <w:pPr>
              <w:spacing w:after="0"/>
              <w:rPr>
                <w:sz w:val="1"/>
                <w:szCs w:val="1"/>
                <w:color w:val="auto"/>
              </w:rPr>
            </w:pPr>
          </w:p>
        </w:tc>
      </w:tr>
      <w:tr>
        <w:trPr>
          <w:trHeight w:val="216"/>
        </w:trPr>
        <w:tc>
          <w:tcPr>
            <w:tcW w:w="6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Proceeds from maturity of investment securities available-for-sale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9,807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24,651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Purchases of investment securities available-for-sale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(1,231,163)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(492,995)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(98,709)</w:t>
            </w:r>
          </w:p>
        </w:tc>
        <w:tc>
          <w:tcPr>
            <w:tcW w:w="0" w:type="dxa"/>
            <w:vAlign w:val="bottom"/>
          </w:tcPr>
          <w:p>
            <w:pPr>
              <w:spacing w:after="0"/>
              <w:rPr>
                <w:sz w:val="1"/>
                <w:szCs w:val="1"/>
                <w:color w:val="auto"/>
              </w:rPr>
            </w:pPr>
          </w:p>
        </w:tc>
      </w:tr>
      <w:tr>
        <w:trPr>
          <w:trHeight w:val="216"/>
        </w:trPr>
        <w:tc>
          <w:tcPr>
            <w:tcW w:w="6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Proceeds from repayment and maturity of investment securities held-to-maturity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146,309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114,569</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81,816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Purchases of investment securities held-to-maturity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(52,855)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(47,587)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increase in equity investments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(16,488)</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(24,863)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(increase) decrease in loan and lease finance receivables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(743,290)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(179,054)</w:t>
            </w:r>
          </w:p>
        </w:tc>
        <w:tc>
          <w:tcPr>
            <w:tcW w:w="0" w:type="dxa"/>
            <w:vAlign w:val="bottom"/>
          </w:tcPr>
          <w:p>
            <w:pPr>
              <w:spacing w:after="0"/>
              <w:rPr>
                <w:sz w:val="1"/>
                <w:szCs w:val="1"/>
                <w:color w:val="auto"/>
              </w:rPr>
            </w:pPr>
          </w:p>
        </w:tc>
      </w:tr>
      <w:tr>
        <w:trPr>
          <w:trHeight w:val="216"/>
        </w:trPr>
        <w:tc>
          <w:tcPr>
            <w:tcW w:w="6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Proceeds on eminent domain condemnation, 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3,425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Proceeds from sale of building, net of selling costs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(5,522)</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(4,194)</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6"/>
                <w:szCs w:val="16"/>
                <w:color w:val="auto"/>
              </w:rPr>
              <w:t>Proceeds from BOLI death benefit</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5,477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1,660</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2,383</w:t>
            </w:r>
          </w:p>
        </w:tc>
        <w:tc>
          <w:tcPr>
            <w:tcW w:w="0" w:type="dxa"/>
            <w:vAlign w:val="bottom"/>
          </w:tcPr>
          <w:p>
            <w:pPr>
              <w:spacing w:after="0"/>
              <w:rPr>
                <w:sz w:val="1"/>
                <w:szCs w:val="1"/>
                <w:color w:val="auto"/>
              </w:rPr>
            </w:pPr>
          </w:p>
        </w:tc>
      </w:tr>
      <w:tr>
        <w:trPr>
          <w:trHeight w:val="162"/>
        </w:trPr>
        <w:tc>
          <w:tcPr>
            <w:tcW w:w="68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Proceeds from sales of other real estate owned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1,162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523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8,067</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6"/>
                <w:szCs w:val="16"/>
                <w:color w:val="auto"/>
              </w:rPr>
              <w:t>Cash acquired from acquisition, net of cash paid</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(132,918)</w:t>
            </w:r>
          </w:p>
        </w:tc>
        <w:tc>
          <w:tcPr>
            <w:tcW w:w="0" w:type="dxa"/>
            <w:vAlign w:val="bottom"/>
          </w:tcPr>
          <w:p>
            <w:pPr>
              <w:spacing w:after="0"/>
              <w:rPr>
                <w:sz w:val="1"/>
                <w:szCs w:val="1"/>
                <w:color w:val="auto"/>
              </w:rPr>
            </w:pPr>
          </w:p>
        </w:tc>
      </w:tr>
      <w:tr>
        <w:trPr>
          <w:trHeight w:val="176"/>
        </w:trPr>
        <w:tc>
          <w:tcPr>
            <w:tcW w:w="6880" w:type="dxa"/>
            <w:vAlign w:val="bottom"/>
          </w:tcPr>
          <w:p>
            <w:pPr>
              <w:ind w:left="960"/>
              <w:spacing w:after="0" w:line="169" w:lineRule="exact"/>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96"/>
              </w:rPr>
              <w:t>(1,268,758)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325,323</w:t>
            </w:r>
          </w:p>
        </w:tc>
        <w:tc>
          <w:tcPr>
            <w:tcW w:w="3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811,081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Net increase (decrease) in other deposits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3,076,187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6"/>
                <w:szCs w:val="16"/>
                <w:color w:val="auto"/>
              </w:rPr>
              <w:t>(36,926)</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(444,316)</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6"/>
                <w:szCs w:val="16"/>
                <w:color w:val="auto"/>
              </w:rPr>
              <w:t>Net decrease in time deposits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(44,614)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6"/>
                <w:szCs w:val="16"/>
                <w:color w:val="auto"/>
              </w:rPr>
              <w:t>(85,636)</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(145,033)</w:t>
            </w:r>
          </w:p>
        </w:tc>
        <w:tc>
          <w:tcPr>
            <w:tcW w:w="0" w:type="dxa"/>
            <w:vAlign w:val="bottom"/>
          </w:tcPr>
          <w:p>
            <w:pPr>
              <w:spacing w:after="0"/>
              <w:rPr>
                <w:sz w:val="1"/>
                <w:szCs w:val="1"/>
                <w:color w:val="auto"/>
              </w:rPr>
            </w:pPr>
          </w:p>
        </w:tc>
      </w:tr>
      <w:tr>
        <w:trPr>
          <w:trHeight w:val="162"/>
        </w:trPr>
        <w:tc>
          <w:tcPr>
            <w:tcW w:w="68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Repayment of FHLB advances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(297,571)</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6"/>
                <w:szCs w:val="16"/>
                <w:color w:val="auto"/>
              </w:rPr>
              <w:t>Net increase (decrease) in other borrowings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6"/>
                <w:szCs w:val="16"/>
                <w:color w:val="auto"/>
              </w:rPr>
              <w:t>(280,000)</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114,000</w:t>
            </w:r>
          </w:p>
        </w:tc>
        <w:tc>
          <w:tcPr>
            <w:tcW w:w="0" w:type="dxa"/>
            <w:vAlign w:val="bottom"/>
          </w:tcPr>
          <w:p>
            <w:pPr>
              <w:spacing w:after="0"/>
              <w:rPr>
                <w:sz w:val="1"/>
                <w:szCs w:val="1"/>
                <w:color w:val="auto"/>
              </w:rPr>
            </w:pPr>
          </w:p>
        </w:tc>
      </w:tr>
      <w:tr>
        <w:trPr>
          <w:trHeight w:val="162"/>
        </w:trPr>
        <w:tc>
          <w:tcPr>
            <w:tcW w:w="68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Net increase (decrease) in customer repurchase agreements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10,747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6"/>
                <w:szCs w:val="16"/>
                <w:color w:val="auto"/>
              </w:rPr>
              <w:t>(13,596)</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(111,518)</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6"/>
                <w:szCs w:val="16"/>
                <w:color w:val="auto"/>
              </w:rPr>
              <w:t>Cash dividends on common stock</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(98,475)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6"/>
                <w:szCs w:val="16"/>
                <w:color w:val="auto"/>
              </w:rPr>
              <w:t>(95,352)</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(65,966)</w:t>
            </w:r>
          </w:p>
        </w:tc>
        <w:tc>
          <w:tcPr>
            <w:tcW w:w="0" w:type="dxa"/>
            <w:vAlign w:val="bottom"/>
          </w:tcPr>
          <w:p>
            <w:pPr>
              <w:spacing w:after="0"/>
              <w:rPr>
                <w:sz w:val="1"/>
                <w:szCs w:val="1"/>
                <w:color w:val="auto"/>
              </w:rPr>
            </w:pPr>
          </w:p>
        </w:tc>
      </w:tr>
      <w:tr>
        <w:trPr>
          <w:trHeight w:val="162"/>
        </w:trPr>
        <w:tc>
          <w:tcPr>
            <w:tcW w:w="68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(92,772)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6"/>
                <w:szCs w:val="16"/>
                <w:color w:val="auto"/>
              </w:rPr>
              <w:t>(2,640)</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(7,760)</w:t>
            </w: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ind w:left="520"/>
              <w:spacing w:after="0" w:line="162" w:lineRule="exact"/>
              <w:rPr>
                <w:sz w:val="20"/>
                <w:szCs w:val="20"/>
                <w:color w:val="auto"/>
              </w:rPr>
            </w:pPr>
            <w:r>
              <w:rPr>
                <w:rFonts w:ascii="Times New Roman" w:cs="Times New Roman" w:eastAsia="Times New Roman" w:hAnsi="Times New Roman"/>
                <w:sz w:val="16"/>
                <w:szCs w:val="16"/>
                <w:color w:val="auto"/>
              </w:rPr>
              <w:t>Proceeds from exercise of stock options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2,215</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1,701</w:t>
            </w:r>
          </w:p>
        </w:tc>
        <w:tc>
          <w:tcPr>
            <w:tcW w:w="0" w:type="dxa"/>
            <w:vAlign w:val="bottom"/>
          </w:tcPr>
          <w:p>
            <w:pPr>
              <w:spacing w:after="0"/>
              <w:rPr>
                <w:sz w:val="1"/>
                <w:szCs w:val="1"/>
                <w:color w:val="auto"/>
              </w:rPr>
            </w:pPr>
          </w:p>
        </w:tc>
      </w:tr>
      <w:tr>
        <w:trPr>
          <w:trHeight w:val="176"/>
        </w:trPr>
        <w:tc>
          <w:tcPr>
            <w:tcW w:w="6880" w:type="dxa"/>
            <w:vAlign w:val="bottom"/>
          </w:tcPr>
          <w:p>
            <w:pPr>
              <w:ind w:left="960"/>
              <w:spacing w:after="0" w:line="169" w:lineRule="exact"/>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2,856,304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92"/>
              </w:rPr>
              <w:t>(511,935)</w:t>
            </w:r>
          </w:p>
        </w:tc>
        <w:tc>
          <w:tcPr>
            <w:tcW w:w="3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95"/>
              </w:rPr>
              <w:t>(956,463)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Net increase in cash and cash equivalents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1,772,642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21,570</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19,571</w:t>
            </w:r>
          </w:p>
        </w:tc>
        <w:tc>
          <w:tcPr>
            <w:tcW w:w="0" w:type="dxa"/>
            <w:vAlign w:val="bottom"/>
          </w:tcPr>
          <w:p>
            <w:pPr>
              <w:spacing w:after="0"/>
              <w:rPr>
                <w:sz w:val="1"/>
                <w:szCs w:val="1"/>
                <w:color w:val="auto"/>
              </w:rPr>
            </w:pPr>
          </w:p>
        </w:tc>
      </w:tr>
      <w:tr>
        <w:trPr>
          <w:trHeight w:val="243"/>
        </w:trPr>
        <w:tc>
          <w:tcPr>
            <w:tcW w:w="6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185,518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163,948</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144,377</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1,958,160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185,518</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163,948</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54"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15240</wp:posOffset>
            </wp:positionV>
            <wp:extent cx="20828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0" w:lineRule="exact"/>
        <w:rPr>
          <w:sz w:val="20"/>
          <w:szCs w:val="20"/>
          <w:color w:val="auto"/>
        </w:rPr>
      </w:pPr>
    </w:p>
    <w:p>
      <w:pPr>
        <w:jc w:val="both"/>
        <w:ind w:left="7960"/>
        <w:spacing w:after="0"/>
        <w:tabs>
          <w:tab w:leader="none" w:pos="9160" w:val="left"/>
          <w:tab w:leader="none" w:pos="10380" w:val="left"/>
        </w:tabs>
        <w:rPr>
          <w:sz w:val="20"/>
          <w:szCs w:val="20"/>
          <w:color w:val="auto"/>
        </w:rPr>
      </w:pPr>
      <w:r>
        <w:rPr>
          <w:rFonts w:ascii="Times New Roman" w:cs="Times New Roman" w:eastAsia="Times New Roman" w:hAnsi="Times New Roman"/>
          <w:sz w:val="15"/>
          <w:szCs w:val="15"/>
          <w:b w:val="1"/>
          <w:bCs w:val="1"/>
          <w:color w:val="auto"/>
        </w:rPr>
        <w:t>2020</w:t>
      </w:r>
      <w:r>
        <w:rPr>
          <w:sz w:val="20"/>
          <w:szCs w:val="20"/>
          <w:color w:val="auto"/>
        </w:rPr>
        <w:tab/>
      </w:r>
      <w:r>
        <w:rPr>
          <w:rFonts w:ascii="Times New Roman" w:cs="Times New Roman" w:eastAsia="Times New Roman" w:hAnsi="Times New Roman"/>
          <w:sz w:val="15"/>
          <w:szCs w:val="15"/>
          <w:b w:val="1"/>
          <w:bCs w:val="1"/>
          <w:color w:val="auto"/>
        </w:rPr>
        <w:t>2019</w:t>
      </w:r>
      <w:r>
        <w:rPr>
          <w:sz w:val="20"/>
          <w:szCs w:val="20"/>
          <w:color w:val="auto"/>
        </w:rPr>
        <w:tab/>
      </w:r>
      <w:r>
        <w:rPr>
          <w:rFonts w:ascii="Times New Roman" w:cs="Times New Roman" w:eastAsia="Times New Roman" w:hAnsi="Times New Roman"/>
          <w:sz w:val="15"/>
          <w:szCs w:val="15"/>
          <w:b w:val="1"/>
          <w:bCs w:val="1"/>
          <w:color w:val="auto"/>
        </w:rPr>
        <w:t>2018</w:t>
      </w:r>
    </w:p>
    <w:p>
      <w:pPr>
        <w:sectPr>
          <w:pgSz w:w="11900" w:h="16838" w:orient="portrait"/>
          <w:cols w:equalWidth="0" w:num="1">
            <w:col w:w="11140"/>
          </w:cols>
          <w:pgMar w:left="320" w:top="482" w:right="439" w:bottom="1440" w:gutter="0" w:footer="0" w:header="0"/>
        </w:sectPr>
      </w:pP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Reconciliation of Net Earnings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5"/>
          <w:szCs w:val="15"/>
          <w:color w:val="auto"/>
        </w:rPr>
        <w:t>Net earnings</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Adjustments to reconcile net earnings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7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5"/>
          <w:szCs w:val="15"/>
          <w:color w:val="auto"/>
        </w:rPr>
        <w:t>Gain on sale of investment securities, net</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Gain on eminent domain condemnation,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7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5"/>
          <w:szCs w:val="15"/>
          <w:color w:val="auto"/>
        </w:rPr>
        <w:t>Gain on sale of building, net</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Gain on sale of other real estate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5"/>
          <w:szCs w:val="15"/>
          <w:color w:val="auto"/>
        </w:rPr>
        <w:t>Increase in BOLI</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Net amortization of premiums and discounts on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1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5"/>
          <w:szCs w:val="15"/>
          <w:color w:val="auto"/>
        </w:rPr>
        <w:t>Accretion of discount for acquired loans, net</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Provision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7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5"/>
          <w:szCs w:val="15"/>
          <w:color w:val="auto"/>
        </w:rPr>
        <w:t>Recapture of provision for unfunded loan commitments</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Valuation allowance on other real estate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5"/>
          <w:szCs w:val="15"/>
          <w:color w:val="auto"/>
        </w:rPr>
        <w:t>Payments to FDIC, loss share agreement</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7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5"/>
          <w:szCs w:val="15"/>
          <w:color w:val="auto"/>
        </w:rPr>
        <w:t>Depreciation and amortization, net</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Change in other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11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5"/>
          <w:szCs w:val="15"/>
          <w:color w:val="auto"/>
        </w:rPr>
        <w:t>Total adjustments</w:t>
      </w:r>
    </w:p>
    <w:p>
      <w:pPr>
        <w:spacing w:after="0" w:line="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Activities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340" w:hanging="337"/>
        <w:spacing w:after="0"/>
        <w:tabs>
          <w:tab w:leader="none" w:pos="3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177,159</w:t>
      </w:r>
    </w:p>
    <w:p>
      <w:pPr>
        <w:spacing w:after="0" w:line="165" w:lineRule="exact"/>
        <w:rPr>
          <w:sz w:val="20"/>
          <w:szCs w:val="20"/>
          <w:color w:val="auto"/>
        </w:rPr>
      </w:pPr>
    </w:p>
    <w:p>
      <w:pPr>
        <w:jc w:val="center"/>
        <w:ind w:left="-439"/>
        <w:spacing w:after="0"/>
        <w:rPr>
          <w:sz w:val="20"/>
          <w:szCs w:val="20"/>
          <w:color w:val="auto"/>
        </w:rPr>
      </w:pPr>
      <w:r>
        <w:rPr>
          <w:rFonts w:ascii="Times New Roman" w:cs="Times New Roman" w:eastAsia="Times New Roman" w:hAnsi="Times New Roman"/>
          <w:sz w:val="15"/>
          <w:szCs w:val="15"/>
          <w:color w:val="auto"/>
        </w:rPr>
        <w:t>-</w:t>
      </w:r>
    </w:p>
    <w:p>
      <w:pPr>
        <w:spacing w:after="0" w:line="19" w:lineRule="exact"/>
        <w:rPr>
          <w:sz w:val="20"/>
          <w:szCs w:val="20"/>
          <w:color w:val="auto"/>
        </w:rPr>
      </w:pPr>
    </w:p>
    <w:p>
      <w:pPr>
        <w:jc w:val="center"/>
        <w:ind w:left="-439"/>
        <w:spacing w:after="0"/>
        <w:rPr>
          <w:sz w:val="20"/>
          <w:szCs w:val="20"/>
          <w:color w:val="auto"/>
        </w:rPr>
      </w:pPr>
      <w:r>
        <w:rPr>
          <w:rFonts w:ascii="Times New Roman" w:cs="Times New Roman" w:eastAsia="Times New Roman" w:hAnsi="Times New Roman"/>
          <w:sz w:val="15"/>
          <w:szCs w:val="15"/>
          <w:color w:val="auto"/>
        </w:rPr>
        <w:t>-</w:t>
      </w:r>
    </w:p>
    <w:p>
      <w:pPr>
        <w:spacing w:after="0" w:line="3" w:lineRule="exact"/>
        <w:rPr>
          <w:sz w:val="20"/>
          <w:szCs w:val="20"/>
          <w:color w:val="auto"/>
        </w:rPr>
      </w:pPr>
    </w:p>
    <w:p>
      <w:pPr>
        <w:jc w:val="center"/>
        <w:ind w:left="-439"/>
        <w:spacing w:after="0"/>
        <w:rPr>
          <w:sz w:val="20"/>
          <w:szCs w:val="20"/>
          <w:color w:val="auto"/>
        </w:rPr>
      </w:pPr>
      <w:r>
        <w:rPr>
          <w:rFonts w:ascii="Times New Roman" w:cs="Times New Roman" w:eastAsia="Times New Roman" w:hAnsi="Times New Roman"/>
          <w:sz w:val="15"/>
          <w:szCs w:val="15"/>
          <w:color w:val="auto"/>
        </w:rPr>
        <w:t>(1,680)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(365)</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(5,303)</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15,045</w:t>
      </w:r>
    </w:p>
    <w:p>
      <w:pPr>
        <w:jc w:val="right"/>
        <w:spacing w:after="0"/>
        <w:rPr>
          <w:sz w:val="20"/>
          <w:szCs w:val="20"/>
          <w:color w:val="auto"/>
        </w:rPr>
      </w:pPr>
      <w:r>
        <w:rPr>
          <w:rFonts w:ascii="Times New Roman" w:cs="Times New Roman" w:eastAsia="Times New Roman" w:hAnsi="Times New Roman"/>
          <w:sz w:val="15"/>
          <w:szCs w:val="15"/>
          <w:color w:val="auto"/>
        </w:rPr>
        <w:t>(17,412)</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23,500</w:t>
      </w:r>
    </w:p>
    <w:p>
      <w:pPr>
        <w:ind w:left="640"/>
        <w:spacing w:after="0"/>
        <w:rPr>
          <w:sz w:val="20"/>
          <w:szCs w:val="20"/>
          <w:color w:val="auto"/>
        </w:rPr>
      </w:pPr>
      <w:r>
        <w:rPr>
          <w:rFonts w:ascii="Times New Roman" w:cs="Times New Roman" w:eastAsia="Times New Roman" w:hAnsi="Times New Roman"/>
          <w:sz w:val="15"/>
          <w:szCs w:val="15"/>
          <w:color w:val="auto"/>
        </w:rPr>
        <w:t>-</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700</w:t>
      </w:r>
    </w:p>
    <w:p>
      <w:pPr>
        <w:ind w:left="640"/>
        <w:spacing w:after="0"/>
        <w:rPr>
          <w:sz w:val="20"/>
          <w:szCs w:val="20"/>
          <w:color w:val="auto"/>
        </w:rPr>
      </w:pPr>
      <w:r>
        <w:rPr>
          <w:rFonts w:ascii="Times New Roman" w:cs="Times New Roman" w:eastAsia="Times New Roman" w:hAnsi="Times New Roman"/>
          <w:sz w:val="15"/>
          <w:szCs w:val="15"/>
          <w:color w:val="auto"/>
        </w:rPr>
        <w:t>-</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5,529</w:t>
      </w:r>
    </w:p>
    <w:p>
      <w:pPr>
        <w:jc w:val="right"/>
        <w:spacing w:after="0"/>
        <w:rPr>
          <w:sz w:val="20"/>
          <w:szCs w:val="20"/>
          <w:color w:val="auto"/>
        </w:rPr>
      </w:pPr>
      <w:r>
        <w:rPr>
          <w:rFonts w:ascii="Times New Roman" w:cs="Times New Roman" w:eastAsia="Times New Roman" w:hAnsi="Times New Roman"/>
          <w:sz w:val="15"/>
          <w:szCs w:val="15"/>
          <w:color w:val="auto"/>
        </w:rPr>
        <w:t>(1,157)</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5314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7,937</w:t>
      </w:r>
    </w:p>
    <w:p>
      <w:pPr>
        <w:spacing w:after="0" w:line="21" w:lineRule="exact"/>
        <w:rPr>
          <w:sz w:val="20"/>
          <w:szCs w:val="20"/>
          <w:color w:val="auto"/>
        </w:rPr>
      </w:pPr>
    </w:p>
    <w:p>
      <w:pPr>
        <w:ind w:left="340" w:hanging="337"/>
        <w:spacing w:after="0"/>
        <w:tabs>
          <w:tab w:leader="none" w:pos="340" w:val="left"/>
        </w:tabs>
        <w:numPr>
          <w:ilvl w:val="0"/>
          <w:numId w:val="54"/>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u w:val="single" w:color="auto"/>
          <w:color w:val="auto"/>
        </w:rPr>
        <w:t>185,096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5314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207,827</w:t>
            </w:r>
          </w:p>
        </w:tc>
        <w:tc>
          <w:tcPr>
            <w:tcW w:w="3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152,003</w:t>
            </w:r>
          </w:p>
        </w:tc>
      </w:tr>
      <w:tr>
        <w:trPr>
          <w:trHeight w:val="315"/>
        </w:trPr>
        <w:tc>
          <w:tcPr>
            <w:tcW w:w="220" w:type="dxa"/>
            <w:vAlign w:val="bottom"/>
          </w:tcPr>
          <w:p>
            <w:pPr>
              <w:spacing w:after="0"/>
              <w:rPr>
                <w:sz w:val="24"/>
                <w:szCs w:val="24"/>
                <w:color w:val="auto"/>
              </w:rPr>
            </w:pP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w:t>
            </w:r>
          </w:p>
        </w:tc>
        <w:tc>
          <w:tcPr>
            <w:tcW w:w="380" w:type="dxa"/>
            <w:vAlign w:val="bottom"/>
          </w:tcPr>
          <w:p>
            <w:pPr>
              <w:spacing w:after="0"/>
              <w:rPr>
                <w:sz w:val="24"/>
                <w:szCs w:val="24"/>
                <w:color w:val="auto"/>
              </w:rPr>
            </w:pPr>
          </w:p>
        </w:tc>
        <w:tc>
          <w:tcPr>
            <w:tcW w:w="7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220" w:type="dxa"/>
            <w:vAlign w:val="bottom"/>
          </w:tcPr>
          <w:p>
            <w:pPr>
              <w:spacing w:after="0"/>
              <w:rPr>
                <w:sz w:val="15"/>
                <w:szCs w:val="15"/>
                <w:color w:val="auto"/>
              </w:rPr>
            </w:pP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(5,685)</w:t>
            </w:r>
          </w:p>
        </w:tc>
        <w:tc>
          <w:tcPr>
            <w:tcW w:w="380" w:type="dxa"/>
            <w:vAlign w:val="bottom"/>
          </w:tcPr>
          <w:p>
            <w:pPr>
              <w:spacing w:after="0"/>
              <w:rPr>
                <w:sz w:val="15"/>
                <w:szCs w:val="15"/>
                <w:color w:val="auto"/>
              </w:rPr>
            </w:pPr>
          </w:p>
        </w:tc>
        <w:tc>
          <w:tcPr>
            <w:tcW w:w="7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220" w:type="dxa"/>
            <w:vAlign w:val="bottom"/>
          </w:tcPr>
          <w:p>
            <w:pPr>
              <w:spacing w:after="0"/>
              <w:rPr>
                <w:sz w:val="15"/>
                <w:szCs w:val="15"/>
                <w:color w:val="auto"/>
              </w:rPr>
            </w:pP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(4,776)</w:t>
            </w:r>
          </w:p>
        </w:tc>
        <w:tc>
          <w:tcPr>
            <w:tcW w:w="380" w:type="dxa"/>
            <w:vAlign w:val="bottom"/>
          </w:tcPr>
          <w:p>
            <w:pPr>
              <w:spacing w:after="0"/>
              <w:rPr>
                <w:sz w:val="15"/>
                <w:szCs w:val="15"/>
                <w:color w:val="auto"/>
              </w:rPr>
            </w:pPr>
          </w:p>
        </w:tc>
        <w:tc>
          <w:tcPr>
            <w:tcW w:w="7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220" w:type="dxa"/>
            <w:vAlign w:val="bottom"/>
          </w:tcPr>
          <w:p>
            <w:pPr>
              <w:spacing w:after="0"/>
              <w:rPr>
                <w:sz w:val="15"/>
                <w:szCs w:val="15"/>
                <w:color w:val="auto"/>
              </w:rPr>
            </w:pP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(105)</w:t>
            </w: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(3,540)</w:t>
            </w:r>
          </w:p>
        </w:tc>
      </w:tr>
      <w:tr>
        <w:trPr>
          <w:trHeight w:val="189"/>
        </w:trPr>
        <w:tc>
          <w:tcPr>
            <w:tcW w:w="220" w:type="dxa"/>
            <w:vAlign w:val="bottom"/>
          </w:tcPr>
          <w:p>
            <w:pPr>
              <w:spacing w:after="0"/>
              <w:rPr>
                <w:sz w:val="16"/>
                <w:szCs w:val="16"/>
                <w:color w:val="auto"/>
              </w:rPr>
            </w:pP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(5,670)</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(5,751)</w:t>
            </w:r>
          </w:p>
        </w:tc>
      </w:tr>
      <w:tr>
        <w:trPr>
          <w:trHeight w:val="162"/>
        </w:trPr>
        <w:tc>
          <w:tcPr>
            <w:tcW w:w="220" w:type="dxa"/>
            <w:vAlign w:val="bottom"/>
          </w:tcPr>
          <w:p>
            <w:pPr>
              <w:spacing w:after="0"/>
              <w:rPr>
                <w:sz w:val="14"/>
                <w:szCs w:val="14"/>
                <w:color w:val="auto"/>
              </w:rPr>
            </w:pPr>
          </w:p>
        </w:tc>
        <w:tc>
          <w:tcPr>
            <w:tcW w:w="84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10,298</w:t>
            </w:r>
          </w:p>
        </w:tc>
        <w:tc>
          <w:tcPr>
            <w:tcW w:w="3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13,531</w:t>
            </w:r>
          </w:p>
        </w:tc>
      </w:tr>
      <w:tr>
        <w:trPr>
          <w:trHeight w:val="189"/>
        </w:trPr>
        <w:tc>
          <w:tcPr>
            <w:tcW w:w="220" w:type="dxa"/>
            <w:vAlign w:val="bottom"/>
          </w:tcPr>
          <w:p>
            <w:pPr>
              <w:spacing w:after="0"/>
              <w:rPr>
                <w:sz w:val="16"/>
                <w:szCs w:val="16"/>
                <w:color w:val="auto"/>
              </w:rPr>
            </w:pP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(28,831)</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(15,400)</w:t>
            </w:r>
          </w:p>
        </w:tc>
      </w:tr>
      <w:tr>
        <w:trPr>
          <w:trHeight w:val="178"/>
        </w:trPr>
        <w:tc>
          <w:tcPr>
            <w:tcW w:w="2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5,000</w:t>
            </w: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r>
    </w:tbl>
    <w:p>
      <w:pPr>
        <w:ind w:left="1800" w:hanging="1149"/>
        <w:spacing w:after="0"/>
        <w:tabs>
          <w:tab w:leader="none" w:pos="18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(250)</w:t>
      </w:r>
    </w:p>
    <w:p>
      <w:pPr>
        <w:spacing w:after="0" w:line="3" w:lineRule="exact"/>
        <w:rPr>
          <w:rFonts w:ascii="Times New Roman" w:cs="Times New Roman" w:eastAsia="Times New Roman" w:hAnsi="Times New Roman"/>
          <w:sz w:val="15"/>
          <w:szCs w:val="15"/>
          <w:color w:val="auto"/>
        </w:rPr>
      </w:pPr>
    </w:p>
    <w:p>
      <w:pPr>
        <w:ind w:left="1880" w:hanging="1229"/>
        <w:spacing w:after="0"/>
        <w:tabs>
          <w:tab w:leader="none" w:pos="18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3" w:lineRule="exact"/>
        <w:rPr>
          <w:rFonts w:ascii="Times New Roman" w:cs="Times New Roman" w:eastAsia="Times New Roman" w:hAnsi="Times New Roman"/>
          <w:sz w:val="15"/>
          <w:szCs w:val="15"/>
          <w:color w:val="auto"/>
        </w:rPr>
      </w:pPr>
    </w:p>
    <w:p>
      <w:pPr>
        <w:ind w:left="1880" w:hanging="1229"/>
        <w:spacing w:after="0"/>
        <w:tabs>
          <w:tab w:leader="none" w:pos="18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(64)</w:t>
      </w:r>
    </w:p>
    <w:p>
      <w:pPr>
        <w:spacing w:after="0" w:line="16" w:lineRule="exact"/>
        <w:rPr>
          <w:rFonts w:ascii="Times New Roman" w:cs="Times New Roman" w:eastAsia="Times New Roman" w:hAnsi="Times New Roman"/>
          <w:sz w:val="15"/>
          <w:szCs w:val="15"/>
          <w:color w:val="auto"/>
        </w:rPr>
      </w:pPr>
    </w:p>
    <w:p>
      <w:pPr>
        <w:ind w:left="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5,5483,508</w:t>
      </w:r>
    </w:p>
    <w:p>
      <w:pPr>
        <w:spacing w:after="0" w:line="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15"/>
          <w:szCs w:val="15"/>
          <w:color w:val="auto"/>
        </w:rPr>
        <w:t>22,036</w:t>
      </w:r>
      <w:r>
        <w:rPr>
          <w:sz w:val="20"/>
          <w:szCs w:val="20"/>
          <w:color w:val="auto"/>
        </w:rPr>
        <w:tab/>
      </w:r>
      <w:r>
        <w:rPr>
          <w:rFonts w:ascii="Times New Roman" w:cs="Times New Roman" w:eastAsia="Times New Roman" w:hAnsi="Times New Roman"/>
          <w:sz w:val="15"/>
          <w:szCs w:val="15"/>
          <w:color w:val="auto"/>
        </w:rPr>
        <w:t>8,349</w:t>
      </w:r>
    </w:p>
    <w:p>
      <w:pPr>
        <w:spacing w:after="0" w:line="3" w:lineRule="exact"/>
        <w:rPr>
          <w:sz w:val="20"/>
          <w:szCs w:val="20"/>
          <w:color w:val="auto"/>
        </w:rPr>
      </w:pPr>
    </w:p>
    <w:p>
      <w:pPr>
        <w:ind w:left="520"/>
        <w:spacing w:after="0"/>
        <w:tabs>
          <w:tab w:leader="none" w:pos="1640" w:val="left"/>
        </w:tabs>
        <w:rPr>
          <w:sz w:val="20"/>
          <w:szCs w:val="20"/>
          <w:color w:val="auto"/>
        </w:rPr>
      </w:pPr>
      <w:r>
        <w:rPr>
          <w:rFonts w:ascii="Times New Roman" w:cs="Times New Roman" w:eastAsia="Times New Roman" w:hAnsi="Times New Roman"/>
          <w:sz w:val="15"/>
          <w:szCs w:val="15"/>
          <w:color w:val="auto"/>
        </w:rPr>
        <w:t>2,545</w:t>
      </w:r>
      <w:r>
        <w:rPr>
          <w:sz w:val="20"/>
          <w:szCs w:val="20"/>
          <w:color w:val="auto"/>
        </w:rPr>
        <w:tab/>
      </w:r>
      <w:r>
        <w:rPr>
          <w:rFonts w:ascii="Times New Roman" w:cs="Times New Roman" w:eastAsia="Times New Roman" w:hAnsi="Times New Roman"/>
          <w:sz w:val="15"/>
          <w:szCs w:val="15"/>
          <w:color w:val="auto"/>
        </w:rPr>
        <w:t>11,067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3284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1660" w:hanging="1034"/>
        <w:spacing w:after="0"/>
        <w:tabs>
          <w:tab w:leader="none" w:pos="16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12,950</w:t>
      </w:r>
    </w:p>
    <w:p>
      <w:pPr>
        <w:spacing w:after="0" w:line="16"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$208,182$164,953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13284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3">
            <w:col w:w="6980" w:space="720"/>
            <w:col w:w="900" w:space="300"/>
            <w:col w:w="224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77"/>
        </w:trPr>
        <w:tc>
          <w:tcPr>
            <w:tcW w:w="5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Securities purchased and not settled</w:t>
            </w:r>
          </w:p>
        </w:tc>
        <w:tc>
          <w:tcPr>
            <w:tcW w:w="25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60,113</w:t>
            </w:r>
          </w:p>
        </w:tc>
        <w:tc>
          <w:tcPr>
            <w:tcW w:w="4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52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Transfer of loans to other real estate owned</w:t>
            </w:r>
          </w:p>
        </w:tc>
        <w:tc>
          <w:tcPr>
            <w:tcW w:w="25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4,889</w:t>
            </w:r>
          </w:p>
        </w:tc>
        <w:tc>
          <w:tcPr>
            <w:tcW w:w="4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420</w:t>
            </w:r>
          </w:p>
        </w:tc>
      </w:tr>
      <w:tr>
        <w:trPr>
          <w:trHeight w:val="176"/>
        </w:trPr>
        <w:tc>
          <w:tcPr>
            <w:tcW w:w="5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Issuance of common stock for acquisition</w:t>
            </w:r>
          </w:p>
        </w:tc>
        <w:tc>
          <w:tcPr>
            <w:tcW w:w="25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722,767</w:t>
            </w:r>
          </w:p>
        </w:tc>
      </w:tr>
    </w:tbl>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82" w:right="439" w:bottom="1440" w:gutter="0" w:footer="0" w:header="0"/>
          <w:type w:val="continuous"/>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THREE YEARS ENDED DECEMBER 31, 2020</w:t>
      </w:r>
    </w:p>
    <w:p>
      <w:pPr>
        <w:spacing w:after="0" w:line="351" w:lineRule="exact"/>
        <w:rPr>
          <w:sz w:val="20"/>
          <w:szCs w:val="20"/>
          <w:color w:val="auto"/>
        </w:rPr>
      </w:pPr>
    </w:p>
    <w:p>
      <w:pPr>
        <w:ind w:left="660" w:hanging="544"/>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202" w:lineRule="exact"/>
        <w:rPr>
          <w:sz w:val="20"/>
          <w:szCs w:val="20"/>
          <w:color w:val="auto"/>
        </w:rPr>
      </w:pPr>
    </w:p>
    <w:p>
      <w:pPr>
        <w:ind w:left="120" w:right="80" w:firstLine="551"/>
        <w:spacing w:after="0" w:line="256"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 The Company is also the common stockholder of CVB Statutory Trust III. CVB Statutory Trust III was created in January 2006 to issue trust preferred securities in order to raise capital for the Company. In accordance with Financial Accounting Standards Board (“FASB”)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this trust does not meet the criteria for consolidation.</w:t>
      </w:r>
    </w:p>
    <w:p>
      <w:pPr>
        <w:spacing w:after="0" w:line="147"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in the Inland Empire, Los Angeles County, Orange County, San Diego County, Ventura County, Santa Barbara County, and the Central Valley area of California. The Bank operates 57 banking centers, one loan production office in Modesto, California and three trust office locations. The Company is headquartered in the city of Ontario, California.</w:t>
      </w:r>
    </w:p>
    <w:p>
      <w:pPr>
        <w:spacing w:after="0" w:line="147" w:lineRule="exact"/>
        <w:rPr>
          <w:sz w:val="20"/>
          <w:szCs w:val="20"/>
          <w:color w:val="auto"/>
        </w:rPr>
      </w:pPr>
    </w:p>
    <w:p>
      <w:pPr>
        <w:ind w:left="120" w:right="120" w:firstLine="551"/>
        <w:spacing w:after="0" w:line="266" w:lineRule="auto"/>
        <w:rPr>
          <w:sz w:val="20"/>
          <w:szCs w:val="20"/>
          <w:color w:val="auto"/>
        </w:rPr>
      </w:pPr>
      <w:r>
        <w:rPr>
          <w:rFonts w:ascii="Times New Roman" w:cs="Times New Roman" w:eastAsia="Times New Roman" w:hAnsi="Times New Roman"/>
          <w:sz w:val="18"/>
          <w:szCs w:val="18"/>
          <w:color w:val="auto"/>
        </w:rPr>
        <w:t xml:space="preserve">On August 10, 2018, we completed the acquisition of Community Bank (“CB”), headquartered in Pasadena, California with 16 banking centers located throughout the greater Los Angeles and Orange County areas and total assets of approximately $4.09 billion. Our condensed consolidated financial statements for 2018 include CB operations, post-merger. See Note 4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included herein.</w:t>
      </w:r>
    </w:p>
    <w:p>
      <w:pPr>
        <w:spacing w:after="0" w:line="320" w:lineRule="exact"/>
        <w:rPr>
          <w:sz w:val="20"/>
          <w:szCs w:val="20"/>
          <w:color w:val="auto"/>
        </w:rPr>
      </w:pPr>
    </w:p>
    <w:p>
      <w:pPr>
        <w:ind w:left="660" w:hanging="544"/>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120" w:right="200" w:firstLine="551"/>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thereto have been prepared in accordance with the rules and regulations of the Securities and Exchange Commission (“SEC”) for Form 10-K and conform to practices within the banking industry and include all of the information and disclosures required by accounting principles generally accepted in the United States of America (“GAAP”) for financial reporting.</w:t>
      </w:r>
    </w:p>
    <w:p>
      <w:pPr>
        <w:spacing w:after="0" w:line="172" w:lineRule="exact"/>
        <w:rPr>
          <w:sz w:val="20"/>
          <w:szCs w:val="20"/>
          <w:color w:val="auto"/>
        </w:rPr>
      </w:pPr>
    </w:p>
    <w:p>
      <w:pPr>
        <w:ind w:left="120" w:right="6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 </w:t>
      </w:r>
      <w:r>
        <w:rPr>
          <w:rFonts w:ascii="Times New Roman" w:cs="Times New Roman" w:eastAsia="Times New Roman" w:hAnsi="Times New Roman"/>
          <w:sz w:val="18"/>
          <w:szCs w:val="18"/>
          <w:color w:val="auto"/>
        </w:rPr>
        <w:t>— Certain amounts in the prior periods’ financial statements and related footnote disclosures have been reclassified to conform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current presentation with no impact on previously reported net income or stockholders’ equity.</w:t>
      </w:r>
    </w:p>
    <w:p>
      <w:pPr>
        <w:spacing w:after="0" w:line="303" w:lineRule="exact"/>
        <w:rPr>
          <w:sz w:val="20"/>
          <w:szCs w:val="20"/>
          <w:color w:val="auto"/>
        </w:rPr>
      </w:pPr>
    </w:p>
    <w:p>
      <w:pPr>
        <w:ind w:left="660" w:hanging="544"/>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98" w:lineRule="exact"/>
        <w:rPr>
          <w:sz w:val="20"/>
          <w:szCs w:val="20"/>
          <w:color w:val="auto"/>
        </w:rPr>
      </w:pPr>
    </w:p>
    <w:p>
      <w:pPr>
        <w:ind w:left="120" w:right="40" w:firstLine="5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 The preparation of financial statements in conformity with GAAP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and loans, as well as valuation of deferred tax assets.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firstLine="551"/>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Adoption of New Accounting Standard </w:t>
      </w:r>
      <w:r>
        <w:rPr>
          <w:rFonts w:ascii="Times New Roman" w:cs="Times New Roman" w:eastAsia="Times New Roman" w:hAnsi="Times New Roman"/>
          <w:sz w:val="17"/>
          <w:szCs w:val="17"/>
          <w:color w:val="auto"/>
        </w:rPr>
        <w:t>— On January 1, 2020, the Company adopted ASU No. 2016-13, “Financial Instruments — Credit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Losses (Topic 326): Measurement of Credit Losses on Financial Instruments”. This ASU significantly changes how entities will measure credit losses for most financial assets and certain other instruments that are not measured at fair value through net income. This ASU replaces the current “incurred loss” approach with an “expected loss” model. The new model, referred to as the Current Expected Credit Loss (“CECL”) model, applies to:</w:t>
      </w:r>
    </w:p>
    <w:p>
      <w:pPr>
        <w:ind w:left="120" w:hanging="4"/>
        <w:spacing w:after="0" w:line="251" w:lineRule="auto"/>
        <w:tabs>
          <w:tab w:leader="none" w:pos="3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subject to credit losses and measured at amortized cost, and (2) certain off balance sheet credit exposures. This includes, but is not limited to, loans, held-to-maturity (“HTM”) securities, loan commitments, and financial guarantees. For loans and HTM debt securities, this ASU requires a CECL measurement to estimate the allowance for credit losses (“ACL”) for the remaining contractual term, adjusted for prepayments, of the financial asset (including off-balance sheet credit exposures) using historical experience, current conditions, and reasonable and supportable forecasts. This ASU also eliminated the existing guidance for purchased credit-impaired (“PCI”) loans, but requires an allowance for purchased financial assets with more than an insignificant deterioration of credit since origination. Purchase Credit Deteriorated (“PCD”) assets are recorded at their purchase price plus an ACL estimated at the time of acquisition. Under this ASU, there is no provision for credit losses recognized at acquisition; instead, there is a gross-up of the purchase price of the financial asset for the estimate of expected credit losses and a corresponding ACL recorded. Changes in estimates of expected credit losses after acquisition are recognized as provision for credit losses (or reversal of provision for credit losses) in subsequent periods. In addition, this ASU modifies the OTTI model for available-for-sale (“AFS”) debt securities to require an allowance for credit impairment instead of a direct write-down, which allows for reversal of credit impairments in future periods based on improvements in credit. As a policy election, we excluded the accrued interest receivable balance from the amortized cost basis of financing receivables and HTM securities, as well as AFS securities, and disclose total accrued interest receivable separately on the condensed consolidated balance sheet.</w:t>
      </w:r>
    </w:p>
    <w:p>
      <w:pPr>
        <w:spacing w:after="0" w:line="165"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The Company adopted this ASU using the modified retrospective method for all financial assets measured at amortized cost and off-balance sheet credit exposures. Results for reporting periods beginning after January 1, 2020 are presented under ASC 326 while prior period amounts continue to be reported in accordance with previously applicable GAAP. The Company recorded a net decrease to beginning retained earnings of $1.3 million, net of tax as of January 1, 2020 for the cumulative adjustment upon adoption of ASC 326. The transition adjustment of $1.8 million was added to the beginning balance of the ACL for loans and $41,000 was added to the beginning balance of reserve for unfunded loan commitments. Upon adoption of CECL there was no impact on the accounting for AFS or HTM investment securities.</w:t>
      </w:r>
    </w:p>
    <w:p>
      <w:pPr>
        <w:spacing w:after="0" w:line="143" w:lineRule="exact"/>
        <w:rPr>
          <w:sz w:val="20"/>
          <w:szCs w:val="20"/>
          <w:color w:val="auto"/>
        </w:rPr>
      </w:pPr>
    </w:p>
    <w:p>
      <w:pPr>
        <w:ind w:left="120" w:right="12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Segments </w:t>
      </w:r>
      <w:r>
        <w:rPr>
          <w:rFonts w:ascii="Times New Roman" w:cs="Times New Roman" w:eastAsia="Times New Roman" w:hAnsi="Times New Roman"/>
          <w:sz w:val="18"/>
          <w:szCs w:val="18"/>
          <w:color w:val="auto"/>
        </w:rPr>
        <w:t>— We regularly assess our strategic plans, operations and reporting structures to identify our reportable segments. Changes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our reportable segments are expected to be infrequent.</w:t>
      </w:r>
    </w:p>
    <w:p>
      <w:pPr>
        <w:spacing w:after="0" w:line="118" w:lineRule="exact"/>
        <w:rPr>
          <w:sz w:val="20"/>
          <w:szCs w:val="20"/>
          <w:color w:val="auto"/>
        </w:rPr>
      </w:pPr>
    </w:p>
    <w:p>
      <w:pPr>
        <w:ind w:left="120" w:right="60" w:firstLine="551"/>
        <w:spacing w:after="0" w:line="254" w:lineRule="auto"/>
        <w:rPr>
          <w:sz w:val="20"/>
          <w:szCs w:val="20"/>
          <w:color w:val="auto"/>
        </w:rPr>
      </w:pPr>
      <w:r>
        <w:rPr>
          <w:rFonts w:ascii="Times New Roman" w:cs="Times New Roman" w:eastAsia="Times New Roman" w:hAnsi="Times New Roman"/>
          <w:sz w:val="18"/>
          <w:szCs w:val="18"/>
          <w:color w:val="auto"/>
        </w:rPr>
        <w:t>As of December 31, 2020, we operated as one reportable segment. The factors considered in making this determination included the nature of products and offered services, geographic regions in which we operate, the applicable regulatory environment, and the materiality of discrete financial information reviewed by our key decision makers. Through our network of banking centers, we provide relationship-based banking products, services and solutions for small to mid-sized companies, real estate investors, non-profit organizations, professionals and other individuals. Our products include loans for commercial businesses, commercial real estate, multi-family, construction, land, dairy &amp; livestock and agribusiness, consumer and government-guaranteed small business loans. We also provide business deposit products and treasury cash management services, as well as deposit products to the owners and employees of the businesses we serve. The decision to combine our two reportable segments as of December 31, 2018 was made to align the segment reporting with the changes in our operations and reporting structure, and to be consistent with the level and materiality of information reviewed by our key decision makers.</w:t>
      </w:r>
    </w:p>
    <w:p>
      <w:pPr>
        <w:spacing w:after="0" w:line="157" w:lineRule="exact"/>
        <w:rPr>
          <w:sz w:val="20"/>
          <w:szCs w:val="20"/>
          <w:color w:val="auto"/>
        </w:rPr>
      </w:pPr>
    </w:p>
    <w:p>
      <w:pPr>
        <w:ind w:left="120" w:right="28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Cash on hand, cash items in the process of collection, and amounts due from correspondent banks, the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Reserve Bank and interest-bearing balances due from depository institutions with initial terms of ninety days or less, are included in Cash and cash equivalents.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Securities </w:t>
      </w:r>
      <w:r>
        <w:rPr>
          <w:rFonts w:ascii="Times New Roman" w:cs="Times New Roman" w:eastAsia="Times New Roman" w:hAnsi="Times New Roman"/>
          <w:sz w:val="18"/>
          <w:szCs w:val="18"/>
          <w:color w:val="auto"/>
        </w:rPr>
        <w:t>— The Company classifies as HTM those debt securities that the Company has the positive intent and ability to hold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Securities classified as trading are those securities that are bought and held principally for the purpose of selling them in the near term. All other debt and equity securities are classified as AFS. Securities held-to-maturity are accounted for at cost and adjusted for amortization of premiums and accretion of discounts. Trading securities are accounted for at fair value with the unrealized gains and losses being included in current earnings. Available-for-sale securities are accounted for at fair value, with the net unrealized gains and losses, net of income tax effects, presented as a separate component of stockholders’ equity. Realized gains and losses on sales of securities are recognized in earnings at the time of sale and are determined on a specific-identification basis. Purchase premiums and discounts are recognized in interest income using the effective-yield method over the estimated terms of the securities. For mortgage-backed securities (“MBS”), the amortization or accretion is based on estimated average lives of the securities. The lives of these securities can fluctuate based on the amount of prepayments received on the underlying collateral of the securities. The Company’s investment in the Federal Home Loan Bank of San Francisco (“FHLB”) stock is carried at cost.</w:t>
      </w:r>
    </w:p>
    <w:p>
      <w:pPr>
        <w:spacing w:after="0" w:line="162" w:lineRule="exact"/>
        <w:rPr>
          <w:sz w:val="20"/>
          <w:szCs w:val="20"/>
          <w:color w:val="auto"/>
        </w:rPr>
      </w:pPr>
    </w:p>
    <w:p>
      <w:pPr>
        <w:ind w:left="120" w:firstLine="551"/>
        <w:spacing w:after="0" w:line="255" w:lineRule="auto"/>
        <w:rPr>
          <w:sz w:val="20"/>
          <w:szCs w:val="20"/>
          <w:color w:val="auto"/>
        </w:rPr>
      </w:pPr>
      <w:r>
        <w:rPr>
          <w:rFonts w:ascii="Times New Roman" w:cs="Times New Roman" w:eastAsia="Times New Roman" w:hAnsi="Times New Roman"/>
          <w:sz w:val="18"/>
          <w:szCs w:val="18"/>
          <w:color w:val="auto"/>
        </w:rPr>
        <w:t>Effective January 1, 2020, upon the adoption of ASU No. 2016-13, “Financial Instruments — Credit Losses (Topic 326): Measurement of Credit Losses on Financial Instruments”, AFS debt securities are measured at fair value and are subject to impairment testing. A security is impaired if the fair value of the security is less than its amortized cost basis. When an available-for-sale debt security is considered impaired, the Company must determine if the decline in fair value has resulted from a credit-related loss or other factors and then, (1) recognize allowance for credit losses by a charge to earnings for the credit-related component (if any) of the decline in fair value, and (2) recognize in other comprehensive income (loss) non-credit related components of the fair value decline (if any). If the amount of the amortized cost basis expected to be recovered increases in a future period, the valuation allowance would be reduced, but not more than the amount of the current existing allowance for that security.</w:t>
      </w:r>
    </w:p>
    <w:p>
      <w:pPr>
        <w:spacing w:after="0" w:line="148"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Prior to January 1, 2020, AFS debt securities were measured at fair value and declines in the fair value were reviewed to determine whether the impairment was other-than-temporary (“OTTI”). If the decline in fair value was considered temporary, the decline in fair value below the amortized cost basis of a security was recognized in other comprehensive income (loss). If the entire amortized cost basis of the security was not expected to be recovered, then an other-than-temporary impairment was considered to have occurred. The cost basis of the security was written down to its estimated fair value and the amount of the write-down was recognized through a charge to earnings. If the amount of the amortized cost basis expected to be recovered increased in a future period, the cost basis of the security would not be increased but rather recognized prospectively through interest income.</w:t>
      </w:r>
    </w:p>
    <w:p>
      <w:pPr>
        <w:spacing w:after="0" w:line="143" w:lineRule="exact"/>
        <w:rPr>
          <w:sz w:val="20"/>
          <w:szCs w:val="20"/>
          <w:color w:val="auto"/>
        </w:rPr>
      </w:pPr>
    </w:p>
    <w:p>
      <w:pPr>
        <w:ind w:left="120" w:right="60" w:firstLine="55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and Lease Finance Receivables </w:t>
      </w:r>
      <w:r>
        <w:rPr>
          <w:rFonts w:ascii="Times New Roman" w:cs="Times New Roman" w:eastAsia="Times New Roman" w:hAnsi="Times New Roman"/>
          <w:sz w:val="18"/>
          <w:szCs w:val="18"/>
          <w:color w:val="auto"/>
        </w:rPr>
        <w:t>— Loans and lease finance receivables that management has the intent and ability to hold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foreseeable future or until maturity or payoff are reported at the principal balance outstanding, net of nonaccrual interest paid (“NAIP”), deferred loan origination fees and costs, and purchase price discounts and premiums (amortized cost basis). Refer to Note 6 — </w:t>
      </w:r>
      <w:r>
        <w:rPr>
          <w:rFonts w:ascii="Times New Roman" w:cs="Times New Roman" w:eastAsia="Times New Roman" w:hAnsi="Times New Roman"/>
          <w:sz w:val="18"/>
          <w:szCs w:val="18"/>
          <w:i w:val="1"/>
          <w:iCs w:val="1"/>
          <w:color w:val="auto"/>
        </w:rPr>
        <w:t>Loans and Lease Finance Receivables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Allowance for Credit Losses </w:t>
      </w:r>
      <w:r>
        <w:rPr>
          <w:rFonts w:ascii="Times New Roman" w:cs="Times New Roman" w:eastAsia="Times New Roman" w:hAnsi="Times New Roman"/>
          <w:sz w:val="18"/>
          <w:szCs w:val="18"/>
          <w:color w:val="auto"/>
        </w:rPr>
        <w:t>for total loans, by type.</w:t>
      </w:r>
    </w:p>
    <w:p>
      <w:pPr>
        <w:spacing w:after="0" w:line="153" w:lineRule="exact"/>
        <w:rPr>
          <w:sz w:val="20"/>
          <w:szCs w:val="20"/>
          <w:color w:val="auto"/>
        </w:rPr>
      </w:pPr>
    </w:p>
    <w:p>
      <w:pPr>
        <w:ind w:left="120" w:right="40" w:firstLine="551"/>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commitments to extend credit to its customers. To the extent that such commitments are unfunded, the related unfunded amounts are not reflected in the accompanying consolidated financial statements.</w:t>
      </w:r>
    </w:p>
    <w:p>
      <w:pPr>
        <w:spacing w:after="0" w:line="121" w:lineRule="exact"/>
        <w:rPr>
          <w:sz w:val="20"/>
          <w:szCs w:val="20"/>
          <w:color w:val="auto"/>
        </w:rPr>
      </w:pPr>
    </w:p>
    <w:p>
      <w:pPr>
        <w:ind w:left="120" w:right="220" w:firstLine="551"/>
        <w:spacing w:after="0" w:line="261" w:lineRule="auto"/>
        <w:rPr>
          <w:sz w:val="20"/>
          <w:szCs w:val="20"/>
          <w:color w:val="auto"/>
        </w:rPr>
      </w:pPr>
      <w:r>
        <w:rPr>
          <w:rFonts w:ascii="Times New Roman" w:cs="Times New Roman" w:eastAsia="Times New Roman" w:hAnsi="Times New Roman"/>
          <w:sz w:val="18"/>
          <w:szCs w:val="18"/>
          <w:color w:val="auto"/>
        </w:rPr>
        <w:t>The Company receives collateral to support loans, lease finance receivables, and commitments to extend credit for which collateral is deemed necessary. The most significant categories for which collateral is deemed necessary are real estate, principally commercial and industrial income-producing properties, Small Business Administration (“SBA”) loans, real estate mortgages, assets utilized in dairy &amp; livestock and agribusiness, and various personal property assets utilized in commercial and industrial business governed by the Uniform Commercial Code.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82" w:right="4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551"/>
        <w:spacing w:after="0" w:line="266" w:lineRule="auto"/>
        <w:rPr>
          <w:sz w:val="20"/>
          <w:szCs w:val="20"/>
          <w:color w:val="auto"/>
        </w:rPr>
      </w:pPr>
      <w:r>
        <w:rPr>
          <w:rFonts w:ascii="Times New Roman" w:cs="Times New Roman" w:eastAsia="Times New Roman" w:hAnsi="Times New Roman"/>
          <w:sz w:val="18"/>
          <w:szCs w:val="18"/>
          <w:color w:val="auto"/>
        </w:rPr>
        <w:t>Nonrefundable fees and direct costs associated with the origination or purchase of loans are deferred and netted against outstanding loan balances. The deferred net loan fees and costs and purchase price discounts are recognized in interest income over the loan term using the effective-yield method.</w:t>
      </w:r>
    </w:p>
    <w:p>
      <w:pPr>
        <w:spacing w:after="0" w:line="145" w:lineRule="exact"/>
        <w:rPr>
          <w:sz w:val="20"/>
          <w:szCs w:val="20"/>
          <w:color w:val="auto"/>
        </w:rPr>
      </w:pPr>
    </w:p>
    <w:p>
      <w:pPr>
        <w:ind w:left="120" w:right="20" w:firstLine="55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Nonaccrual, Past Due, Charge-Offs and Recoveries </w:t>
      </w:r>
      <w:r>
        <w:rPr>
          <w:rFonts w:ascii="Times New Roman" w:cs="Times New Roman" w:eastAsia="Times New Roman" w:hAnsi="Times New Roman"/>
          <w:sz w:val="18"/>
          <w:szCs w:val="18"/>
          <w:color w:val="auto"/>
        </w:rPr>
        <w:t>— Interest on loans and lease finance receivables, is credited to income based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amounts of such loans or receivables outstanding. Loans are considered delinquent when principal or interest payments are past due 30 days or more and generally remain on accrual status between 30 and 89 days past due. Loans on which the accrual of interest has been discontinued are designated as nonaccrual loans. In general, interest shall not accrue on any loan for which payment in full of principal and interest is not expected, or when the loan becomes 90 days past due, unless the loan is both well secured and in the process of collection. Factors considered in determining that the full collection of principal and interest is no longer probable include cash flow and liquidity of the borrower or property, the financial position of the guarantors and their willingness to support the loan as well as other factors, and this determination involves significant judgment. When an asset is placed on nonaccrual status, previously accrued but unpaid interest is reversed against income. Subsequent collections of cash are applied as reductions to the principal balance unless the loan is returned to accrual status. Interest is not recognized using a cash-basis method. Nonaccrual loans may be restored to accrual status when principal and interest become current and when the borrower is able to demonstrate payment performance for a sustained period, typically for six months. A nonaccrual loan may return to accrual status sooner based on other significant events or mitigating circumstances. Interest income is not recognized on loans and lease finance receivables when collection of interest is deemed by management to be doubtful. Charge-offs are recognized in the period an obligation becomes uncollectible. The charge-off of a credit does not necessarily mean that the loan has no potential recovery or salvage value, but rather that it is not practical or desirable to defer writing off the loan even though partial recovery may be affected in the future. When determining the amount of the charge-off, management considers all components of the loan’s amortized cost basis, excluding accrued interest receivable (as disclosed herein); however, the non-principal portion of charge-offs have been determined to be immaterial. This policy is consistently applied to all types of loans and lease finance receivables.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Charge-offs of unsecured consumer loans are recorded when the loan reaches 120 days past due or sooner as circumstances indicate.</w:t>
      </w:r>
    </w:p>
    <w:p>
      <w:pPr>
        <w:spacing w:after="0" w:line="221" w:lineRule="exact"/>
        <w:rPr>
          <w:sz w:val="20"/>
          <w:szCs w:val="20"/>
          <w:color w:val="auto"/>
        </w:rPr>
      </w:pPr>
    </w:p>
    <w:p>
      <w:pPr>
        <w:ind w:left="120" w:right="180" w:firstLine="55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Purchased Loans </w:t>
      </w:r>
      <w:r>
        <w:rPr>
          <w:rFonts w:ascii="Times New Roman" w:cs="Times New Roman" w:eastAsia="Times New Roman" w:hAnsi="Times New Roman"/>
          <w:sz w:val="18"/>
          <w:szCs w:val="18"/>
          <w:color w:val="auto"/>
        </w:rPr>
        <w:t>— All purchased loans are initially measured and recorded at their fair value on the acquisition date. A component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 fair value measurement is an estimate of the credit losses over the life of the purchased loans. Purchased loans are also evaluated to determine if there is a more than insignificant deterioration of credit since origination. With the adoption of ASU 2016-13 on January 1, 2020, PCD assets are recorded at their purchase price plus an ACL estimated at the time of acquisition as described below.</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Purchased Loans with Credit Deterioration</w:t>
      </w:r>
    </w:p>
    <w:p>
      <w:pPr>
        <w:spacing w:after="0" w:line="200" w:lineRule="exact"/>
        <w:rPr>
          <w:sz w:val="20"/>
          <w:szCs w:val="20"/>
          <w:color w:val="auto"/>
        </w:rPr>
      </w:pPr>
    </w:p>
    <w:p>
      <w:pPr>
        <w:ind w:left="120" w:right="20" w:firstLine="551"/>
        <w:spacing w:after="0" w:line="256" w:lineRule="auto"/>
        <w:rPr>
          <w:sz w:val="20"/>
          <w:szCs w:val="20"/>
          <w:color w:val="auto"/>
        </w:rPr>
      </w:pPr>
      <w:r>
        <w:rPr>
          <w:rFonts w:ascii="Times New Roman" w:cs="Times New Roman" w:eastAsia="Times New Roman" w:hAnsi="Times New Roman"/>
          <w:sz w:val="18"/>
          <w:szCs w:val="18"/>
          <w:color w:val="auto"/>
        </w:rPr>
        <w:t>Effective January 1, 2020, ASU 2016-13 eliminated the existing guidance for PCI loans, but requires an allowance for purchased financial assets with more than an insignificant deterioration of credit since origination. The acquisition-date allowance for credit losses (“ACL”) for PCD loans will be allocated to the individual PCD loans (assuming it was originally determined on a collective basis). The sum of the purchase price of the loan (the acquisition date fair value for a loan acquired in a business combination) and the ACL becomes the loan’s new amortized cost basis. The difference between the new amortized cost basis and the unpaid principal balance of the loan represents the non-credit purchase premium or discount that will be amortized or accreted into interest income over the remaining life of the loan.</w:t>
      </w:r>
    </w:p>
    <w:p>
      <w:pPr>
        <w:spacing w:after="0" w:line="147" w:lineRule="exact"/>
        <w:rPr>
          <w:sz w:val="20"/>
          <w:szCs w:val="20"/>
          <w:color w:val="auto"/>
        </w:rPr>
      </w:pPr>
    </w:p>
    <w:p>
      <w:pPr>
        <w:ind w:left="120" w:right="200" w:firstLine="551"/>
        <w:spacing w:after="0" w:line="266" w:lineRule="auto"/>
        <w:rPr>
          <w:sz w:val="20"/>
          <w:szCs w:val="20"/>
          <w:color w:val="auto"/>
        </w:rPr>
      </w:pPr>
      <w:r>
        <w:rPr>
          <w:rFonts w:ascii="Times New Roman" w:cs="Times New Roman" w:eastAsia="Times New Roman" w:hAnsi="Times New Roman"/>
          <w:sz w:val="18"/>
          <w:szCs w:val="18"/>
          <w:color w:val="auto"/>
        </w:rPr>
        <w:t>Subsequent to acquisition, the ACL for PCD loans will generally follow the same estimation, provision and charge-off process as non-PCD acquired and originated loans. Additionally, TDR identification for acquired loans (PCD and non-PCD) will be consistent with the TDR identification for originated loans.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551"/>
        <w:spacing w:after="0" w:line="266" w:lineRule="auto"/>
        <w:rPr>
          <w:sz w:val="20"/>
          <w:szCs w:val="20"/>
          <w:color w:val="auto"/>
        </w:rPr>
      </w:pPr>
      <w:r>
        <w:rPr>
          <w:rFonts w:ascii="Times New Roman" w:cs="Times New Roman" w:eastAsia="Times New Roman" w:hAnsi="Times New Roman"/>
          <w:sz w:val="18"/>
          <w:szCs w:val="18"/>
          <w:color w:val="auto"/>
        </w:rPr>
        <w:t>Prior to January 1, 2020, purchased credit impaired loans were accounted for in accordance with ASC Subtopic 310-30, “Loans and Debt Securities Acquired with Deteriorated Credit Quality.” At the time of acquisition, these loans were recorded at estimated fair value based upon estimated future cash flows with no related allowance for credit losses.</w:t>
      </w:r>
    </w:p>
    <w:p>
      <w:pPr>
        <w:spacing w:after="0" w:line="147" w:lineRule="exact"/>
        <w:rPr>
          <w:sz w:val="20"/>
          <w:szCs w:val="20"/>
          <w:color w:val="auto"/>
        </w:rPr>
      </w:pPr>
    </w:p>
    <w:p>
      <w:pPr>
        <w:ind w:left="120" w:firstLine="55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Acquired non-impaired loans (prior to adoption of CECL) — </w:t>
      </w:r>
      <w:r>
        <w:rPr>
          <w:rFonts w:ascii="Times New Roman" w:cs="Times New Roman" w:eastAsia="Times New Roman" w:hAnsi="Times New Roman"/>
          <w:sz w:val="18"/>
          <w:szCs w:val="18"/>
          <w:color w:val="auto"/>
        </w:rPr>
        <w:t>Acquired non-impaired loans are those loans for which there was no evidence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deterioration at their acquisition date and it was probable that we would be able to collect all contractually required payments. Acquired non-impaired loans, together with originated loans, were referred to as Non-PCI loans. Purchase discounts or premiums on acquired non-impaired loans were recognized as an adjustment to interest income over the contractual life of such loans using the effective interest method or were taken into income when the related loans were paid off or sold.</w:t>
      </w:r>
    </w:p>
    <w:p>
      <w:pPr>
        <w:spacing w:after="0" w:line="141" w:lineRule="exact"/>
        <w:rPr>
          <w:sz w:val="20"/>
          <w:szCs w:val="20"/>
          <w:color w:val="auto"/>
        </w:rPr>
      </w:pPr>
    </w:p>
    <w:p>
      <w:pPr>
        <w:ind w:left="120" w:right="140" w:firstLine="5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Troubled Debt Restructurings </w:t>
      </w:r>
      <w:r>
        <w:rPr>
          <w:rFonts w:ascii="Times New Roman" w:cs="Times New Roman" w:eastAsia="Times New Roman" w:hAnsi="Times New Roman"/>
          <w:sz w:val="18"/>
          <w:szCs w:val="18"/>
          <w:color w:val="auto"/>
        </w:rPr>
        <w:t>— Loans are reported as a Troubled Debt Restructuring (“TDR”) if the borrower is deemed to be financially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troubled, and the Company grants a concession to the debtor that it would not otherwise consider. Types of modifications that may be considered concessions, which in turn result in a TDR include, but are not limited to, (i) a reduction of the stated interest rate for the remaining original life of the debt, (ii) an extension of the maturity date or dates at a stated interest rate lower than the current market rate for new debt with similar risk, (iii) a reduction of the face amount or maturity amount of the debt as stated in the instrument or other agreement, or (iv) a reduction of interest. As a result of these concessions, restructured loans are considered impaired.</w:t>
      </w:r>
    </w:p>
    <w:p>
      <w:pPr>
        <w:spacing w:after="0" w:line="146" w:lineRule="exact"/>
        <w:rPr>
          <w:sz w:val="20"/>
          <w:szCs w:val="20"/>
          <w:color w:val="auto"/>
        </w:rPr>
      </w:pPr>
    </w:p>
    <w:p>
      <w:pPr>
        <w:ind w:left="120" w:firstLine="551"/>
        <w:spacing w:after="0" w:line="266" w:lineRule="auto"/>
        <w:rPr>
          <w:sz w:val="20"/>
          <w:szCs w:val="20"/>
          <w:color w:val="auto"/>
        </w:rPr>
      </w:pPr>
      <w:r>
        <w:rPr>
          <w:rFonts w:ascii="Times New Roman" w:cs="Times New Roman" w:eastAsia="Times New Roman" w:hAnsi="Times New Roman"/>
          <w:sz w:val="18"/>
          <w:szCs w:val="18"/>
          <w:color w:val="auto"/>
        </w:rPr>
        <w:t>In situations where the Company has determined that the borrower is experiencing financial difficulties and is evaluating whether a concession is insignificant, and therefore does not result in a TDR, such analysis is based on an evaluation of both the amount and the timing of the restructured payments, including the following factors:</w:t>
      </w:r>
    </w:p>
    <w:p>
      <w:pPr>
        <w:spacing w:after="0" w:line="81" w:lineRule="exact"/>
        <w:rPr>
          <w:sz w:val="20"/>
          <w:szCs w:val="20"/>
          <w:color w:val="auto"/>
        </w:rPr>
      </w:pPr>
    </w:p>
    <w:p>
      <w:pPr>
        <w:ind w:left="1420" w:right="80" w:hanging="319"/>
        <w:spacing w:after="0" w:line="282"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the restructured payments subject to delay is insignificant relative to the unpaid principal balance or collateral value of the debt and will result in an insignificant shortfall in the contractual amount due; and</w:t>
      </w:r>
    </w:p>
    <w:p>
      <w:pPr>
        <w:spacing w:after="0" w:line="67"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is insignificant relative to any of the following:</w:t>
      </w:r>
    </w:p>
    <w:p>
      <w:pPr>
        <w:spacing w:after="0" w:line="130"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of payments due;</w:t>
      </w:r>
    </w:p>
    <w:p>
      <w:pPr>
        <w:spacing w:after="0" w:line="27"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debt’s original contractual maturity; or</w:t>
      </w:r>
    </w:p>
    <w:p>
      <w:pPr>
        <w:spacing w:after="0" w:line="9"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debt’s original expected duration.</w:t>
      </w:r>
    </w:p>
    <w:p>
      <w:pPr>
        <w:spacing w:after="0" w:line="180" w:lineRule="exact"/>
        <w:rPr>
          <w:sz w:val="20"/>
          <w:szCs w:val="20"/>
          <w:color w:val="auto"/>
        </w:rPr>
      </w:pPr>
    </w:p>
    <w:p>
      <w:pPr>
        <w:ind w:left="120" w:right="20" w:firstLine="551"/>
        <w:spacing w:after="0" w:line="258" w:lineRule="auto"/>
        <w:rPr>
          <w:sz w:val="20"/>
          <w:szCs w:val="20"/>
          <w:color w:val="auto"/>
        </w:rPr>
      </w:pPr>
      <w:r>
        <w:rPr>
          <w:rFonts w:ascii="Times New Roman" w:cs="Times New Roman" w:eastAsia="Times New Roman" w:hAnsi="Times New Roman"/>
          <w:sz w:val="18"/>
          <w:szCs w:val="18"/>
          <w:color w:val="auto"/>
        </w:rPr>
        <w:t>Nonaccrual restructured loans are included and treated with all other nonaccrual loans. In addition, all accruing restructured loans are reported as TDRs, which are considered and accounted for as impaired loans. A loan that has been placed on nonaccrual status that is subsequently restructured will remain on nonaccrual status until the borrower is able to demonstrate repayment performance in compliance with the restructured terms for a sustained period of time, generally for a minimum of six months. A restructured loan may return to accrual status sooner based on other significant events or circumstances.</w:t>
      </w:r>
    </w:p>
    <w:p>
      <w:pPr>
        <w:spacing w:after="0" w:line="139" w:lineRule="exact"/>
        <w:rPr>
          <w:sz w:val="20"/>
          <w:szCs w:val="20"/>
          <w:color w:val="auto"/>
        </w:rPr>
      </w:pPr>
    </w:p>
    <w:p>
      <w:pPr>
        <w:ind w:left="120" w:firstLine="55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Impaired Loans (prior to adoption of CECL) </w:t>
      </w:r>
      <w:r>
        <w:rPr>
          <w:rFonts w:ascii="Times New Roman" w:cs="Times New Roman" w:eastAsia="Times New Roman" w:hAnsi="Times New Roman"/>
          <w:sz w:val="18"/>
          <w:szCs w:val="18"/>
          <w:color w:val="auto"/>
        </w:rPr>
        <w:t>— Following the adoption of CECL as of January 1, 2020, the definitions of impairment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impaired loan disclosures were removed. Prior to January 1, 2020, a loan was generally considered impaired when based on current events and information it was probable that the Company would unable to collect all amounts due according to the contractual terms of the loan agreement. A loan, including a restructured loan, for which there is an insignificant delay relative to the frequency of payments due, and/or the original contractual maturity, was not considered an impaired loan. Generally, impaired loans include loans on nonaccrual status and TDRs.</w:t>
      </w:r>
    </w:p>
    <w:p>
      <w:pPr>
        <w:spacing w:after="0" w:line="143" w:lineRule="exact"/>
        <w:rPr>
          <w:sz w:val="20"/>
          <w:szCs w:val="20"/>
          <w:color w:val="auto"/>
        </w:rPr>
      </w:pPr>
    </w:p>
    <w:p>
      <w:pPr>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The Company’s policy was to record a specific valuation allowance, which was included in the allowance for loan losses, or to charge off that portion of an impaired loan that represented the impairment or shortfall amount as determined utilizing one of the three methods described in ASC 310-10-35-22. Impairment on non-collateral dependent restructured loans was measured by comparing the present value of expected future cash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flows on the restructured loans discounted at the interest rate of the original loan agreement to the loan’s carrying value. The impairment amount, if any, was generally charged off and recorded against the allowance for loan losses at the time impairment was measurable and a probable loss was determined. The Company measured impairment based on the present value of expected future cash flows discounted at the loan’s effective interest rate, except that as a practical expedient, the Company may also have measured impairment based on an observable market price for the loan, or the value of the collateral, for collateral dependent loans. Impairment on collateral dependent restructured loans was measured by determining the amount by which our recorded investment in the impaired loan exceeded the fair value of the collateral less estimated selling costs. The fair value was generally determined by one or more appraisals of the collateral, performed by a Company-approved third-party independent appraiser. The majority of impaired loans that were collateral dependent were charged off down to their estimated fair value of the collateral (less selling costs) at each reporting date based on current appraised value.</w:t>
      </w:r>
    </w:p>
    <w:p>
      <w:pPr>
        <w:spacing w:after="0" w:line="161"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Charge-offs of unsecured consumer loans are recorded when the loan reaches 120 days past due or sooner as circumstances indicate. Except for the charge-offs of unsecured consumer loans, the charge-off policy is applied consistently across all portfolio segments. Impaired single-family mortgage loans that have been modified in accordance with the various government modification programs are also measured based on the present value of the expected cash flows discounted at the loan’s pre-modification interest rate. The Company recognizes the change in present value attributable to the passage of time as interest income on such performing SFR mortgage loans and the amount of interest income recognized to date has been insignificant.</w:t>
      </w:r>
    </w:p>
    <w:p>
      <w:pPr>
        <w:spacing w:after="0" w:line="143" w:lineRule="exact"/>
        <w:rPr>
          <w:sz w:val="20"/>
          <w:szCs w:val="20"/>
          <w:color w:val="auto"/>
        </w:rPr>
      </w:pPr>
    </w:p>
    <w:p>
      <w:pPr>
        <w:ind w:left="120" w:right="20" w:firstLine="55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and Allowance for Credit Losses </w:t>
      </w:r>
      <w:r>
        <w:rPr>
          <w:rFonts w:ascii="Times New Roman" w:cs="Times New Roman" w:eastAsia="Times New Roman" w:hAnsi="Times New Roman"/>
          <w:sz w:val="18"/>
          <w:szCs w:val="18"/>
          <w:color w:val="auto"/>
        </w:rPr>
        <w:t>— On January 1, 2020, the Company adopted ASU No. 2016-13, “Financial Instruments —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Losses (Topic 326): Measurement of Credit Losses on Financial Instruments”. This ASU significantly changes how entities will measure credit losses for most financial assets and certain other instruments that are not measured at fair value through net income. This ASU replaces the current “incurred loss” approach with an “expected loss” model. The new model, referred to as the CECL model, applies to: (1) financial assets subject to credit losses and measured at amortized cost, and (2) certain off balance sheet credit exposures. This includes, but is not limited to, loans, HTM securities, loan commitments, and financial guarantees. AFS debt securities are measured at fair value and are subject to impairment testing. This ASU modifies the OTTI model for AFS debt securities to require an allowance for credit impairment instead of a direct write-down, which allows for reversal of credit impairments in future periods based on improvements in credit. When an AFS debt security is considered impaired, and the Company determines that the decline in fair value has resulted from a credit-related loss (as described previously under </w:t>
      </w:r>
      <w:r>
        <w:rPr>
          <w:rFonts w:ascii="Times New Roman" w:cs="Times New Roman" w:eastAsia="Times New Roman" w:hAnsi="Times New Roman"/>
          <w:sz w:val="18"/>
          <w:szCs w:val="18"/>
          <w:b w:val="1"/>
          <w:bCs w:val="1"/>
          <w:i w:val="1"/>
          <w:iCs w:val="1"/>
          <w:color w:val="auto"/>
        </w:rPr>
        <w:t>Investment Securities)</w:t>
      </w:r>
      <w:r>
        <w:rPr>
          <w:rFonts w:ascii="Times New Roman" w:cs="Times New Roman" w:eastAsia="Times New Roman" w:hAnsi="Times New Roman"/>
          <w:sz w:val="18"/>
          <w:szCs w:val="18"/>
          <w:color w:val="auto"/>
        </w:rPr>
        <w:t>, then an allowance for credit losses will be recognized by a charge to earnings for the credit-related component of the decline in fair value. As a result, we will recognize improvements to estimated credit losses immediately in earnings rather than as interest income over time, as required prior to the adoption of CECL. As a policy election, we exclude the accrued interest receivable balance from the amortized cost basis of financing receivables and HTM securities, as well as AFS securities, and disclose total accrued interest receivable separately on the condensed consolidated balance sheet. If accrued interest is not received, it is reversed against interest income, which was zero for 2020.</w:t>
      </w:r>
    </w:p>
    <w:p>
      <w:pPr>
        <w:spacing w:after="0" w:line="149" w:lineRule="exact"/>
        <w:rPr>
          <w:sz w:val="20"/>
          <w:szCs w:val="20"/>
          <w:color w:val="auto"/>
        </w:rPr>
      </w:pPr>
    </w:p>
    <w:p>
      <w:pPr>
        <w:ind w:left="120" w:right="20" w:firstLine="551"/>
        <w:spacing w:after="0" w:line="254" w:lineRule="auto"/>
        <w:rPr>
          <w:sz w:val="20"/>
          <w:szCs w:val="20"/>
          <w:color w:val="auto"/>
        </w:rPr>
      </w:pPr>
      <w:r>
        <w:rPr>
          <w:rFonts w:ascii="Times New Roman" w:cs="Times New Roman" w:eastAsia="Times New Roman" w:hAnsi="Times New Roman"/>
          <w:sz w:val="18"/>
          <w:szCs w:val="18"/>
          <w:color w:val="auto"/>
        </w:rPr>
        <w:t>The Company developed allowance models that calculate reserves over the average life of the loan, which includes the remaining time to maturity, adjusted for estimated prepayments applied as an adjustment to our commercial real estate and commercial and industrial loans. The allowance is based upon lifetime loss rate models developed from an estimation framework that uses historical lifetime loss experiences to derive loss rates at a collective pool level,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 collective basis.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SBA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2"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loans (excluding Payment Protection Program loans). The collective ACL methodologies include an estimation framework that uses loss experiences of data sets of unique loans aggregated by each pool, respectively, to derive loss rates at the pool level during the average life of the underlying loans. Our ACL amounts are largely driven by portfolio characteristics, including loss history, Original Loan to Value Ratios (“OLTV”), internal risk grading, macroeconomic variables and the associated economic outlook, as well as other key methodology assumptions.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2-3, of the reasonable and supportable forecast period, with the reversion largely completed within the first five years of the forecast. The economic forecast is based on probability weighted scenarios to address macroeconomic uncertainty.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67" w:lineRule="exact"/>
        <w:rPr>
          <w:sz w:val="20"/>
          <w:szCs w:val="20"/>
          <w:color w:val="auto"/>
        </w:rPr>
      </w:pPr>
    </w:p>
    <w:p>
      <w:pPr>
        <w:ind w:left="120" w:right="140" w:firstLine="551"/>
        <w:spacing w:after="0" w:line="258" w:lineRule="auto"/>
        <w:rPr>
          <w:sz w:val="20"/>
          <w:szCs w:val="20"/>
          <w:color w:val="auto"/>
        </w:rPr>
      </w:pPr>
      <w:r>
        <w:rPr>
          <w:rFonts w:ascii="Times New Roman" w:cs="Times New Roman" w:eastAsia="Times New Roman" w:hAnsi="Times New Roman"/>
          <w:sz w:val="18"/>
          <w:szCs w:val="18"/>
          <w:color w:val="auto"/>
        </w:rPr>
        <w:t>We monitor credit quality by evaluating various risk attributes and utilize such information in our evaluation of the appropriateness of the allowance for credit losses. An important element of our approach to credit risk management is our loan risk rating system (Pass, Special Mention, Substandard, Doubtful and Loss). Loan risk ratings are updated as facts related to the loan or borrower become available. In addition, all term loans in excess of $1.0 million are subject to an annual internal credit review process where all factors underlying the loan, borrower and guarantors are subject to review which may result in changes to the loan’s risk rating.</w:t>
      </w:r>
    </w:p>
    <w:p>
      <w:pPr>
        <w:spacing w:after="0" w:line="143" w:lineRule="exact"/>
        <w:rPr>
          <w:sz w:val="20"/>
          <w:szCs w:val="20"/>
          <w:color w:val="auto"/>
        </w:rPr>
      </w:pPr>
    </w:p>
    <w:p>
      <w:pPr>
        <w:ind w:left="120" w:right="540" w:firstLine="551"/>
        <w:spacing w:after="0" w:line="282" w:lineRule="auto"/>
        <w:rPr>
          <w:sz w:val="20"/>
          <w:szCs w:val="20"/>
          <w:color w:val="auto"/>
        </w:rPr>
      </w:pPr>
      <w:r>
        <w:rPr>
          <w:rFonts w:ascii="Times New Roman" w:cs="Times New Roman" w:eastAsia="Times New Roman" w:hAnsi="Times New Roman"/>
          <w:sz w:val="18"/>
          <w:szCs w:val="18"/>
          <w:color w:val="auto"/>
        </w:rPr>
        <w:t xml:space="preserve">Our methodology for assessing the appropriateness of the allowance is conducted on a regular basis and considers the Bank’s overall loan portfolio. Refer to Note 6 — </w:t>
      </w:r>
      <w:r>
        <w:rPr>
          <w:rFonts w:ascii="Times New Roman" w:cs="Times New Roman" w:eastAsia="Times New Roman" w:hAnsi="Times New Roman"/>
          <w:sz w:val="18"/>
          <w:szCs w:val="18"/>
          <w:i w:val="1"/>
          <w:iCs w:val="1"/>
          <w:color w:val="auto"/>
        </w:rPr>
        <w:t>Loans and Lease Finance Receivables and Allowance for Credit Losses, Credit Quality Indicators</w:t>
      </w:r>
    </w:p>
    <w:p>
      <w:pPr>
        <w:spacing w:after="0" w:line="117" w:lineRule="exact"/>
        <w:rPr>
          <w:sz w:val="20"/>
          <w:szCs w:val="20"/>
          <w:color w:val="auto"/>
        </w:rPr>
      </w:pPr>
    </w:p>
    <w:p>
      <w:pPr>
        <w:ind w:left="120" w:firstLine="5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and Allowance for Loan Losses (“ALLL”) — </w:t>
      </w:r>
      <w:r>
        <w:rPr>
          <w:rFonts w:ascii="Times New Roman" w:cs="Times New Roman" w:eastAsia="Times New Roman" w:hAnsi="Times New Roman"/>
          <w:sz w:val="18"/>
          <w:szCs w:val="18"/>
          <w:color w:val="auto"/>
        </w:rPr>
        <w:t>Prior to adoption of CECL, the allowance for loan losses was management’s estimate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probable losses inherent in the loan and lease receivables portfolio. The allowance was increased by the provision for loan losses and recoveries of prior loan losses, and it was decreased by recapture of provision for loan losses and by charge-offs taken when management believed the uncollectability of any loan was confirmed. Subsequent recoveries, if any, were added to the allowance. The determination of the balance in the allowance for loan losses was based on an analysis of the loan and lease finance receivables portfolio using a systematic methodology and reflected an amount that, in management’s judgment, was appropriate to provide for probable loan losses inherent in the portfolio, after giving consideration to the character of the loan portfolio, current economic conditions, past loan loss experience, and such other factors that would deserve current recognition in estimating inherent loan losses.</w:t>
      </w:r>
    </w:p>
    <w:p>
      <w:pPr>
        <w:spacing w:after="0" w:line="162" w:lineRule="exact"/>
        <w:rPr>
          <w:sz w:val="20"/>
          <w:szCs w:val="20"/>
          <w:color w:val="auto"/>
        </w:rPr>
      </w:pPr>
    </w:p>
    <w:p>
      <w:pPr>
        <w:ind w:left="120" w:right="40" w:firstLine="551"/>
        <w:spacing w:after="0" w:line="253" w:lineRule="auto"/>
        <w:rPr>
          <w:sz w:val="20"/>
          <w:szCs w:val="20"/>
          <w:color w:val="auto"/>
        </w:rPr>
      </w:pPr>
      <w:r>
        <w:rPr>
          <w:rFonts w:ascii="Times New Roman" w:cs="Times New Roman" w:eastAsia="Times New Roman" w:hAnsi="Times New Roman"/>
          <w:sz w:val="18"/>
          <w:szCs w:val="18"/>
          <w:color w:val="auto"/>
        </w:rPr>
        <w:t>There were different qualitative risks for the loans in each portfolio segment. The construction and real estate segments’ predominant risk characteristic was the collateral and the geographic location of the property collateralizing the loan as well as the operating cash flow for commercial real estate properties. The commercial and industrial segment’s predominant risk characteristics were the cash flows of the businesses we lend to, the global cash flows and liquidity of the guarantors, as well as economic and market conditions. SBA 504 loans had risk characteristics that were similar to the real estate loan segment, while SBA 7(a) loans had risks that were similar to commercial and industrial loans. The dairy &amp; livestock segment’s predominant risk characteristics were milk and beef prices in the market as well as the cost of feed and cattle. The Agribusiness segment’s predominant risk characteristics were the supply and demand conditions of the product, production seasonality, the scale of operations and ability to control costs, the availability and cost of water, and operator experience. The municipal lease segment’s predominant risk characteristics were the municipality’s general financial condition and tax revenues or if applicable the specific project related financial condition. The consumer, auto and other segment’s predominant risk characteristics were employment and income levels as they relate to consumers and cash flows of the businesses as they relate to equipment and vehicle leases to businesses.</w:t>
      </w:r>
    </w:p>
    <w:p>
      <w:pPr>
        <w:spacing w:after="0" w:line="151" w:lineRule="exact"/>
        <w:rPr>
          <w:sz w:val="20"/>
          <w:szCs w:val="20"/>
          <w:color w:val="auto"/>
        </w:rPr>
      </w:pPr>
    </w:p>
    <w:p>
      <w:pPr>
        <w:ind w:left="120" w:right="100" w:firstLine="551"/>
        <w:spacing w:after="0" w:line="282" w:lineRule="auto"/>
        <w:rPr>
          <w:sz w:val="20"/>
          <w:szCs w:val="20"/>
          <w:color w:val="auto"/>
        </w:rPr>
      </w:pPr>
      <w:r>
        <w:rPr>
          <w:rFonts w:ascii="Times New Roman" w:cs="Times New Roman" w:eastAsia="Times New Roman" w:hAnsi="Times New Roman"/>
          <w:sz w:val="18"/>
          <w:szCs w:val="18"/>
          <w:color w:val="auto"/>
        </w:rPr>
        <w:t>The Company’s methodology is consistently applied across all portfolio segments taking into account the applicable historical loss rates and the qualitative factors applicable to each pool of loans. A key factor in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82"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Company’s methodology is the loan risk rating (Pass, Special Mention, Substandard, Doubtful and Loss). Loan risk ratings are updated as facts related to the loan or borrower become available. In addition, all term loans in excess of $1.0 million are subject to an annual internal credit review process where all factors underlying the loan, borrower and guarantors are subject to review which may result in changes to the loan’s risk rating.</w:t>
      </w:r>
    </w:p>
    <w:p>
      <w:pPr>
        <w:spacing w:after="0" w:line="149" w:lineRule="exact"/>
        <w:rPr>
          <w:sz w:val="20"/>
          <w:szCs w:val="20"/>
          <w:color w:val="auto"/>
        </w:rPr>
      </w:pPr>
    </w:p>
    <w:p>
      <w:pPr>
        <w:ind w:left="120" w:right="200" w:firstLine="551"/>
        <w:spacing w:after="0" w:line="261" w:lineRule="auto"/>
        <w:rPr>
          <w:sz w:val="20"/>
          <w:szCs w:val="20"/>
          <w:color w:val="auto"/>
        </w:rPr>
      </w:pPr>
      <w:r>
        <w:rPr>
          <w:rFonts w:ascii="Times New Roman" w:cs="Times New Roman" w:eastAsia="Times New Roman" w:hAnsi="Times New Roman"/>
          <w:sz w:val="18"/>
          <w:szCs w:val="18"/>
          <w:color w:val="auto"/>
        </w:rPr>
        <w:t>Our methodology for assessing the appropriateness of the allowance is conducted on a regular basis and considers the Bank’s overall loan portfolio. Periodically, we assess various attributes utilized in adjusting our historical loss factors to reflect current economic conditions. The methodology is consistently applied across all the portfolio segments taking into account the applicable historical loss rates and the qualitative factors applicable to each pool of loans.</w:t>
      </w:r>
    </w:p>
    <w:p>
      <w:pPr>
        <w:spacing w:after="0" w:line="139" w:lineRule="exact"/>
        <w:rPr>
          <w:sz w:val="20"/>
          <w:szCs w:val="20"/>
          <w:color w:val="auto"/>
        </w:rPr>
      </w:pPr>
    </w:p>
    <w:p>
      <w:pPr>
        <w:jc w:val="both"/>
        <w:ind w:left="120" w:right="140" w:firstLine="551"/>
        <w:spacing w:after="0" w:line="266" w:lineRule="auto"/>
        <w:rPr>
          <w:sz w:val="20"/>
          <w:szCs w:val="20"/>
          <w:color w:val="auto"/>
        </w:rPr>
      </w:pPr>
      <w:r>
        <w:rPr>
          <w:rFonts w:ascii="Times New Roman" w:cs="Times New Roman" w:eastAsia="Times New Roman" w:hAnsi="Times New Roman"/>
          <w:sz w:val="18"/>
          <w:szCs w:val="18"/>
          <w:color w:val="auto"/>
        </w:rPr>
        <w:t>Prior to January 1, 2020, performing loans acquired through business combinations were evaluated separately by each acquired portfolio using the ALLL methodology. The results of the ALLL methodology were compared to the remaining fair value discounts by portfolio. If the remaining fair value discounts were determined to be insufficient, the allowance was increased to reflect the additional risk in the portfolio.</w:t>
      </w:r>
    </w:p>
    <w:p>
      <w:pPr>
        <w:spacing w:after="0" w:line="131" w:lineRule="exact"/>
        <w:rPr>
          <w:sz w:val="20"/>
          <w:szCs w:val="20"/>
          <w:color w:val="auto"/>
        </w:rPr>
      </w:pPr>
    </w:p>
    <w:p>
      <w:pPr>
        <w:ind w:left="120" w:right="40" w:firstLine="5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Reserve for Unfunded Loan Commitments </w:t>
      </w:r>
      <w:r>
        <w:rPr>
          <w:rFonts w:ascii="Times New Roman" w:cs="Times New Roman" w:eastAsia="Times New Roman" w:hAnsi="Times New Roman"/>
          <w:sz w:val="18"/>
          <w:szCs w:val="18"/>
          <w:color w:val="auto"/>
        </w:rPr>
        <w:t>— The reserve for off-balance sheet credit exposure relates to commitments to extend credit, letters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credit and undisbursed funds on lines of credit. The Company evaluates credit risk associated with the off-balance sheet loan commitments in the same manner as it evaluates credit risk associated with the loan and lease portfolio. Effective January 1, 2020, the reserve is calculated on the expected portion of the commitment to be funded over its life and the life of the commitment loss expectation, utilizing the same three collective pool methodologies described for the Allowance for Credit Losses. We include the reserve for unfunded loan commitments in other liabilities and the related provision in other noninterest expense.</w:t>
      </w:r>
    </w:p>
    <w:p>
      <w:pPr>
        <w:spacing w:after="0" w:line="159" w:lineRule="exact"/>
        <w:rPr>
          <w:sz w:val="20"/>
          <w:szCs w:val="20"/>
          <w:color w:val="auto"/>
        </w:rPr>
      </w:pPr>
    </w:p>
    <w:p>
      <w:pPr>
        <w:ind w:left="120" w:firstLine="551"/>
        <w:spacing w:after="0" w:line="258" w:lineRule="auto"/>
        <w:rPr>
          <w:sz w:val="20"/>
          <w:szCs w:val="20"/>
          <w:color w:val="auto"/>
        </w:rPr>
      </w:pPr>
      <w:r>
        <w:rPr>
          <w:rFonts w:ascii="Times New Roman" w:cs="Times New Roman" w:eastAsia="Times New Roman" w:hAnsi="Times New Roman"/>
          <w:sz w:val="18"/>
          <w:szCs w:val="18"/>
          <w:color w:val="auto"/>
        </w:rPr>
        <w:t>Prior to adoption of CECL, we used the historical loan loss factors described under our allowance for loan losses to calculate the loan loss experience if unfunded loan commitments were funded. Separately, we used historical trends to calculate a probability of an unfunded loan commitment being funded. We applied the loan funding probability factor to risk-factor adjusted unfunded loan commitments by credit risk-rating to derive the reserve for unfunded loan commitments, similar to funded loans. The reserve for unfunded loan commitments also included certain qualitative allocations as deemed appropriate by management.</w:t>
      </w:r>
    </w:p>
    <w:p>
      <w:pPr>
        <w:spacing w:after="0" w:line="139" w:lineRule="exact"/>
        <w:rPr>
          <w:sz w:val="20"/>
          <w:szCs w:val="20"/>
          <w:color w:val="auto"/>
        </w:rPr>
      </w:pPr>
    </w:p>
    <w:p>
      <w:pPr>
        <w:ind w:left="120" w:right="40" w:firstLine="55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Real Estate Owned </w:t>
      </w:r>
      <w:r>
        <w:rPr>
          <w:rFonts w:ascii="Times New Roman" w:cs="Times New Roman" w:eastAsia="Times New Roman" w:hAnsi="Times New Roman"/>
          <w:sz w:val="18"/>
          <w:szCs w:val="18"/>
          <w:color w:val="auto"/>
        </w:rPr>
        <w:t>— Other real estate owned (“OREO”) represents real estate acquired through foreclosure in lieu of repayment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and real estate loans and is stated at fair value, less estimated costs to sell (fair value at time of foreclosure). Loan balances in excess of fair value of the real estate acquired at the date of acquisition are charged against the allowance for credit losses. Any subsequent operating expenses or income, reduction in estimated values, and gains or losses on disposition of such properties are charged to current operations. Gain recognition upon disposition of a property is dependent on the sale having met certain criteria relating to the buyer’s initial investment in the property sold.</w:t>
      </w:r>
    </w:p>
    <w:p>
      <w:pPr>
        <w:spacing w:after="0" w:line="139" w:lineRule="exact"/>
        <w:rPr>
          <w:sz w:val="20"/>
          <w:szCs w:val="20"/>
          <w:color w:val="auto"/>
        </w:rPr>
      </w:pPr>
    </w:p>
    <w:p>
      <w:pPr>
        <w:ind w:left="120" w:right="2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Premises and Equipment </w:t>
      </w:r>
      <w:r>
        <w:rPr>
          <w:rFonts w:ascii="Times New Roman" w:cs="Times New Roman" w:eastAsia="Times New Roman" w:hAnsi="Times New Roman"/>
          <w:sz w:val="18"/>
          <w:szCs w:val="18"/>
          <w:color w:val="auto"/>
        </w:rPr>
        <w:t>— Premises and equipment are stated at cost, less accumulated depreciation, which is provided for in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sufficient to relate the cost of depreciable assets to operations over the estimated service lives of the respective asset and are computed on a straight-line basis. The ranges of useful lives of the principal classes of assets are as follows:</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Bank premises</w:t>
            </w:r>
          </w:p>
        </w:tc>
        <w:tc>
          <w:tcPr>
            <w:tcW w:w="54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15 - 39 years</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Shorter of estimated economic lives of 15 years or term of the lease.</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71" w:lineRule="exact"/>
        <w:rPr>
          <w:sz w:val="20"/>
          <w:szCs w:val="20"/>
          <w:color w:val="auto"/>
        </w:rPr>
      </w:pPr>
    </w:p>
    <w:p>
      <w:pPr>
        <w:jc w:val="both"/>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Long-lived assets are reviewed periodically for impairment when events or changes in circumstances indicate that the carrying amount may not be recoverable. The existence of impairment is based on undiscounted cash flows. To the extent impairment exists, the impairment is calculated as the difference in fair value of assets and their carrying value. The impairment loss, if any, would be recorded in noninterest expense.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82" w:right="49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551"/>
        <w:spacing w:after="0" w:line="282" w:lineRule="auto"/>
        <w:rPr>
          <w:sz w:val="20"/>
          <w:szCs w:val="20"/>
          <w:color w:val="auto"/>
        </w:rPr>
      </w:pPr>
      <w:r>
        <w:rPr>
          <w:rFonts w:ascii="Times New Roman" w:cs="Times New Roman" w:eastAsia="Times New Roman" w:hAnsi="Times New Roman"/>
          <w:sz w:val="18"/>
          <w:szCs w:val="18"/>
          <w:color w:val="auto"/>
        </w:rPr>
        <w:t>Long-lived assets classified as held-for-sale are measured at the lower of its carrying amount or fair value less cost to sell. Assets-held-for sale include long-lived assets transferred from our “held-and-used” portfolio in the period in which the following criteria are met:</w:t>
      </w:r>
    </w:p>
    <w:p>
      <w:pPr>
        <w:spacing w:after="0" w:line="67" w:lineRule="exact"/>
        <w:rPr>
          <w:sz w:val="20"/>
          <w:szCs w:val="20"/>
          <w:color w:val="auto"/>
        </w:rPr>
      </w:pPr>
    </w:p>
    <w:p>
      <w:pPr>
        <w:ind w:left="1540" w:hanging="331"/>
        <w:spacing w:after="0"/>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having the authority to approve the action, commits to a plan to sell the asset;</w:t>
      </w:r>
    </w:p>
    <w:p>
      <w:pPr>
        <w:spacing w:after="0" w:line="130"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is available for immediate sale, an active program to locate a buyer and other actions required to complete the plan to sell the asset have been initiated;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asset is probable, and transfer of the asset is expected to qualify for recognition as a completed sale, within one year;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is being actively marketed for sale at a price that is reasonable in relation to its current fair value;</w:t>
      </w:r>
    </w:p>
    <w:p>
      <w:pPr>
        <w:spacing w:after="0" w:line="130"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required to complete the plan indicate that it is unlikely that significant changes to the plan will be made or that the plan will be withdrawn.</w:t>
      </w:r>
    </w:p>
    <w:p>
      <w:pPr>
        <w:spacing w:after="0" w:line="131" w:lineRule="exact"/>
        <w:rPr>
          <w:sz w:val="20"/>
          <w:szCs w:val="20"/>
          <w:color w:val="auto"/>
        </w:rPr>
      </w:pPr>
    </w:p>
    <w:p>
      <w:pPr>
        <w:ind w:left="120" w:right="200" w:firstLine="5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 Goodwill resulting from business combinations prior to January 1, 2009, represents the excess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price over the fair value of the net assets of the businesses acquired. Goodwill resulting from business combinations after January 1, 2009, is generally determined as the excess of the fair value of the consideration transferred, plus the fair value of any non-controlling interest in the acquiree, over the fair value of the net assets acquired and liabilities assumed as of the acquisition date. Goodwill and intangible assets acquired in a purchase business combination and determined to have an indefinite useful life are not amortized, but are tested for impairment at least annually, or more frequently, if events and circumstances exist that indicate that a goodwill impairment test should be performed.</w:t>
      </w:r>
    </w:p>
    <w:p>
      <w:pPr>
        <w:spacing w:after="0" w:line="146" w:lineRule="exact"/>
        <w:rPr>
          <w:sz w:val="20"/>
          <w:szCs w:val="20"/>
          <w:color w:val="auto"/>
        </w:rPr>
      </w:pPr>
    </w:p>
    <w:p>
      <w:pPr>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Intangible assets with definite useful lives are amortized over their estimated useful lives to their estimated residual values. Goodwill is the only intangible asset with an indefinite life on our balance sheets. Based on the Company’s annual impairment test, there was no recorded impairment as of December 31, 2020.</w:t>
      </w:r>
    </w:p>
    <w:p>
      <w:pPr>
        <w:spacing w:after="0" w:line="135" w:lineRule="exact"/>
        <w:rPr>
          <w:sz w:val="20"/>
          <w:szCs w:val="20"/>
          <w:color w:val="auto"/>
        </w:rPr>
      </w:pPr>
    </w:p>
    <w:p>
      <w:pPr>
        <w:ind w:left="120" w:right="480" w:firstLine="551"/>
        <w:spacing w:after="0" w:line="282" w:lineRule="auto"/>
        <w:rPr>
          <w:sz w:val="20"/>
          <w:szCs w:val="20"/>
          <w:color w:val="auto"/>
        </w:rPr>
      </w:pPr>
      <w:r>
        <w:rPr>
          <w:rFonts w:ascii="Times New Roman" w:cs="Times New Roman" w:eastAsia="Times New Roman" w:hAnsi="Times New Roman"/>
          <w:sz w:val="18"/>
          <w:szCs w:val="18"/>
          <w:color w:val="auto"/>
        </w:rPr>
        <w:t>Other intangible assets consist of core deposit intangible assets arising from business combinations and are amortized using an accelerated method over their estimated useful lives.</w:t>
      </w:r>
    </w:p>
    <w:p>
      <w:pPr>
        <w:spacing w:after="0" w:line="131"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Fair Value </w:t>
      </w:r>
      <w:r>
        <w:rPr>
          <w:rFonts w:ascii="Times New Roman" w:cs="Times New Roman" w:eastAsia="Times New Roman" w:hAnsi="Times New Roman"/>
          <w:sz w:val="18"/>
          <w:szCs w:val="18"/>
          <w:color w:val="auto"/>
        </w:rPr>
        <w:t>— We use fair value measurements to record fair value adjustments to certain financial instruments and to determine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value disclosures. Investment securities available-for-sale and interest-rate swaps are financial instruments recorded at fair value on a recurring basis. Additionally, from time to time, we may be required to record at fair value other assets on a non-recurring basis, such as impaired loans and OREO. These non-recurring fair value adjustments typically involve application of lower-of-cost-or-market accounting or write-downs of individual assets. Further, we include in Note 19 — </w:t>
      </w:r>
      <w:r>
        <w:rPr>
          <w:rFonts w:ascii="Times New Roman" w:cs="Times New Roman" w:eastAsia="Times New Roman" w:hAnsi="Times New Roman"/>
          <w:sz w:val="18"/>
          <w:szCs w:val="18"/>
          <w:i w:val="1"/>
          <w:iCs w:val="1"/>
          <w:color w:val="auto"/>
        </w:rPr>
        <w:t>Fair Value Information</w:t>
      </w:r>
      <w:r>
        <w:rPr>
          <w:rFonts w:ascii="Times New Roman" w:cs="Times New Roman" w:eastAsia="Times New Roman" w:hAnsi="Times New Roman"/>
          <w:sz w:val="18"/>
          <w:szCs w:val="18"/>
          <w:color w:val="auto"/>
        </w:rPr>
        <w:t xml:space="preserve"> of the consolidated financial statements information about the extent to which fair value is used to measure assets and liabilities, the valuation methodologies used and its impact to earnings. Additionally, for financial instruments not recorded at fair value we disclose the estimate of their fair value.</w:t>
      </w:r>
    </w:p>
    <w:p>
      <w:pPr>
        <w:spacing w:after="0" w:line="183" w:lineRule="exact"/>
        <w:rPr>
          <w:sz w:val="20"/>
          <w:szCs w:val="20"/>
          <w:color w:val="auto"/>
        </w:rPr>
      </w:pPr>
    </w:p>
    <w:p>
      <w:pPr>
        <w:ind w:left="120" w:right="20" w:firstLine="55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 Owned Life Insurance </w:t>
      </w:r>
      <w:r>
        <w:rPr>
          <w:rFonts w:ascii="Times New Roman" w:cs="Times New Roman" w:eastAsia="Times New Roman" w:hAnsi="Times New Roman"/>
          <w:sz w:val="18"/>
          <w:szCs w:val="18"/>
          <w:color w:val="auto"/>
        </w:rPr>
        <w:t>— The Company invests in Bank Owned Life Insurance (“BOLI”). BOLI involves the purchasing of life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Company on a select group of employees. The Company is the owner and primary beneficiary of these policies. BOLI is recorded as an asset at the cash surrender value. Increases in the cash value of these policies, as well as insurance proceeds received, are recorded in other noninterest income and are not subject to income tax for as long as they are held for the life of the covered employee.</w:t>
      </w:r>
    </w:p>
    <w:p>
      <w:pPr>
        <w:spacing w:after="0" w:line="136" w:lineRule="exact"/>
        <w:rPr>
          <w:sz w:val="20"/>
          <w:szCs w:val="20"/>
          <w:color w:val="auto"/>
        </w:rPr>
      </w:pPr>
    </w:p>
    <w:p>
      <w:pPr>
        <w:ind w:left="120" w:right="20" w:firstLine="55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Income taxes are accounted for under the asset and liability method. Deferred tax assets and liabilities are recognized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includes the enactment date. Future realization of deferred tax assets ultimately depends on the existence of sufficient taxable income of the appropriate character (for example, ordinary income or capital gain) within the carryback or carryforward periods available under the tax law. Based on historical and future expected taxable earnings, the Company considers the future realization of these deferred tax assets more likely than not.</w:t>
      </w:r>
    </w:p>
    <w:p>
      <w:pPr>
        <w:spacing w:after="0" w:line="149" w:lineRule="exact"/>
        <w:rPr>
          <w:sz w:val="20"/>
          <w:szCs w:val="20"/>
          <w:color w:val="auto"/>
        </w:rPr>
      </w:pPr>
    </w:p>
    <w:p>
      <w:pPr>
        <w:ind w:left="120" w:right="160" w:firstLine="551"/>
        <w:spacing w:after="0" w:line="282" w:lineRule="auto"/>
        <w:rPr>
          <w:sz w:val="20"/>
          <w:szCs w:val="20"/>
          <w:color w:val="auto"/>
        </w:rPr>
      </w:pPr>
      <w:r>
        <w:rPr>
          <w:rFonts w:ascii="Times New Roman" w:cs="Times New Roman" w:eastAsia="Times New Roman" w:hAnsi="Times New Roman"/>
          <w:sz w:val="18"/>
          <w:szCs w:val="18"/>
          <w:color w:val="auto"/>
        </w:rPr>
        <w:t>The tax effects from an uncertain tax position are recognized in the financial statements only if, based on its merits, the position is more likely than not to be sustained on audit by the taxing authorities.</w:t>
      </w:r>
    </w:p>
    <w:p>
      <w:pPr>
        <w:spacing w:after="0" w:line="117" w:lineRule="exact"/>
        <w:rPr>
          <w:sz w:val="20"/>
          <w:szCs w:val="20"/>
          <w:color w:val="auto"/>
        </w:rPr>
      </w:pPr>
    </w:p>
    <w:p>
      <w:pPr>
        <w:ind w:left="120" w:firstLine="5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Leases — </w:t>
      </w:r>
      <w:r>
        <w:rPr>
          <w:rFonts w:ascii="Times New Roman" w:cs="Times New Roman" w:eastAsia="Times New Roman" w:hAnsi="Times New Roman"/>
          <w:sz w:val="18"/>
          <w:szCs w:val="18"/>
          <w:color w:val="auto"/>
        </w:rPr>
        <w:t>The Company’s leasing portfolio consists of real estate leases, which are used primarily for the banking operations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All leases in the current portfolio have been classified as operating leases, although this may change in the future. Operating leases with a term of more than one year are included in operating lease right-of-use (“ROU”) assets and operating lease liabilities on the Company’s consolidated balance sheets. The Company made a policy election to apply the short-term lease exemption to any operating leases with an original term of less than 12 months, therefore no ROU asset or lease liability is recorded for these operating leases. ROU assets represent the Company’s right to use an underlying asset for the lease term and lease liabilities represent the obligation to make lease payments arising from the lease. The Company determines if an arrangement is a lease at inception by assessing whether there is an identified asset and whether the contract conveys the right to control the use of the identified asset for a period of time in exchange for consideration.</w:t>
      </w:r>
    </w:p>
    <w:p>
      <w:pPr>
        <w:spacing w:after="0" w:line="146" w:lineRule="exact"/>
        <w:rPr>
          <w:sz w:val="20"/>
          <w:szCs w:val="20"/>
          <w:color w:val="auto"/>
        </w:rPr>
      </w:pPr>
    </w:p>
    <w:p>
      <w:pPr>
        <w:ind w:left="120" w:right="100" w:firstLine="551"/>
        <w:spacing w:after="0" w:line="258" w:lineRule="auto"/>
        <w:rPr>
          <w:sz w:val="20"/>
          <w:szCs w:val="20"/>
          <w:color w:val="auto"/>
        </w:rPr>
      </w:pPr>
      <w:r>
        <w:rPr>
          <w:rFonts w:ascii="Times New Roman" w:cs="Times New Roman" w:eastAsia="Times New Roman" w:hAnsi="Times New Roman"/>
          <w:sz w:val="18"/>
          <w:szCs w:val="18"/>
          <w:color w:val="auto"/>
        </w:rPr>
        <w:t xml:space="preserve">Operating lease ROU assets and lease liabilities are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respectively, on the Company’s consolidated balance sheet. The Company uses its incremental borrowing rate, factoring in the lease term, to determine the lease liability, which is measured at the present value of future lease payments. The ROU asset, at adoption of this ASU, was recorded at the amount of the lease liability plus any prepaid rent and initial direct costs, less any lease incentives and accrued rent. The lease terms include periods covered by options to extend or terminate the lease depending on whether the Company is reasonably certain to exercise such options. Refer to Note 23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more information.</w:t>
      </w:r>
    </w:p>
    <w:p>
      <w:pPr>
        <w:spacing w:after="0" w:line="154" w:lineRule="exact"/>
        <w:rPr>
          <w:sz w:val="20"/>
          <w:szCs w:val="20"/>
          <w:color w:val="auto"/>
        </w:rPr>
      </w:pPr>
    </w:p>
    <w:p>
      <w:pPr>
        <w:ind w:left="120" w:firstLine="5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Common Share </w:t>
      </w:r>
      <w:r>
        <w:rPr>
          <w:rFonts w:ascii="Times New Roman" w:cs="Times New Roman" w:eastAsia="Times New Roman" w:hAnsi="Times New Roman"/>
          <w:sz w:val="18"/>
          <w:szCs w:val="18"/>
          <w:color w:val="auto"/>
        </w:rPr>
        <w:t>— The Company calculates earnings per common share (“EPS”) using the two-class method. The two-class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method requires the Company to present EPS as if all of the earnings for the period are distributed to common shareholders and any participating securities. All outstanding unvested share-based payment awards that contain rights to non-forfeitable dividends are considered participating securities. The Company grants restricted shares under the 2008 Equity Incentive Plan that qualify as participating securities. Restricted shares issued under this plan are entitled to dividends at the same rate as common stock. A reconciliation of the numerator and the denominator used in the computation of basic and diluted earnings per common share is included in Note 16 — </w:t>
      </w:r>
      <w:r>
        <w:rPr>
          <w:rFonts w:ascii="Times New Roman" w:cs="Times New Roman" w:eastAsia="Times New Roman" w:hAnsi="Times New Roman"/>
          <w:sz w:val="18"/>
          <w:szCs w:val="18"/>
          <w:i w:val="1"/>
          <w:iCs w:val="1"/>
          <w:color w:val="auto"/>
        </w:rPr>
        <w:t>Earnings Per Share Reconciliation</w:t>
      </w:r>
      <w:r>
        <w:rPr>
          <w:rFonts w:ascii="Times New Roman" w:cs="Times New Roman" w:eastAsia="Times New Roman" w:hAnsi="Times New Roman"/>
          <w:sz w:val="18"/>
          <w:szCs w:val="18"/>
          <w:color w:val="auto"/>
        </w:rPr>
        <w:t xml:space="preserve"> of these consolidated financial statements.</w:t>
      </w:r>
    </w:p>
    <w:p>
      <w:pPr>
        <w:spacing w:after="0" w:line="142" w:lineRule="exact"/>
        <w:rPr>
          <w:sz w:val="20"/>
          <w:szCs w:val="20"/>
          <w:color w:val="auto"/>
        </w:rPr>
      </w:pPr>
    </w:p>
    <w:p>
      <w:pPr>
        <w:jc w:val="both"/>
        <w:ind w:left="120" w:right="20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 Consistent with the provisions of ASC 718,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we recognize expense for the grant date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stock options and restricted shares issued to employees, officers and non-employee directors over the requisite service periods (generally the vesting period). The service periods may be subject to performance conditions.</w:t>
      </w:r>
    </w:p>
    <w:p>
      <w:pPr>
        <w:spacing w:after="0" w:line="134" w:lineRule="exact"/>
        <w:rPr>
          <w:sz w:val="20"/>
          <w:szCs w:val="20"/>
          <w:color w:val="auto"/>
        </w:rPr>
      </w:pPr>
    </w:p>
    <w:p>
      <w:pPr>
        <w:ind w:left="120" w:right="200" w:firstLine="551"/>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as of the grant date using the Black-Scholes option-pricing model. Management assumptions used at the time of grant impact the fair value of the option calculated under the Black-Scholes option-pricing model, and ultimately, the expense that will be recognized over the life of the option.</w:t>
      </w:r>
    </w:p>
    <w:p>
      <w:pPr>
        <w:spacing w:after="0" w:line="149" w:lineRule="exact"/>
        <w:rPr>
          <w:sz w:val="20"/>
          <w:szCs w:val="20"/>
          <w:color w:val="auto"/>
        </w:rPr>
      </w:pPr>
    </w:p>
    <w:p>
      <w:pPr>
        <w:ind w:left="120" w:right="160" w:firstLine="551"/>
        <w:spacing w:after="0" w:line="282" w:lineRule="auto"/>
        <w:rPr>
          <w:sz w:val="20"/>
          <w:szCs w:val="20"/>
          <w:color w:val="auto"/>
        </w:rPr>
      </w:pPr>
      <w:r>
        <w:rPr>
          <w:rFonts w:ascii="Times New Roman" w:cs="Times New Roman" w:eastAsia="Times New Roman" w:hAnsi="Times New Roman"/>
          <w:sz w:val="18"/>
          <w:szCs w:val="18"/>
          <w:color w:val="auto"/>
        </w:rPr>
        <w:t>The grant date fair value of restricted stock awards is measured at the fair value of the Company’s common stock as if the restricted share was vested and issued on the date of grant.</w:t>
      </w:r>
    </w:p>
    <w:p>
      <w:pPr>
        <w:spacing w:after="0" w:line="119" w:lineRule="exact"/>
        <w:rPr>
          <w:sz w:val="20"/>
          <w:szCs w:val="20"/>
          <w:color w:val="auto"/>
        </w:rPr>
      </w:pPr>
    </w:p>
    <w:p>
      <w:pPr>
        <w:jc w:val="center"/>
        <w:ind w:left="680" w:right="300"/>
        <w:spacing w:after="0" w:line="456" w:lineRule="auto"/>
        <w:rPr>
          <w:sz w:val="20"/>
          <w:szCs w:val="20"/>
          <w:color w:val="auto"/>
        </w:rPr>
      </w:pPr>
      <w:r>
        <w:rPr>
          <w:rFonts w:ascii="Times New Roman" w:cs="Times New Roman" w:eastAsia="Times New Roman" w:hAnsi="Times New Roman"/>
          <w:sz w:val="18"/>
          <w:szCs w:val="18"/>
          <w:color w:val="auto"/>
        </w:rPr>
        <w:t xml:space="preserve">Additional information is included in Note 17 — </w:t>
      </w:r>
      <w:r>
        <w:rPr>
          <w:rFonts w:ascii="Times New Roman" w:cs="Times New Roman" w:eastAsia="Times New Roman" w:hAnsi="Times New Roman"/>
          <w:sz w:val="18"/>
          <w:szCs w:val="18"/>
          <w:i w:val="1"/>
          <w:iCs w:val="1"/>
          <w:color w:val="auto"/>
        </w:rPr>
        <w:t>Stock-Based Compensation Plans</w:t>
      </w:r>
      <w:r>
        <w:rPr>
          <w:rFonts w:ascii="Times New Roman" w:cs="Times New Roman" w:eastAsia="Times New Roman" w:hAnsi="Times New Roman"/>
          <w:sz w:val="18"/>
          <w:szCs w:val="18"/>
          <w:color w:val="auto"/>
        </w:rPr>
        <w:t xml:space="preserve"> of the consolidated financial statements included herein. 113</w:t>
      </w:r>
    </w:p>
    <w:p>
      <w:pPr>
        <w:sectPr>
          <w:pgSz w:w="11900" w:h="16838" w:orient="portrait"/>
          <w:cols w:equalWidth="0" w:num="1">
            <w:col w:w="11060"/>
          </w:cols>
          <w:pgMar w:left="320" w:top="482" w:right="51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firstLine="5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Instruments </w:t>
      </w:r>
      <w:r>
        <w:rPr>
          <w:rFonts w:ascii="Times New Roman" w:cs="Times New Roman" w:eastAsia="Times New Roman" w:hAnsi="Times New Roman"/>
          <w:sz w:val="18"/>
          <w:szCs w:val="18"/>
          <w:color w:val="auto"/>
        </w:rPr>
        <w:t>— All derivative instruments, including certain derivative instruments embedded in other contracts,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on the consolidated balance sheets at fair value. For derivatives designated as fair value hedges, changes in the fair value of the derivative and the hedged item related to the hedged risk are recognized in earnings. Upon adoption of ASU 2017-12, all changes in fair value for cash flow hedges, are recorded in “Other Comprehensive Income,” net of deferred taxes, including any ineffectiveness as long as the hedge remains highly effective. The Company currently does not designate any derivative financial instruments as qualifying hedging relationships, and therefore, does not utilize hedge accounting.</w:t>
      </w:r>
    </w:p>
    <w:p>
      <w:pPr>
        <w:spacing w:after="0" w:line="155" w:lineRule="exact"/>
        <w:rPr>
          <w:sz w:val="20"/>
          <w:szCs w:val="20"/>
          <w:color w:val="auto"/>
        </w:rPr>
      </w:pPr>
    </w:p>
    <w:p>
      <w:pPr>
        <w:ind w:left="120" w:right="10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Statement of Cash Flows </w:t>
      </w:r>
      <w:r>
        <w:rPr>
          <w:rFonts w:ascii="Times New Roman" w:cs="Times New Roman" w:eastAsia="Times New Roman" w:hAnsi="Times New Roman"/>
          <w:sz w:val="18"/>
          <w:szCs w:val="18"/>
          <w:color w:val="auto"/>
        </w:rPr>
        <w:t>— Cash and cash equivalents, as reported in the statements of cash flows, include cash and due from banks, interest-bearing balances due from depository institutions and federal funds sold with original maturities of three months or less. Cash flows from loans and deposits are reported net.</w:t>
      </w:r>
    </w:p>
    <w:p>
      <w:pPr>
        <w:spacing w:after="0" w:line="130" w:lineRule="exact"/>
        <w:rPr>
          <w:sz w:val="20"/>
          <w:szCs w:val="20"/>
          <w:color w:val="auto"/>
        </w:rPr>
      </w:pPr>
    </w:p>
    <w:p>
      <w:pPr>
        <w:ind w:left="120" w:right="220" w:firstLine="55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Contingencies </w:t>
      </w:r>
      <w:r>
        <w:rPr>
          <w:rFonts w:ascii="Times New Roman" w:cs="Times New Roman" w:eastAsia="Times New Roman" w:hAnsi="Times New Roman"/>
          <w:sz w:val="18"/>
          <w:szCs w:val="18"/>
          <w:color w:val="auto"/>
        </w:rPr>
        <w:t>— In the ordinary course of business, the Company becomes involved in litigation. Based upon the Company’s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records and discussions with legal counsel, the Company records accruals as appropriate, for estimates of the probable outcome of all cases brought against the Company. Except as discussed in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at December 31, 2020, the Company does not have any material litigation accruals and is not aware of any material pending legal action or complaints asserted against the Company.</w:t>
      </w:r>
    </w:p>
    <w:p>
      <w:pPr>
        <w:spacing w:after="0" w:line="325"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Community Bank Acquisition</w:t>
      </w:r>
    </w:p>
    <w:p>
      <w:pPr>
        <w:spacing w:after="0" w:line="202" w:lineRule="exact"/>
        <w:rPr>
          <w:sz w:val="20"/>
          <w:szCs w:val="20"/>
          <w:color w:val="auto"/>
        </w:rPr>
      </w:pPr>
    </w:p>
    <w:p>
      <w:pPr>
        <w:ind w:left="120" w:firstLine="551"/>
        <w:spacing w:after="0" w:line="255" w:lineRule="auto"/>
        <w:rPr>
          <w:sz w:val="20"/>
          <w:szCs w:val="20"/>
          <w:color w:val="auto"/>
        </w:rPr>
      </w:pPr>
      <w:r>
        <w:rPr>
          <w:rFonts w:ascii="Times New Roman" w:cs="Times New Roman" w:eastAsia="Times New Roman" w:hAnsi="Times New Roman"/>
          <w:sz w:val="18"/>
          <w:szCs w:val="18"/>
          <w:color w:val="auto"/>
        </w:rPr>
        <w:t>On August 10, 2018, the Company completed the acquisition of CB, headquartered in Pasadena, California. The Company acquired all of the assets and assumed all of the liabilities of CB for $180.7 million in cash and $722.8 million in stock. As a result, CB was merged with the Bank, the principal subsidiary of CVB. The primary reason for the acquisition was to further strengthen the Company’s presence in Southern California. At close, CB had 16 banking centers located throughout the greater Los Angeles and Orange County areas. The systems integration of CB and CBB was completed in November 2018. The consolidation of banking centers was completed during the second quarter of 2019, in which four additional banking centers that were in close proximity were consolidated. For the first six months of 2019, a total of 10 banking centers were consolidated, including nine former CB centers.</w:t>
      </w:r>
    </w:p>
    <w:p>
      <w:pPr>
        <w:spacing w:after="0" w:line="148" w:lineRule="exact"/>
        <w:rPr>
          <w:sz w:val="20"/>
          <w:szCs w:val="20"/>
          <w:color w:val="auto"/>
        </w:rPr>
      </w:pPr>
    </w:p>
    <w:p>
      <w:pPr>
        <w:ind w:left="120" w:right="80" w:firstLine="551"/>
        <w:spacing w:after="0" w:line="256" w:lineRule="auto"/>
        <w:rPr>
          <w:sz w:val="20"/>
          <w:szCs w:val="20"/>
          <w:color w:val="auto"/>
        </w:rPr>
      </w:pPr>
      <w:r>
        <w:rPr>
          <w:rFonts w:ascii="Times New Roman" w:cs="Times New Roman" w:eastAsia="Times New Roman" w:hAnsi="Times New Roman"/>
          <w:sz w:val="18"/>
          <w:szCs w:val="18"/>
          <w:color w:val="auto"/>
        </w:rPr>
        <w:t>The assets acquired and liabilities assumed have been accounted for under the acquisition method of accounting. The assets and liabilities, both tangible and intangible, were recorded at their estimated fair values as of the August 10, 2018 acquisition date. The purchase price allocation was finalized in the second quarter of 2019. The change in goodwill resulted from finalizing the fair value of impaired loans. The application of the acquisition method of accounting resulted in the recognition of goodwill of $547.1 million and a core deposit intangible (“CDI”) of $52.2 million, or 2.26% of core deposits. Goodwill represents the excess purchase price over the fair value of the net assets acquired. Goodwill is not deductible for income tax purposes.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60"/>
          </w:cols>
          <w:pgMar w:left="320" w:top="482" w:right="51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00" w:firstLine="551"/>
        <w:spacing w:after="0" w:line="282" w:lineRule="auto"/>
        <w:rPr>
          <w:sz w:val="20"/>
          <w:szCs w:val="20"/>
          <w:color w:val="auto"/>
        </w:rPr>
      </w:pPr>
      <w:r>
        <w:rPr>
          <w:rFonts w:ascii="Times New Roman" w:cs="Times New Roman" w:eastAsia="Times New Roman" w:hAnsi="Times New Roman"/>
          <w:sz w:val="18"/>
          <w:szCs w:val="18"/>
          <w:color w:val="auto"/>
        </w:rPr>
        <w:t>The table below summarizes the amounts recognized for the estimated fair value of assets acquired and the liabilities assumed as of the acquisition date.</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August 10, 2018</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3"/>
          </w:tcPr>
          <w:p>
            <w:pPr>
              <w:jc w:val="right"/>
              <w:ind w:right="76"/>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Cash paid</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180,719</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CVBF common stock issued</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722,767</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merger consideration</w:t>
            </w:r>
          </w:p>
        </w:tc>
        <w:tc>
          <w:tcPr>
            <w:tcW w:w="1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5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Identifiable net assets acquired, at fair value</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Assets Acquired</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47,802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Investment securities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716,996</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FHLB stock</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17,250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Loans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2,738,100</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7,916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Premises and equipment</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14,632</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BOLI</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70,904</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Core deposit intangible</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52,200</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53,291</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 acquired</w:t>
            </w:r>
          </w:p>
        </w:tc>
        <w:tc>
          <w:tcPr>
            <w:tcW w:w="1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3,719,091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Liabilities assumed</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Deposits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2,869,986</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FHLB advances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297,571</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borrowings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166,000</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29,192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3,362,749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fair value of identifiable net assets, at fair value</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356,342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547,144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551"/>
        <w:spacing w:after="0" w:line="266" w:lineRule="auto"/>
        <w:rPr>
          <w:sz w:val="20"/>
          <w:szCs w:val="20"/>
          <w:color w:val="auto"/>
        </w:rPr>
      </w:pPr>
      <w:r>
        <w:rPr>
          <w:rFonts w:ascii="Times New Roman" w:cs="Times New Roman" w:eastAsia="Times New Roman" w:hAnsi="Times New Roman"/>
          <w:sz w:val="18"/>
          <w:szCs w:val="18"/>
          <w:color w:val="auto"/>
        </w:rPr>
        <w:t>At the date of acquisition, the gross contractual loan amounts receivable, inclusive of all principal and interest, was approximately $3 billion. The Company’s best estimate of the contractual principal cash flows for loans not expected to be collected at the date of acquisition was approximately $4.5 million.</w:t>
      </w:r>
    </w:p>
    <w:p>
      <w:pPr>
        <w:spacing w:after="0" w:line="149" w:lineRule="exact"/>
        <w:rPr>
          <w:sz w:val="20"/>
          <w:szCs w:val="20"/>
          <w:color w:val="auto"/>
        </w:rPr>
      </w:pPr>
    </w:p>
    <w:p>
      <w:pPr>
        <w:ind w:left="120" w:right="640" w:firstLine="551"/>
        <w:spacing w:after="0" w:line="282" w:lineRule="auto"/>
        <w:rPr>
          <w:sz w:val="20"/>
          <w:szCs w:val="20"/>
          <w:color w:val="auto"/>
        </w:rPr>
      </w:pPr>
      <w:r>
        <w:rPr>
          <w:rFonts w:ascii="Times New Roman" w:cs="Times New Roman" w:eastAsia="Times New Roman" w:hAnsi="Times New Roman"/>
          <w:sz w:val="18"/>
          <w:szCs w:val="18"/>
          <w:color w:val="auto"/>
        </w:rPr>
        <w:t>We have included the financial results of the business combination in the consolidated statement of earnings and comprehensive income beginning on the acquisition date.</w:t>
      </w:r>
    </w:p>
    <w:p>
      <w:pPr>
        <w:spacing w:after="0" w:line="121" w:lineRule="exact"/>
        <w:rPr>
          <w:sz w:val="20"/>
          <w:szCs w:val="20"/>
          <w:color w:val="auto"/>
        </w:rPr>
      </w:pPr>
    </w:p>
    <w:p>
      <w:pPr>
        <w:ind w:left="120" w:firstLine="551"/>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Company did not incur any merger related expenses associated with the CB acquisition, compared to $6.4 million and $16.4 million for the years ended December 31, 2019 and 2018, respectively.</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82" w:right="47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551"/>
        <w:spacing w:after="0" w:line="255" w:lineRule="auto"/>
        <w:rPr>
          <w:sz w:val="20"/>
          <w:szCs w:val="20"/>
          <w:color w:val="auto"/>
        </w:rPr>
      </w:pPr>
      <w:r>
        <w:rPr>
          <w:rFonts w:ascii="Times New Roman" w:cs="Times New Roman" w:eastAsia="Times New Roman" w:hAnsi="Times New Roman"/>
          <w:sz w:val="18"/>
          <w:szCs w:val="18"/>
          <w:color w:val="auto"/>
        </w:rPr>
        <w:t>For illustrative purposes only, the following table presents certain unaudited pro forma information for the year ended December 31, 2018. This unaudited estimated pro forma financial information was calculated as if CB had been acquired as of the beginning of the year prior to the date of acquisition. This unaudited pro forma information combines the historical results of CB with the Company’s consolidated historical results and includes certain adjustments reflecting the estimated impact of certain fair value adjustments for the respective periods. The pro forma information is not indicative of what would have occurred had the acquisition occurred as of the beginning of the year prior to the acquisition. The unaudited pro forma information does not consider any changes to the provision for credit losses resulting from recording loan assets at fair value, cost savings, or business synergies. As a result, actual amounts would have differed from the unaudited pro forma information presented.</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Pro Forma</w:t>
            </w:r>
          </w:p>
        </w:tc>
      </w:tr>
      <w:tr>
        <w:trPr>
          <w:trHeight w:val="216"/>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8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180"/>
        </w:trPr>
        <w:tc>
          <w:tcPr>
            <w:tcW w:w="8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center"/>
              <w:ind w:right="31"/>
              <w:spacing w:after="0" w:line="181"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40" w:type="dxa"/>
            <w:vAlign w:val="bottom"/>
          </w:tcPr>
          <w:p>
            <w:pPr>
              <w:spacing w:after="0"/>
              <w:rPr>
                <w:sz w:val="15"/>
                <w:szCs w:val="15"/>
                <w:color w:val="auto"/>
              </w:rPr>
            </w:pPr>
          </w:p>
        </w:tc>
      </w:tr>
      <w:tr>
        <w:trPr>
          <w:trHeight w:val="212"/>
        </w:trPr>
        <w:tc>
          <w:tcPr>
            <w:tcW w:w="836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except per share amounts)</w:t>
            </w:r>
          </w:p>
        </w:tc>
      </w:tr>
      <w:tr>
        <w:trPr>
          <w:trHeight w:val="222"/>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 interest income plus noninterest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488,620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181,433</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324" w:lineRule="exact"/>
        <w:rPr>
          <w:sz w:val="20"/>
          <w:szCs w:val="20"/>
          <w:color w:val="auto"/>
        </w:rPr>
      </w:pPr>
    </w:p>
    <w:p>
      <w:pPr>
        <w:ind w:left="660" w:hanging="544"/>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w:t>
      </w:r>
    </w:p>
    <w:p>
      <w:pPr>
        <w:spacing w:after="0" w:line="202" w:lineRule="exact"/>
        <w:rPr>
          <w:sz w:val="20"/>
          <w:szCs w:val="20"/>
          <w:color w:val="auto"/>
        </w:rPr>
      </w:pPr>
    </w:p>
    <w:p>
      <w:pPr>
        <w:ind w:left="120" w:right="40" w:firstLine="551"/>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Holding</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Gain</w:t>
            </w:r>
          </w:p>
        </w:tc>
        <w:tc>
          <w:tcPr>
            <w:tcW w:w="4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Holding Loss</w:t>
            </w: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1,857,030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48,006</w:t>
            </w: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1,904,935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79.41%</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CMO/REMIC</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457,548</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5,515</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462,814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28,707</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1,578</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30,285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securities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889</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2,344,174</w:t>
            </w:r>
          </w:p>
        </w:tc>
        <w:tc>
          <w:tcPr>
            <w:tcW w:w="4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55,099</w:t>
            </w:r>
          </w:p>
        </w:tc>
        <w:tc>
          <w:tcPr>
            <w:tcW w:w="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5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2,398,923</w:t>
            </w:r>
          </w:p>
        </w:tc>
        <w:tc>
          <w:tcPr>
            <w:tcW w:w="440" w:type="dxa"/>
            <w:vAlign w:val="bottom"/>
            <w:vMerge w:val="continue"/>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Government agency/GSE</w:t>
            </w:r>
          </w:p>
        </w:tc>
        <w:tc>
          <w:tcPr>
            <w:tcW w:w="16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98,663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5,877</w:t>
            </w: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104,540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17.05%</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146,382</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7,644</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153,994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25.30%</w:t>
            </w: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CMO/REMIC</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145,309</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5,202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150,511</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25.11%</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188,272</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6,980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195,178</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32.54%</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578,626</w:t>
            </w:r>
          </w:p>
        </w:tc>
        <w:tc>
          <w:tcPr>
            <w:tcW w:w="4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25,703</w:t>
            </w:r>
          </w:p>
        </w:tc>
        <w:tc>
          <w:tcPr>
            <w:tcW w:w="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5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604,223</w:t>
            </w:r>
          </w:p>
        </w:tc>
        <w:tc>
          <w:tcPr>
            <w:tcW w:w="440" w:type="dxa"/>
            <w:vAlign w:val="bottom"/>
            <w:vMerge w:val="continue"/>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82" w:right="4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5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Gain</w:t>
            </w:r>
          </w:p>
        </w:tc>
        <w:tc>
          <w:tcPr>
            <w:tcW w:w="16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Holding Loss</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0" w:type="dxa"/>
            <w:vAlign w:val="bottom"/>
          </w:tcPr>
          <w:p>
            <w:pPr>
              <w:spacing w:after="0"/>
              <w:rPr>
                <w:sz w:val="1"/>
                <w:szCs w:val="1"/>
                <w:color w:val="auto"/>
              </w:rPr>
            </w:pPr>
          </w:p>
        </w:tc>
      </w:tr>
      <w:tr>
        <w:trPr>
          <w:trHeight w:val="199"/>
        </w:trPr>
        <w:tc>
          <w:tcPr>
            <w:tcW w:w="5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1,185,757</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21,306</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96"/>
              </w:rPr>
              <w:t>1,206,313</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69.32%</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CMO/REMIC</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493,214</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1,392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493,710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28.37%</w:t>
            </w:r>
          </w:p>
        </w:tc>
        <w:tc>
          <w:tcPr>
            <w:tcW w:w="0" w:type="dxa"/>
            <w:vAlign w:val="bottom"/>
          </w:tcPr>
          <w:p>
            <w:pPr>
              <w:spacing w:after="0"/>
              <w:rPr>
                <w:sz w:val="1"/>
                <w:szCs w:val="1"/>
                <w:color w:val="auto"/>
              </w:rPr>
            </w:pPr>
          </w:p>
        </w:tc>
      </w:tr>
      <w:tr>
        <w:trPr>
          <w:trHeight w:val="203"/>
        </w:trPr>
        <w:tc>
          <w:tcPr>
            <w:tcW w:w="5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38,506</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39,354</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880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1,718,357</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23,548</w:t>
            </w:r>
          </w:p>
        </w:tc>
        <w:tc>
          <w:tcPr>
            <w:tcW w:w="1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380" w:type="dxa"/>
            <w:vAlign w:val="bottom"/>
            <w:vMerge w:val="continue"/>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1,740,257</w:t>
            </w:r>
          </w:p>
        </w:tc>
        <w:tc>
          <w:tcPr>
            <w:tcW w:w="340" w:type="dxa"/>
            <w:vAlign w:val="bottom"/>
            <w:vMerge w:val="continue"/>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Government agency/GSE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117,366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2,280</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118,989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17.40%</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168,479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2,083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170,508</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24.98%</w:t>
            </w:r>
          </w:p>
        </w:tc>
        <w:tc>
          <w:tcPr>
            <w:tcW w:w="0" w:type="dxa"/>
            <w:vAlign w:val="bottom"/>
          </w:tcPr>
          <w:p>
            <w:pPr>
              <w:spacing w:after="0"/>
              <w:rPr>
                <w:sz w:val="1"/>
                <w:szCs w:val="1"/>
                <w:color w:val="auto"/>
              </w:rPr>
            </w:pPr>
          </w:p>
        </w:tc>
      </w:tr>
      <w:tr>
        <w:trPr>
          <w:trHeight w:val="203"/>
        </w:trPr>
        <w:tc>
          <w:tcPr>
            <w:tcW w:w="5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CMO/REMIC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192,548</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(2,458)</w:t>
            </w:r>
          </w:p>
        </w:tc>
        <w:tc>
          <w:tcPr>
            <w:tcW w:w="10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190,090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28.55%</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196,059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3,867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199,361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29.07%</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674,452</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8,230</w:t>
            </w:r>
          </w:p>
        </w:tc>
        <w:tc>
          <w:tcPr>
            <w:tcW w:w="1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380" w:type="dxa"/>
            <w:vAlign w:val="bottom"/>
            <w:vMerge w:val="continue"/>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678,948</w:t>
            </w:r>
          </w:p>
        </w:tc>
        <w:tc>
          <w:tcPr>
            <w:tcW w:w="340" w:type="dxa"/>
            <w:vAlign w:val="bottom"/>
            <w:vMerge w:val="continue"/>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amount of interest income earned on investment securities which is fully taxable and which is exempt from regular federal income tax.</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35,129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38,189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44,423</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Tax-advantaged</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1,565</w:t>
            </w:r>
          </w:p>
        </w:tc>
      </w:tr>
      <w:tr>
        <w:trPr>
          <w:trHeight w:val="230"/>
        </w:trPr>
        <w:tc>
          <w:tcPr>
            <w:tcW w:w="20" w:type="dxa"/>
            <w:vAlign w:val="bottom"/>
          </w:tcPr>
          <w:p>
            <w:pPr>
              <w:spacing w:after="0"/>
              <w:rPr>
                <w:sz w:val="20"/>
                <w:szCs w:val="20"/>
                <w:color w:val="auto"/>
              </w:rPr>
            </w:pPr>
          </w:p>
        </w:tc>
        <w:tc>
          <w:tcPr>
            <w:tcW w:w="5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interest income from available-for-sale securities</w:t>
            </w:r>
          </w:p>
        </w:tc>
        <w:tc>
          <w:tcPr>
            <w:tcW w:w="1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39,330</w:t>
            </w: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11,498</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11,848</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Tax-advantaged</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5,890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7,053</w:t>
            </w:r>
          </w:p>
        </w:tc>
      </w:tr>
      <w:tr>
        <w:trPr>
          <w:trHeight w:val="230"/>
        </w:trPr>
        <w:tc>
          <w:tcPr>
            <w:tcW w:w="20" w:type="dxa"/>
            <w:vAlign w:val="bottom"/>
          </w:tcPr>
          <w:p>
            <w:pPr>
              <w:spacing w:after="0"/>
              <w:rPr>
                <w:sz w:val="20"/>
                <w:szCs w:val="20"/>
                <w:color w:val="auto"/>
              </w:rPr>
            </w:pPr>
          </w:p>
        </w:tc>
        <w:tc>
          <w:tcPr>
            <w:tcW w:w="5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interest income from held-to-maturity securities</w:t>
            </w:r>
          </w:p>
        </w:tc>
        <w:tc>
          <w:tcPr>
            <w:tcW w:w="1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14,223</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17,388</w:t>
            </w: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interest income from investment securities</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50,275</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56,718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64,889</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right="100" w:firstLine="551"/>
        <w:spacing w:after="0" w:line="261" w:lineRule="auto"/>
        <w:rPr>
          <w:sz w:val="20"/>
          <w:szCs w:val="20"/>
          <w:color w:val="auto"/>
        </w:rPr>
      </w:pPr>
      <w:r>
        <w:rPr>
          <w:rFonts w:ascii="Times New Roman" w:cs="Times New Roman" w:eastAsia="Times New Roman" w:hAnsi="Times New Roman"/>
          <w:sz w:val="18"/>
          <w:szCs w:val="18"/>
          <w:color w:val="auto"/>
        </w:rPr>
        <w:t>The adoption of CECL did not have a material impact on the accounting for investment securities, as approximately 93% of the total investment securities portfolio at December 31, 2020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new CECL model was zero at December 31, 2020.</w:t>
      </w:r>
    </w:p>
    <w:p>
      <w:pPr>
        <w:spacing w:after="0" w:line="139" w:lineRule="exact"/>
        <w:rPr>
          <w:sz w:val="20"/>
          <w:szCs w:val="20"/>
          <w:color w:val="auto"/>
        </w:rPr>
      </w:pPr>
    </w:p>
    <w:p>
      <w:pPr>
        <w:ind w:left="120" w:right="20" w:firstLine="551"/>
        <w:spacing w:after="0" w:line="261" w:lineRule="auto"/>
        <w:rPr>
          <w:sz w:val="20"/>
          <w:szCs w:val="20"/>
          <w:color w:val="auto"/>
        </w:rPr>
      </w:pPr>
      <w:r>
        <w:rPr>
          <w:rFonts w:ascii="Times New Roman" w:cs="Times New Roman" w:eastAsia="Times New Roman" w:hAnsi="Times New Roman"/>
          <w:sz w:val="18"/>
          <w:szCs w:val="18"/>
          <w:color w:val="auto"/>
        </w:rPr>
        <w:t>We adopted ASU 2016-13 on January 1, 2020, on a prospective basis. Under this ASU, once it is determined that a credit loss has occurred, an allowance for credit losses is established on our AFS and HTM securities. Prior to adoption of this standard, when a decline in fair value of a debt security was determined to be other than temporary, an impairment charge for the credit component was recorded, and a new cost basis in the investment was established. Management determined that there were no credit losses for securities in an unrealized loss position for 2020.</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investment securities, by investment category, in an unrealized loss position for which an allowance for credit losses has not been recorded as of December 31, 2020.</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gridSpan w:val="5"/>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12"/>
                <w:szCs w:val="12"/>
                <w:color w:val="auto"/>
              </w:rPr>
            </w:pPr>
          </w:p>
        </w:tc>
        <w:tc>
          <w:tcPr>
            <w:tcW w:w="190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Longer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20" w:type="dxa"/>
            <w:vAlign w:val="bottom"/>
            <w:vMerge w:val="restart"/>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1180" w:type="dxa"/>
            <w:vAlign w:val="bottom"/>
            <w:gridSpan w:val="2"/>
          </w:tcPr>
          <w:p>
            <w:pPr>
              <w:jc w:val="center"/>
              <w:ind w:right="209"/>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securities available-for-sale:</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Mortgage-backed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72,219</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right="6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72,219</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CMO/REMIC</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96,974</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480" w:type="dxa"/>
            <w:vAlign w:val="bottom"/>
            <w:tcBorders>
              <w:left w:val="single" w:sz="8" w:color="CCEEFF"/>
            </w:tcBorders>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96,974</w:t>
            </w:r>
          </w:p>
        </w:tc>
        <w:tc>
          <w:tcPr>
            <w:tcW w:w="4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48"/>
        </w:trPr>
        <w:tc>
          <w:tcPr>
            <w:tcW w:w="39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Municipal bonds</w:t>
            </w:r>
          </w:p>
        </w:tc>
        <w:tc>
          <w:tcPr>
            <w:tcW w:w="6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48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2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available-for-sale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169,193</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center"/>
              <w:ind w:right="6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left w:val="single" w:sz="8" w:color="CCEEFF"/>
            </w:tcBorders>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169,193</w:t>
            </w: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right="120" w:firstLine="551"/>
        <w:spacing w:after="0" w:line="255" w:lineRule="auto"/>
        <w:rPr>
          <w:sz w:val="20"/>
          <w:szCs w:val="20"/>
          <w:color w:val="auto"/>
        </w:rPr>
      </w:pPr>
      <w:r>
        <w:rPr>
          <w:rFonts w:ascii="Times New Roman" w:cs="Times New Roman" w:eastAsia="Times New Roman" w:hAnsi="Times New Roman"/>
          <w:sz w:val="18"/>
          <w:szCs w:val="18"/>
          <w:color w:val="auto"/>
        </w:rPr>
        <w:t>The table below presents the Company’s investment securities’ gross unrealized losses and fair value by investment category and length of time that individual securities have been in a continuous unrealized loss position at December 31, 2019, prior to adoption of ASU 2016-13. Management previously reviewed individual securities to determine whether a decline in fair value below the amortized cost basis is other-than-temporary. The unrealized losses on these securities were primarily attributed to changes in interest rates. The issuers of these securities have not, to our knowledge, evidenced any cause for default on these securities. These securities have fluctuated in value since their purchase dates as market interest rates have fluctuated. However, we have the ability and the intention to hold these securities until their fair values recover to cost or maturity. As such, management does not deem these securities to be other-than-temporarily-impaired.</w:t>
      </w:r>
    </w:p>
    <w:p>
      <w:pPr>
        <w:spacing w:after="0" w:line="10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5"/>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60" w:type="dxa"/>
            <w:vAlign w:val="bottom"/>
          </w:tcPr>
          <w:p>
            <w:pPr>
              <w:spacing w:after="0"/>
              <w:rPr>
                <w:sz w:val="12"/>
                <w:szCs w:val="12"/>
                <w:color w:val="auto"/>
              </w:rPr>
            </w:pPr>
          </w:p>
        </w:tc>
        <w:tc>
          <w:tcPr>
            <w:tcW w:w="2220" w:type="dxa"/>
            <w:vAlign w:val="bottom"/>
            <w:gridSpan w:val="5"/>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Longer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60" w:type="dxa"/>
            <w:vAlign w:val="bottom"/>
          </w:tcPr>
          <w:p>
            <w:pPr>
              <w:spacing w:after="0"/>
              <w:rPr>
                <w:sz w:val="12"/>
                <w:szCs w:val="12"/>
                <w:color w:val="auto"/>
              </w:rPr>
            </w:pPr>
          </w:p>
        </w:tc>
        <w:tc>
          <w:tcPr>
            <w:tcW w:w="104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i w:val="1"/>
                <w:iCs w:val="1"/>
                <w:color w:val="auto"/>
                <w:w w:val="96"/>
              </w:rPr>
              <w:t>(Dollars</w:t>
            </w:r>
          </w:p>
        </w:tc>
        <w:tc>
          <w:tcPr>
            <w:tcW w:w="3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securities available-for-sale: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Mortgage-backed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20,289</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97,964</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118,253</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CMO/REMIC</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177,517</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34,565</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212,082</w:t>
            </w:r>
          </w:p>
        </w:tc>
        <w:tc>
          <w:tcPr>
            <w:tcW w:w="38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48"/>
        </w:trPr>
        <w:tc>
          <w:tcPr>
            <w:tcW w:w="44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Municipal bonds</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3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4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available-for-sale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197,806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133,092</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330,898</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Government agency/GSE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28,359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19,405</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47,764</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149"/>
        </w:trPr>
        <w:tc>
          <w:tcPr>
            <w:tcW w:w="44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Mortgage-backed securities</w:t>
            </w:r>
          </w:p>
        </w:tc>
        <w:tc>
          <w:tcPr>
            <w:tcW w:w="8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10,411</w:t>
            </w:r>
          </w:p>
        </w:tc>
        <w:tc>
          <w:tcPr>
            <w:tcW w:w="8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60" w:type="dxa"/>
            <w:vAlign w:val="bottom"/>
          </w:tcPr>
          <w:p>
            <w:pPr>
              <w:spacing w:after="0"/>
              <w:rPr>
                <w:sz w:val="12"/>
                <w:szCs w:val="12"/>
                <w:color w:val="auto"/>
              </w:rPr>
            </w:pPr>
          </w:p>
        </w:tc>
        <w:tc>
          <w:tcPr>
            <w:tcW w:w="104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10,411</w:t>
            </w:r>
          </w:p>
        </w:tc>
        <w:tc>
          <w:tcPr>
            <w:tcW w:w="3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CMO/REMIC</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23,897</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166,193</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(2,354)</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190,090</w:t>
            </w:r>
          </w:p>
        </w:tc>
        <w:tc>
          <w:tcPr>
            <w:tcW w:w="38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(2,458)</w:t>
            </w:r>
          </w:p>
        </w:tc>
        <w:tc>
          <w:tcPr>
            <w:tcW w:w="0" w:type="dxa"/>
            <w:vAlign w:val="bottom"/>
          </w:tcPr>
          <w:p>
            <w:pPr>
              <w:spacing w:after="0"/>
              <w:rPr>
                <w:sz w:val="1"/>
                <w:szCs w:val="1"/>
                <w:color w:val="auto"/>
              </w:rPr>
            </w:pPr>
          </w:p>
        </w:tc>
      </w:tr>
      <w:tr>
        <w:trPr>
          <w:trHeight w:val="149"/>
        </w:trPr>
        <w:tc>
          <w:tcPr>
            <w:tcW w:w="44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Municipal bonds</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2"/>
                <w:szCs w:val="12"/>
                <w:color w:val="auto"/>
              </w:rPr>
            </w:pPr>
          </w:p>
        </w:tc>
        <w:tc>
          <w:tcPr>
            <w:tcW w:w="104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29,981</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(533)</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37,564</w:t>
            </w:r>
          </w:p>
        </w:tc>
        <w:tc>
          <w:tcPr>
            <w:tcW w:w="3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held-to-maturity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70,250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215,579</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(3,292)</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285,829</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(3,734)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analysis of these securities and the unrealized losses.</w:t>
      </w:r>
    </w:p>
    <w:p>
      <w:pPr>
        <w:spacing w:after="0" w:line="185" w:lineRule="exact"/>
        <w:rPr>
          <w:sz w:val="20"/>
          <w:szCs w:val="20"/>
          <w:color w:val="auto"/>
        </w:rPr>
      </w:pPr>
    </w:p>
    <w:p>
      <w:pPr>
        <w:ind w:left="120" w:right="80" w:firstLine="551"/>
        <w:spacing w:after="0" w:line="256" w:lineRule="auto"/>
        <w:rPr>
          <w:sz w:val="20"/>
          <w:szCs w:val="20"/>
          <w:color w:val="auto"/>
        </w:rPr>
      </w:pPr>
      <w:r>
        <w:rPr>
          <w:rFonts w:ascii="Times New Roman" w:cs="Times New Roman" w:eastAsia="Times New Roman" w:hAnsi="Times New Roman"/>
          <w:sz w:val="18"/>
          <w:szCs w:val="18"/>
          <w:color w:val="auto"/>
        </w:rPr>
        <w:t>Government Agency &amp; Government-Sponsored Enterprise (“GSE”) — The government agency bonds are backed by the full faith and credit of agencies of the U.S. Government. While the Government-Sponsored Enterprise bonds are not expressly guaranteed by the U.S. Government, they are currently being supported by the U.S. Government under a conservatorship arrangement. These securities are bullet securities, that is, they have a defined maturity date on which the principal is paid. The contractual term of these investments provides that the Company will receive the face value of the bond at maturity which will equal the amortized cost of the bond. Interest is received throughout the life of the security. Accordingly, it is expected that the securities would not be settled at a price less than the amortized cost of the bonds.</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551"/>
        <w:spacing w:after="0" w:line="274" w:lineRule="auto"/>
        <w:rPr>
          <w:sz w:val="20"/>
          <w:szCs w:val="20"/>
          <w:color w:val="auto"/>
        </w:rPr>
      </w:pPr>
      <w:r>
        <w:rPr>
          <w:rFonts w:ascii="Times New Roman" w:cs="Times New Roman" w:eastAsia="Times New Roman" w:hAnsi="Times New Roman"/>
          <w:sz w:val="17"/>
          <w:szCs w:val="17"/>
          <w:color w:val="auto"/>
        </w:rPr>
        <w:t>Mortgage-Backed Securities (“MBS”) and CMO/REMIC — Most of the Company’s mortgage-backed and CMO/REMIC securities are issued by Government Agencies or Government-Sponsored Enterprises such as Ginnie Mae, Fannie Mae and Freddie Mac. These securities are collateralized or backed by the underlying residential or commercial mortgages. All mortgage-backed securities are considered to be rated investment grade with a weighted average life of approximately 2.6 years. Of the total MBS/CMO, 100% have the implied guarantee of U.S. Government-Sponsored Agencies and Enterprises. Accordingly, it is expected that the securities would not be settled at a price less than the amortized cost of the bonds. There were no credit-related impairments for the year ended December 31, 2020 and no OTTI recognized in earnings for the year ended December 31, 2019.</w:t>
      </w:r>
    </w:p>
    <w:p>
      <w:pPr>
        <w:spacing w:after="0" w:line="146" w:lineRule="exact"/>
        <w:rPr>
          <w:sz w:val="20"/>
          <w:szCs w:val="20"/>
          <w:color w:val="auto"/>
        </w:rPr>
      </w:pPr>
    </w:p>
    <w:p>
      <w:pPr>
        <w:ind w:left="120" w:firstLine="551"/>
        <w:spacing w:after="0" w:line="274" w:lineRule="auto"/>
        <w:rPr>
          <w:sz w:val="20"/>
          <w:szCs w:val="20"/>
          <w:color w:val="auto"/>
        </w:rPr>
      </w:pPr>
      <w:r>
        <w:rPr>
          <w:rFonts w:ascii="Times New Roman" w:cs="Times New Roman" w:eastAsia="Times New Roman" w:hAnsi="Times New Roman"/>
          <w:sz w:val="17"/>
          <w:szCs w:val="17"/>
          <w:color w:val="auto"/>
        </w:rPr>
        <w:t>Municipal Bonds — The majority of the Company’s municipal bonds, with maturities of approximately 10.2 years, represented approximately 7% of the total investment portfolio and are predominately AA or higher rated securities. The Company diversifies its holdings by owning selections of securities from different issuers and by holding securities from geographically diversified municipal issuers, thus reducing the Company’s exposure to any single adverse event. The decline in fair value is primarily due to the changes in interest rates. Since the Company does not intend to sell the investments and it is not more likely than not that the Company will be required to sell the investments before recovery of their amortized costs, these investments were not considered impaired at December 31, 2020 and there were no losses recognized in earnings for the year ended December 31, 2019.</w:t>
      </w:r>
    </w:p>
    <w:p>
      <w:pPr>
        <w:spacing w:after="0" w:line="132" w:lineRule="exact"/>
        <w:rPr>
          <w:sz w:val="20"/>
          <w:szCs w:val="20"/>
          <w:color w:val="auto"/>
        </w:rPr>
      </w:pPr>
    </w:p>
    <w:p>
      <w:pPr>
        <w:ind w:left="120" w:right="260" w:firstLine="551"/>
        <w:spacing w:after="0" w:line="282" w:lineRule="auto"/>
        <w:rPr>
          <w:sz w:val="20"/>
          <w:szCs w:val="20"/>
          <w:color w:val="auto"/>
        </w:rPr>
      </w:pPr>
      <w:r>
        <w:rPr>
          <w:rFonts w:ascii="Times New Roman" w:cs="Times New Roman" w:eastAsia="Times New Roman" w:hAnsi="Times New Roman"/>
          <w:sz w:val="18"/>
          <w:szCs w:val="18"/>
          <w:color w:val="auto"/>
        </w:rPr>
        <w:t>At December 31, 2020 and 2019, investment securities having a carrying value of approximately $1.81 billion and $1.64 billion, respectively, were pledged to secure public deposits, short and long-term borrowings, and for other purposes as required or permitted by law.</w:t>
      </w:r>
    </w:p>
    <w:p>
      <w:pPr>
        <w:spacing w:after="0" w:line="162" w:lineRule="exact"/>
        <w:rPr>
          <w:sz w:val="20"/>
          <w:szCs w:val="20"/>
          <w:color w:val="auto"/>
        </w:rPr>
      </w:pPr>
    </w:p>
    <w:p>
      <w:pPr>
        <w:ind w:left="120" w:right="160" w:firstLine="551"/>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 of debt securities at December 31, 2020, by contractual maturity, are shown in the table below. Although mortgage-backed and CMO/REMIC securities have weighted average remaining contractual maturities of approximately 18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Due in one year or less</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Due after one year through five years</w:t>
      </w:r>
    </w:p>
    <w:p>
      <w:pPr>
        <w:spacing w:after="0" w:line="1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Due after five years through ten years</w:t>
      </w:r>
    </w:p>
    <w:p>
      <w:pPr>
        <w:spacing w:after="0" w:line="1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Due after ten years</w:t>
      </w:r>
    </w:p>
    <w:p>
      <w:pPr>
        <w:spacing w:after="0" w:line="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Total investment securities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Held-to-maturity</w:t>
            </w:r>
          </w:p>
        </w:tc>
      </w:tr>
      <w:tr>
        <w:trPr>
          <w:trHeight w:val="182"/>
        </w:trPr>
        <w:tc>
          <w:tcPr>
            <w:tcW w:w="120" w:type="dxa"/>
            <w:vAlign w:val="bottom"/>
          </w:tcPr>
          <w:p>
            <w:pPr>
              <w:spacing w:after="0"/>
              <w:rPr>
                <w:sz w:val="15"/>
                <w:szCs w:val="15"/>
                <w:color w:val="auto"/>
              </w:rPr>
            </w:pPr>
          </w:p>
        </w:tc>
        <w:tc>
          <w:tcPr>
            <w:tcW w:w="9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5"/>
        </w:trPr>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10,473</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w:t>
            </w:r>
          </w:p>
        </w:tc>
      </w:tr>
      <w:tr>
        <w:trPr>
          <w:trHeight w:val="203"/>
        </w:trPr>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2,204,046</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2,255,300</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305,248</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317,994</w:t>
            </w:r>
          </w:p>
        </w:tc>
      </w:tr>
      <w:tr>
        <w:trPr>
          <w:trHeight w:val="202"/>
        </w:trPr>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92,729</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94,795</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75,561</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79,295</w:t>
            </w:r>
          </w:p>
        </w:tc>
      </w:tr>
      <w:tr>
        <w:trPr>
          <w:trHeight w:val="189"/>
        </w:trPr>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36,926</w:t>
            </w:r>
          </w:p>
        </w:tc>
        <w:tc>
          <w:tcPr>
            <w:tcW w:w="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38,329</w:t>
            </w:r>
          </w:p>
        </w:tc>
        <w:tc>
          <w:tcPr>
            <w:tcW w:w="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195,093</w:t>
            </w:r>
          </w:p>
        </w:tc>
        <w:tc>
          <w:tcPr>
            <w:tcW w:w="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204,183</w:t>
            </w:r>
          </w:p>
        </w:tc>
      </w:tr>
      <w:tr>
        <w:trPr>
          <w:trHeight w:val="210"/>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2,344,174</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2,398,923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578,626</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604,223</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-685165</wp:posOffset>
            </wp:positionV>
            <wp:extent cx="657479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6574790" cy="12890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-427990</wp:posOffset>
            </wp:positionV>
            <wp:extent cx="657479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6574790" cy="12890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-153670</wp:posOffset>
            </wp:positionV>
            <wp:extent cx="6574790"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6574790" cy="12890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4300" w:space="720"/>
            <w:col w:w="6100"/>
          </w:cols>
          <w:pgMar w:left="320" w:top="482" w:right="459" w:bottom="1440" w:gutter="0" w:footer="0" w:header="0"/>
          <w:type w:val="continuous"/>
        </w:sectPr>
      </w:pPr>
    </w:p>
    <w:p>
      <w:pPr>
        <w:ind w:left="120" w:right="80" w:firstLine="551"/>
        <w:spacing w:after="0" w:line="282" w:lineRule="auto"/>
        <w:rPr>
          <w:sz w:val="20"/>
          <w:szCs w:val="20"/>
          <w:color w:val="auto"/>
        </w:rPr>
      </w:pPr>
      <w:r>
        <w:rPr>
          <w:rFonts w:ascii="Times New Roman" w:cs="Times New Roman" w:eastAsia="Times New Roman" w:hAnsi="Times New Roman"/>
          <w:sz w:val="18"/>
          <w:szCs w:val="18"/>
          <w:color w:val="auto"/>
        </w:rPr>
        <w:t>The investment in FHLB stock is periodically evaluated for impairment based on, among other things, the capital adequacy of the FHLB and its overall financial condition. No impairment losses have been recorded through December 31, 2020.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type w:val="continuous"/>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right="3060" w:hanging="544"/>
        <w:spacing w:after="0" w:line="493" w:lineRule="auto"/>
        <w:tabs>
          <w:tab w:leader="none" w:pos="649"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LOANS AND LEASE FINANCE RECEIVABLES AND ALLOWANCE FOR CREDIT LOSSES </w:t>
      </w:r>
      <w:r>
        <w:rPr>
          <w:rFonts w:ascii="Times New Roman" w:cs="Times New Roman" w:eastAsia="Times New Roman" w:hAnsi="Times New Roman"/>
          <w:sz w:val="18"/>
          <w:szCs w:val="18"/>
          <w:color w:val="auto"/>
        </w:rPr>
        <w:t>The following table provides a summary of total loans and lease finance receivables by type.</w:t>
      </w:r>
    </w:p>
    <w:tbl>
      <w:tblPr>
        <w:tblLayout w:type="fixed"/>
        <w:tblInd w:w="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28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4"/>
          </w:tcPr>
          <w:p>
            <w:pPr>
              <w:jc w:val="right"/>
              <w:ind w:right="64"/>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6"/>
        </w:trPr>
        <w:tc>
          <w:tcPr>
            <w:tcW w:w="5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Commercial real estate</w:t>
            </w:r>
          </w:p>
        </w:tc>
        <w:tc>
          <w:tcPr>
            <w:tcW w:w="1780" w:type="dxa"/>
            <w:vAlign w:val="bottom"/>
            <w:gridSpan w:val="2"/>
            <w:shd w:val="clear" w:color="auto" w:fill="CCEEFF"/>
          </w:tcPr>
          <w:p>
            <w:pPr>
              <w:jc w:val="right"/>
              <w:ind w:right="156"/>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880"/>
              <w:spacing w:after="0" w:line="176" w:lineRule="exact"/>
              <w:rPr>
                <w:sz w:val="20"/>
                <w:szCs w:val="20"/>
                <w:color w:val="auto"/>
              </w:rPr>
            </w:pPr>
            <w:r>
              <w:rPr>
                <w:rFonts w:ascii="Times New Roman" w:cs="Times New Roman" w:eastAsia="Times New Roman" w:hAnsi="Times New Roman"/>
                <w:sz w:val="18"/>
                <w:szCs w:val="18"/>
                <w:color w:val="auto"/>
              </w:rPr>
              <w:t>5,501,509</w:t>
            </w:r>
          </w:p>
        </w:tc>
        <w:tc>
          <w:tcPr>
            <w:tcW w:w="420" w:type="dxa"/>
            <w:vAlign w:val="bottom"/>
            <w:gridSpan w:val="2"/>
            <w:shd w:val="clear" w:color="auto" w:fill="CCEEFF"/>
          </w:tcPr>
          <w:p>
            <w:pPr>
              <w:jc w:val="right"/>
              <w:ind w:right="284"/>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5,374,617</w:t>
            </w:r>
          </w:p>
        </w:tc>
        <w:tc>
          <w:tcPr>
            <w:tcW w:w="100" w:type="dxa"/>
            <w:vAlign w:val="bottom"/>
            <w:shd w:val="clear" w:color="auto" w:fill="CCEEFF"/>
          </w:tcPr>
          <w:p>
            <w:pPr>
              <w:spacing w:after="0"/>
              <w:rPr>
                <w:sz w:val="15"/>
                <w:szCs w:val="15"/>
                <w:color w:val="auto"/>
              </w:rPr>
            </w:pPr>
          </w:p>
        </w:tc>
      </w:tr>
      <w:tr>
        <w:trPr>
          <w:trHeight w:val="175"/>
        </w:trPr>
        <w:tc>
          <w:tcPr>
            <w:tcW w:w="5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Construction</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2"/>
          </w:tcPr>
          <w:p>
            <w:pPr>
              <w:jc w:val="right"/>
              <w:ind w:right="880"/>
              <w:spacing w:after="0" w:line="176" w:lineRule="exact"/>
              <w:rPr>
                <w:sz w:val="20"/>
                <w:szCs w:val="20"/>
                <w:color w:val="auto"/>
              </w:rPr>
            </w:pPr>
            <w:r>
              <w:rPr>
                <w:rFonts w:ascii="Times New Roman" w:cs="Times New Roman" w:eastAsia="Times New Roman" w:hAnsi="Times New Roman"/>
                <w:sz w:val="18"/>
                <w:szCs w:val="18"/>
                <w:color w:val="auto"/>
              </w:rPr>
              <w:t>85,145</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3"/>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116,925</w:t>
            </w:r>
          </w:p>
        </w:tc>
      </w:tr>
      <w:tr>
        <w:trPr>
          <w:trHeight w:val="176"/>
        </w:trPr>
        <w:tc>
          <w:tcPr>
            <w:tcW w:w="5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SBA</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880"/>
              <w:spacing w:after="0" w:line="176" w:lineRule="exact"/>
              <w:rPr>
                <w:sz w:val="20"/>
                <w:szCs w:val="20"/>
                <w:color w:val="auto"/>
              </w:rPr>
            </w:pPr>
            <w:r>
              <w:rPr>
                <w:rFonts w:ascii="Times New Roman" w:cs="Times New Roman" w:eastAsia="Times New Roman" w:hAnsi="Times New Roman"/>
                <w:sz w:val="18"/>
                <w:szCs w:val="18"/>
                <w:color w:val="auto"/>
              </w:rPr>
              <w:t>303,896</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305,008</w:t>
            </w:r>
          </w:p>
        </w:tc>
        <w:tc>
          <w:tcPr>
            <w:tcW w:w="100" w:type="dxa"/>
            <w:vAlign w:val="bottom"/>
            <w:shd w:val="clear" w:color="auto" w:fill="CCEEFF"/>
          </w:tcPr>
          <w:p>
            <w:pPr>
              <w:spacing w:after="0"/>
              <w:rPr>
                <w:sz w:val="15"/>
                <w:szCs w:val="15"/>
                <w:color w:val="auto"/>
              </w:rPr>
            </w:pPr>
          </w:p>
        </w:tc>
      </w:tr>
      <w:tr>
        <w:trPr>
          <w:trHeight w:val="176"/>
        </w:trPr>
        <w:tc>
          <w:tcPr>
            <w:tcW w:w="5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SBA - Paycheck Protection Program (PPP)</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2"/>
          </w:tcPr>
          <w:p>
            <w:pPr>
              <w:jc w:val="right"/>
              <w:ind w:right="880"/>
              <w:spacing w:after="0" w:line="176" w:lineRule="exact"/>
              <w:rPr>
                <w:sz w:val="20"/>
                <w:szCs w:val="20"/>
                <w:color w:val="auto"/>
              </w:rPr>
            </w:pPr>
            <w:r>
              <w:rPr>
                <w:rFonts w:ascii="Times New Roman" w:cs="Times New Roman" w:eastAsia="Times New Roman" w:hAnsi="Times New Roman"/>
                <w:sz w:val="18"/>
                <w:szCs w:val="18"/>
                <w:color w:val="auto"/>
              </w:rPr>
              <w:t>882,986</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r>
      <w:tr>
        <w:trPr>
          <w:trHeight w:val="175"/>
        </w:trPr>
        <w:tc>
          <w:tcPr>
            <w:tcW w:w="5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Commercial and industrial</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880"/>
              <w:spacing w:after="0" w:line="176" w:lineRule="exact"/>
              <w:rPr>
                <w:sz w:val="20"/>
                <w:szCs w:val="20"/>
                <w:color w:val="auto"/>
              </w:rPr>
            </w:pPr>
            <w:r>
              <w:rPr>
                <w:rFonts w:ascii="Times New Roman" w:cs="Times New Roman" w:eastAsia="Times New Roman" w:hAnsi="Times New Roman"/>
                <w:sz w:val="18"/>
                <w:szCs w:val="18"/>
                <w:color w:val="auto"/>
              </w:rPr>
              <w:t>812,062</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935,127</w:t>
            </w:r>
          </w:p>
        </w:tc>
        <w:tc>
          <w:tcPr>
            <w:tcW w:w="100" w:type="dxa"/>
            <w:vAlign w:val="bottom"/>
            <w:shd w:val="clear" w:color="auto" w:fill="CCEEFF"/>
          </w:tcPr>
          <w:p>
            <w:pPr>
              <w:spacing w:after="0"/>
              <w:rPr>
                <w:sz w:val="15"/>
                <w:szCs w:val="15"/>
                <w:color w:val="auto"/>
              </w:rPr>
            </w:pPr>
          </w:p>
        </w:tc>
      </w:tr>
      <w:tr>
        <w:trPr>
          <w:trHeight w:val="176"/>
        </w:trPr>
        <w:tc>
          <w:tcPr>
            <w:tcW w:w="5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Dairy &amp; livestock and agribusiness</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2"/>
          </w:tcPr>
          <w:p>
            <w:pPr>
              <w:jc w:val="right"/>
              <w:ind w:right="880"/>
              <w:spacing w:after="0" w:line="176" w:lineRule="exact"/>
              <w:rPr>
                <w:sz w:val="20"/>
                <w:szCs w:val="20"/>
                <w:color w:val="auto"/>
              </w:rPr>
            </w:pPr>
            <w:r>
              <w:rPr>
                <w:rFonts w:ascii="Times New Roman" w:cs="Times New Roman" w:eastAsia="Times New Roman" w:hAnsi="Times New Roman"/>
                <w:sz w:val="18"/>
                <w:szCs w:val="18"/>
                <w:color w:val="auto"/>
              </w:rPr>
              <w:t>361,146</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383,709</w:t>
            </w:r>
          </w:p>
        </w:tc>
        <w:tc>
          <w:tcPr>
            <w:tcW w:w="100" w:type="dxa"/>
            <w:vAlign w:val="bottom"/>
          </w:tcPr>
          <w:p>
            <w:pPr>
              <w:spacing w:after="0"/>
              <w:rPr>
                <w:sz w:val="15"/>
                <w:szCs w:val="15"/>
                <w:color w:val="auto"/>
              </w:rPr>
            </w:pPr>
          </w:p>
        </w:tc>
      </w:tr>
      <w:tr>
        <w:trPr>
          <w:trHeight w:val="175"/>
        </w:trPr>
        <w:tc>
          <w:tcPr>
            <w:tcW w:w="5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Municipal lease finance receivables</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880"/>
              <w:spacing w:after="0" w:line="176" w:lineRule="exact"/>
              <w:rPr>
                <w:sz w:val="20"/>
                <w:szCs w:val="20"/>
                <w:color w:val="auto"/>
              </w:rPr>
            </w:pPr>
            <w:r>
              <w:rPr>
                <w:rFonts w:ascii="Times New Roman" w:cs="Times New Roman" w:eastAsia="Times New Roman" w:hAnsi="Times New Roman"/>
                <w:sz w:val="18"/>
                <w:szCs w:val="18"/>
                <w:color w:val="auto"/>
              </w:rPr>
              <w:t>45,547</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53,146</w:t>
            </w:r>
          </w:p>
        </w:tc>
      </w:tr>
      <w:tr>
        <w:trPr>
          <w:trHeight w:val="176"/>
        </w:trPr>
        <w:tc>
          <w:tcPr>
            <w:tcW w:w="5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SFR mortgage</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2"/>
          </w:tcPr>
          <w:p>
            <w:pPr>
              <w:jc w:val="right"/>
              <w:ind w:right="880"/>
              <w:spacing w:after="0" w:line="176" w:lineRule="exact"/>
              <w:rPr>
                <w:sz w:val="20"/>
                <w:szCs w:val="20"/>
                <w:color w:val="auto"/>
              </w:rPr>
            </w:pPr>
            <w:r>
              <w:rPr>
                <w:rFonts w:ascii="Times New Roman" w:cs="Times New Roman" w:eastAsia="Times New Roman" w:hAnsi="Times New Roman"/>
                <w:sz w:val="18"/>
                <w:szCs w:val="18"/>
                <w:color w:val="auto"/>
              </w:rPr>
              <w:t>270,511</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283,468</w:t>
            </w:r>
          </w:p>
        </w:tc>
        <w:tc>
          <w:tcPr>
            <w:tcW w:w="100" w:type="dxa"/>
            <w:vAlign w:val="bottom"/>
          </w:tcPr>
          <w:p>
            <w:pPr>
              <w:spacing w:after="0"/>
              <w:rPr>
                <w:sz w:val="15"/>
                <w:szCs w:val="15"/>
                <w:color w:val="auto"/>
              </w:rPr>
            </w:pPr>
          </w:p>
        </w:tc>
      </w:tr>
      <w:tr>
        <w:trPr>
          <w:trHeight w:val="176"/>
        </w:trPr>
        <w:tc>
          <w:tcPr>
            <w:tcW w:w="5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Consumer and other loans</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880"/>
              <w:spacing w:after="0" w:line="176" w:lineRule="exact"/>
              <w:rPr>
                <w:sz w:val="20"/>
                <w:szCs w:val="20"/>
                <w:color w:val="auto"/>
              </w:rPr>
            </w:pPr>
            <w:r>
              <w:rPr>
                <w:rFonts w:ascii="Times New Roman" w:cs="Times New Roman" w:eastAsia="Times New Roman" w:hAnsi="Times New Roman"/>
                <w:sz w:val="18"/>
                <w:szCs w:val="18"/>
                <w:color w:val="auto"/>
              </w:rPr>
              <w:t>86,006</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116,319</w:t>
            </w:r>
          </w:p>
        </w:tc>
      </w:tr>
      <w:tr>
        <w:trPr>
          <w:trHeight w:val="169"/>
        </w:trPr>
        <w:tc>
          <w:tcPr>
            <w:tcW w:w="5680" w:type="dxa"/>
            <w:vAlign w:val="bottom"/>
          </w:tcPr>
          <w:p>
            <w:pPr>
              <w:ind w:left="620"/>
              <w:spacing w:after="0" w:line="169" w:lineRule="exact"/>
              <w:rPr>
                <w:sz w:val="20"/>
                <w:szCs w:val="20"/>
                <w:color w:val="auto"/>
              </w:rPr>
            </w:pPr>
            <w:r>
              <w:rPr>
                <w:rFonts w:ascii="Times New Roman" w:cs="Times New Roman" w:eastAsia="Times New Roman" w:hAnsi="Times New Roman"/>
                <w:sz w:val="18"/>
                <w:szCs w:val="18"/>
                <w:color w:val="auto"/>
              </w:rPr>
              <w:t>Total loans</w:t>
            </w:r>
          </w:p>
        </w:tc>
        <w:tc>
          <w:tcPr>
            <w:tcW w:w="14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8,348,808</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7,568,319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Deferred loan fees, net (1)</w:t>
            </w: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(3,742)</w:t>
            </w:r>
          </w:p>
        </w:tc>
      </w:tr>
      <w:tr>
        <w:trPr>
          <w:trHeight w:val="169"/>
        </w:trPr>
        <w:tc>
          <w:tcPr>
            <w:tcW w:w="5680" w:type="dxa"/>
            <w:vAlign w:val="bottom"/>
          </w:tcPr>
          <w:p>
            <w:pPr>
              <w:ind w:left="620"/>
              <w:spacing w:after="0" w:line="169" w:lineRule="exact"/>
              <w:rPr>
                <w:sz w:val="20"/>
                <w:szCs w:val="20"/>
                <w:color w:val="auto"/>
              </w:rPr>
            </w:pPr>
            <w:r>
              <w:rPr>
                <w:rFonts w:ascii="Times New Roman" w:cs="Times New Roman" w:eastAsia="Times New Roman" w:hAnsi="Times New Roman"/>
                <w:sz w:val="18"/>
                <w:szCs w:val="18"/>
                <w:color w:val="auto"/>
              </w:rPr>
              <w:t>Total loans, net of deferred loan fees</w:t>
            </w:r>
          </w:p>
        </w:tc>
        <w:tc>
          <w:tcPr>
            <w:tcW w:w="14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8,348,808</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7,564,577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Allowance for credit losses</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820"/>
              <w:spacing w:after="0" w:line="176" w:lineRule="exact"/>
              <w:rPr>
                <w:sz w:val="20"/>
                <w:szCs w:val="20"/>
                <w:color w:val="auto"/>
              </w:rPr>
            </w:pPr>
            <w:r>
              <w:rPr>
                <w:rFonts w:ascii="Times New Roman" w:cs="Times New Roman" w:eastAsia="Times New Roman" w:hAnsi="Times New Roman"/>
                <w:sz w:val="18"/>
                <w:szCs w:val="18"/>
                <w:color w:val="auto"/>
              </w:rPr>
              <w:t>(93,692)</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(68,660)</w:t>
            </w:r>
          </w:p>
        </w:tc>
      </w:tr>
      <w:tr>
        <w:trPr>
          <w:trHeight w:val="183"/>
        </w:trPr>
        <w:tc>
          <w:tcPr>
            <w:tcW w:w="5680" w:type="dxa"/>
            <w:vAlign w:val="bottom"/>
          </w:tcPr>
          <w:p>
            <w:pPr>
              <w:ind w:left="980"/>
              <w:spacing w:after="0" w:line="182" w:lineRule="exact"/>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146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8,255,116</w:t>
            </w:r>
          </w:p>
        </w:tc>
        <w:tc>
          <w:tcPr>
            <w:tcW w:w="8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7,495,917</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5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1420" w:hanging="427"/>
        <w:spacing w:after="0"/>
        <w:tabs>
          <w:tab w:leader="none" w:pos="1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 March 31, 2020, gross loans are presented net of deferred loan fees by respective class of financing receivables.</w:t>
      </w:r>
    </w:p>
    <w:p>
      <w:pPr>
        <w:spacing w:after="0" w:line="190" w:lineRule="exact"/>
        <w:rPr>
          <w:sz w:val="20"/>
          <w:szCs w:val="20"/>
          <w:color w:val="auto"/>
        </w:rPr>
      </w:pPr>
    </w:p>
    <w:p>
      <w:pPr>
        <w:ind w:left="120" w:right="60" w:firstLine="551"/>
        <w:spacing w:after="0" w:line="254" w:lineRule="auto"/>
        <w:rPr>
          <w:sz w:val="20"/>
          <w:szCs w:val="20"/>
          <w:color w:val="auto"/>
        </w:rPr>
      </w:pPr>
      <w:r>
        <w:rPr>
          <w:rFonts w:ascii="Times New Roman" w:cs="Times New Roman" w:eastAsia="Times New Roman" w:hAnsi="Times New Roman"/>
          <w:sz w:val="18"/>
          <w:szCs w:val="18"/>
          <w:color w:val="auto"/>
        </w:rPr>
        <w:t>As of December 31, 2020, 70.16% of the Company’s total gross loan portfolio consisted of real estate loans, with commercial real estate loans representing 65.90% of total loans. Substantially all of the Company’s real estate loans and construction loans are secured by real properties located in California. As of December 31, 2020, $314.4 million, or 5.72% of the total commercial real estate loans included loans secured by farmland, compared to $241.8 million, or 4.50%, at December 31, 2019. The loans secured by farmland included $132.9 million for loans secured by dairy &amp; livestock land and $181.5 million for loans secured by agricultural land at December 31, 2020, compared to $125.9 million for loans secured by dairy &amp; livestock land and $115.9 million for loans secured by agricultural land at December 31, 2019. As of December 31, 2020, dairy &amp; livestock and agribusiness loans of $361.1 million were comprised of $320.1 million for dairy &amp; livestock loans and $41.0 million for agribusiness loans, compared to $323.5 million for dairy &amp; livestock loans and $60.2 million for agribusiness loans at December 31, 2019.</w:t>
      </w:r>
    </w:p>
    <w:p>
      <w:pPr>
        <w:spacing w:after="0" w:line="151" w:lineRule="exact"/>
        <w:rPr>
          <w:sz w:val="20"/>
          <w:szCs w:val="20"/>
          <w:color w:val="auto"/>
        </w:rPr>
      </w:pPr>
    </w:p>
    <w:p>
      <w:pPr>
        <w:ind w:left="120" w:right="700" w:firstLine="551"/>
        <w:spacing w:after="0" w:line="282" w:lineRule="auto"/>
        <w:rPr>
          <w:sz w:val="20"/>
          <w:szCs w:val="20"/>
          <w:color w:val="auto"/>
        </w:rPr>
      </w:pPr>
      <w:r>
        <w:rPr>
          <w:rFonts w:ascii="Times New Roman" w:cs="Times New Roman" w:eastAsia="Times New Roman" w:hAnsi="Times New Roman"/>
          <w:sz w:val="18"/>
          <w:szCs w:val="18"/>
          <w:color w:val="auto"/>
        </w:rPr>
        <w:t>At December 31, 2020 and 2019, loans totaling $6.07 billion and $6.03 billion, respectively, were pledged to secure the borrowings and available lines of credit from the FHLB and the Federal Reserve Bank.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outstanding loans held-for-sale as of December 31, 2020 and 2019.</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89" w:lineRule="exact"/>
        <w:rPr>
          <w:sz w:val="20"/>
          <w:szCs w:val="20"/>
          <w:color w:val="auto"/>
        </w:rPr>
      </w:pPr>
    </w:p>
    <w:p>
      <w:pPr>
        <w:ind w:left="120" w:right="140" w:firstLine="551"/>
        <w:spacing w:after="0" w:line="312" w:lineRule="auto"/>
        <w:rPr>
          <w:sz w:val="20"/>
          <w:szCs w:val="20"/>
          <w:color w:val="auto"/>
        </w:rPr>
      </w:pPr>
      <w:r>
        <w:rPr>
          <w:rFonts w:ascii="Times New Roman" w:cs="Times New Roman" w:eastAsia="Times New Roman" w:hAnsi="Times New Roman"/>
          <w:sz w:val="17"/>
          <w:szCs w:val="17"/>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99" w:lineRule="exact"/>
        <w:rPr>
          <w:sz w:val="20"/>
          <w:szCs w:val="20"/>
          <w:color w:val="auto"/>
        </w:rPr>
      </w:pPr>
    </w:p>
    <w:p>
      <w:pPr>
        <w:ind w:left="120" w:right="260" w:firstLine="551"/>
        <w:spacing w:after="0" w:line="258" w:lineRule="auto"/>
        <w:rPr>
          <w:sz w:val="20"/>
          <w:szCs w:val="20"/>
          <w:color w:val="auto"/>
        </w:rPr>
      </w:pPr>
      <w:r>
        <w:rPr>
          <w:rFonts w:ascii="Times New Roman" w:cs="Times New Roman" w:eastAsia="Times New Roman" w:hAnsi="Times New Roman"/>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82" w:right="4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551"/>
        <w:spacing w:after="0" w:line="282" w:lineRule="auto"/>
        <w:rPr>
          <w:sz w:val="20"/>
          <w:szCs w:val="20"/>
          <w:color w:val="auto"/>
        </w:rPr>
      </w:pPr>
      <w:r>
        <w:rPr>
          <w:rFonts w:ascii="Times New Roman" w:cs="Times New Roman" w:eastAsia="Times New Roman" w:hAnsi="Times New Roman"/>
          <w:sz w:val="18"/>
          <w:szCs w:val="18"/>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35" w:lineRule="exact"/>
        <w:rPr>
          <w:sz w:val="20"/>
          <w:szCs w:val="20"/>
          <w:color w:val="auto"/>
        </w:rPr>
      </w:pPr>
    </w:p>
    <w:p>
      <w:pPr>
        <w:ind w:left="120" w:right="40" w:firstLine="551"/>
        <w:spacing w:after="0" w:line="261" w:lineRule="auto"/>
        <w:rPr>
          <w:sz w:val="20"/>
          <w:szCs w:val="20"/>
          <w:color w:val="auto"/>
        </w:rPr>
      </w:pPr>
      <w:r>
        <w:rPr>
          <w:rFonts w:ascii="Times New Roman" w:cs="Times New Roman" w:eastAsia="Times New Roman" w:hAnsi="Times New Roman"/>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39" w:lineRule="exact"/>
        <w:rPr>
          <w:sz w:val="20"/>
          <w:szCs w:val="20"/>
          <w:color w:val="auto"/>
        </w:rPr>
      </w:pPr>
    </w:p>
    <w:p>
      <w:pPr>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35" w:lineRule="exact"/>
        <w:rPr>
          <w:sz w:val="20"/>
          <w:szCs w:val="20"/>
          <w:color w:val="auto"/>
        </w:rPr>
      </w:pPr>
    </w:p>
    <w:p>
      <w:pPr>
        <w:ind w:left="120" w:right="180" w:firstLine="551"/>
        <w:spacing w:after="0" w:line="266" w:lineRule="auto"/>
        <w:rPr>
          <w:sz w:val="20"/>
          <w:szCs w:val="20"/>
          <w:color w:val="auto"/>
        </w:rPr>
      </w:pPr>
      <w:r>
        <w:rPr>
          <w:rFonts w:ascii="Times New Roman" w:cs="Times New Roman" w:eastAsia="Times New Roman" w:hAnsi="Times New Roman"/>
          <w:sz w:val="18"/>
          <w:szCs w:val="18"/>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49" w:lineRule="exact"/>
        <w:rPr>
          <w:sz w:val="20"/>
          <w:szCs w:val="20"/>
          <w:color w:val="auto"/>
        </w:rPr>
      </w:pPr>
    </w:p>
    <w:p>
      <w:pPr>
        <w:ind w:left="120" w:firstLine="551"/>
        <w:spacing w:after="0" w:line="312" w:lineRule="auto"/>
        <w:rPr>
          <w:sz w:val="20"/>
          <w:szCs w:val="20"/>
          <w:color w:val="auto"/>
        </w:rPr>
      </w:pPr>
      <w:r>
        <w:rPr>
          <w:rFonts w:ascii="Times New Roman" w:cs="Times New Roman" w:eastAsia="Times New Roman" w:hAnsi="Times New Roman"/>
          <w:sz w:val="17"/>
          <w:szCs w:val="17"/>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99" w:lineRule="exact"/>
        <w:rPr>
          <w:sz w:val="20"/>
          <w:szCs w:val="20"/>
          <w:color w:val="auto"/>
        </w:rPr>
      </w:pPr>
    </w:p>
    <w:p>
      <w:pPr>
        <w:ind w:left="120" w:right="60" w:firstLine="551"/>
        <w:spacing w:after="0" w:line="266" w:lineRule="auto"/>
        <w:rPr>
          <w:sz w:val="20"/>
          <w:szCs w:val="20"/>
          <w:color w:val="auto"/>
        </w:rPr>
      </w:pPr>
      <w:r>
        <w:rPr>
          <w:rFonts w:ascii="Times New Roman" w:cs="Times New Roman" w:eastAsia="Times New Roman" w:hAnsi="Times New Roman"/>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82"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loans by type, according to our internal risk ratings as of the dates presented.</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 Year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1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5"/>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80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1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2"/>
                <w:szCs w:val="12"/>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9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term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3"/>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8"/>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gridSpan w:val="8"/>
          </w:tcPr>
          <w:p>
            <w:pPr>
              <w:jc w:val="right"/>
              <w:ind w:right="620"/>
              <w:spacing w:after="0" w:line="129"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Commercial real estate loans: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979,499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691,091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607,753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617,640</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550,105</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1,646,876</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192,583</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24,548</w:t>
            </w:r>
          </w:p>
        </w:tc>
        <w:tc>
          <w:tcPr>
            <w:tcW w:w="26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5,310,095</w:t>
            </w:r>
          </w:p>
        </w:tc>
        <w:tc>
          <w:tcPr>
            <w:tcW w:w="0" w:type="dxa"/>
            <w:vAlign w:val="bottom"/>
          </w:tcPr>
          <w:p>
            <w:pPr>
              <w:spacing w:after="0"/>
              <w:rPr>
                <w:sz w:val="1"/>
                <w:szCs w:val="1"/>
                <w:color w:val="auto"/>
              </w:rPr>
            </w:pPr>
          </w:p>
        </w:tc>
      </w:tr>
      <w:tr>
        <w:trPr>
          <w:trHeight w:val="148"/>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9,332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7,162</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30,049</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43,870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17,398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49,840</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5,720</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164,365</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2,157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7,382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13,790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27,049</w:t>
            </w:r>
          </w:p>
        </w:tc>
        <w:tc>
          <w:tcPr>
            <w:tcW w:w="0" w:type="dxa"/>
            <w:vAlign w:val="bottom"/>
          </w:tcPr>
          <w:p>
            <w:pPr>
              <w:spacing w:after="0"/>
              <w:rPr>
                <w:sz w:val="1"/>
                <w:szCs w:val="1"/>
                <w:color w:val="auto"/>
              </w:rPr>
            </w:pPr>
          </w:p>
        </w:tc>
      </w:tr>
      <w:tr>
        <w:trPr>
          <w:trHeight w:val="148"/>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Doubtful &amp; Loss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Commercial real estate loans: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988,831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698,744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639,959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668,892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570,031</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1,710,506</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198,663</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25,883</w:t>
            </w:r>
          </w:p>
        </w:tc>
        <w:tc>
          <w:tcPr>
            <w:tcW w:w="26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5,501,509</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14,511</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9,350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14,945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2,258</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44,077</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85,145</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Doubtful &amp; Loss</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Construction loans:</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14,511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9,350</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14,945</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2,258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44,077</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85,145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SBA loans: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47,901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12,821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44,950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58,839</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26,136</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86,085</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2,976</w:t>
            </w:r>
          </w:p>
        </w:tc>
        <w:tc>
          <w:tcPr>
            <w:tcW w:w="26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279,708</w:t>
            </w:r>
          </w:p>
        </w:tc>
        <w:tc>
          <w:tcPr>
            <w:tcW w:w="0" w:type="dxa"/>
            <w:vAlign w:val="bottom"/>
          </w:tcPr>
          <w:p>
            <w:pPr>
              <w:spacing w:after="0"/>
              <w:rPr>
                <w:sz w:val="1"/>
                <w:szCs w:val="1"/>
                <w:color w:val="auto"/>
              </w:rPr>
            </w:pPr>
          </w:p>
        </w:tc>
      </w:tr>
      <w:tr>
        <w:trPr>
          <w:trHeight w:val="148"/>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5,446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5,648</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12,430</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5,503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3,797</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11,758</w:t>
            </w:r>
          </w:p>
        </w:tc>
        <w:tc>
          <w:tcPr>
            <w:tcW w:w="0" w:type="dxa"/>
            <w:vAlign w:val="bottom"/>
          </w:tcPr>
          <w:p>
            <w:pPr>
              <w:spacing w:after="0"/>
              <w:rPr>
                <w:sz w:val="1"/>
                <w:szCs w:val="1"/>
                <w:color w:val="auto"/>
              </w:rPr>
            </w:pPr>
          </w:p>
        </w:tc>
      </w:tr>
      <w:tr>
        <w:trPr>
          <w:trHeight w:val="149"/>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Doubtful &amp; Loss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SBA loans: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47,901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45,854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69,788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29,026</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95,530</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2,976</w:t>
            </w:r>
          </w:p>
        </w:tc>
        <w:tc>
          <w:tcPr>
            <w:tcW w:w="26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303,896</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SBA - PPP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882,986</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882,986</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Doubtful &amp; Loss</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SBA - PPP loans:</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882,986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882,986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Commercial and industrial loans: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104,478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168,050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62,453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56,043</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32,149</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76,019</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257,250</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6,058</w:t>
            </w:r>
          </w:p>
        </w:tc>
        <w:tc>
          <w:tcPr>
            <w:tcW w:w="26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762,500</w:t>
            </w:r>
          </w:p>
        </w:tc>
        <w:tc>
          <w:tcPr>
            <w:tcW w:w="0" w:type="dxa"/>
            <w:vAlign w:val="bottom"/>
          </w:tcPr>
          <w:p>
            <w:pPr>
              <w:spacing w:after="0"/>
              <w:rPr>
                <w:sz w:val="1"/>
                <w:szCs w:val="1"/>
                <w:color w:val="auto"/>
              </w:rPr>
            </w:pPr>
          </w:p>
        </w:tc>
      </w:tr>
      <w:tr>
        <w:trPr>
          <w:trHeight w:val="149"/>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1,995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1,892</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4,882</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17,395</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29,500</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4,346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3,996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2,282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6,677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1,522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20,062</w:t>
            </w:r>
          </w:p>
        </w:tc>
        <w:tc>
          <w:tcPr>
            <w:tcW w:w="0" w:type="dxa"/>
            <w:vAlign w:val="bottom"/>
          </w:tcPr>
          <w:p>
            <w:pPr>
              <w:spacing w:after="0"/>
              <w:rPr>
                <w:sz w:val="1"/>
                <w:szCs w:val="1"/>
                <w:color w:val="auto"/>
              </w:rPr>
            </w:pPr>
          </w:p>
        </w:tc>
      </w:tr>
      <w:tr>
        <w:trPr>
          <w:trHeight w:val="148"/>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Doubtful &amp; Loss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Commercial and industrial loans: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110,819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169,991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68,341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59,353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32,529</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80,995</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281,322</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8,712</w:t>
            </w:r>
          </w:p>
        </w:tc>
        <w:tc>
          <w:tcPr>
            <w:tcW w:w="26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812,062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Dairy &amp; livestock and agribusiness loans: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5,680</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319,211</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26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329,699</w:t>
            </w:r>
          </w:p>
        </w:tc>
        <w:tc>
          <w:tcPr>
            <w:tcW w:w="0" w:type="dxa"/>
            <w:vAlign w:val="bottom"/>
          </w:tcPr>
          <w:p>
            <w:pPr>
              <w:spacing w:after="0"/>
              <w:rPr>
                <w:sz w:val="1"/>
                <w:szCs w:val="1"/>
                <w:color w:val="auto"/>
              </w:rPr>
            </w:pPr>
          </w:p>
        </w:tc>
      </w:tr>
      <w:tr>
        <w:trPr>
          <w:trHeight w:val="149"/>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878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13,255</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16,008</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784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11,677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15,439</w:t>
            </w:r>
          </w:p>
        </w:tc>
        <w:tc>
          <w:tcPr>
            <w:tcW w:w="0" w:type="dxa"/>
            <w:vAlign w:val="bottom"/>
          </w:tcPr>
          <w:p>
            <w:pPr>
              <w:spacing w:after="0"/>
              <w:rPr>
                <w:sz w:val="1"/>
                <w:szCs w:val="1"/>
                <w:color w:val="auto"/>
              </w:rPr>
            </w:pPr>
          </w:p>
        </w:tc>
      </w:tr>
      <w:tr>
        <w:trPr>
          <w:trHeight w:val="148"/>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Doubtful &amp; Loss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Dairy &amp; livestock and agribusiness loans: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2,405</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332,466</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13,551</w:t>
            </w:r>
          </w:p>
        </w:tc>
        <w:tc>
          <w:tcPr>
            <w:tcW w:w="26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361,146</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Municipal lease finance receivables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8,478</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2,556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10,249</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3,586</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20,266</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45,135</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48"/>
        </w:trPr>
        <w:tc>
          <w:tcPr>
            <w:tcW w:w="31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Doubtful &amp; Loss</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3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Municipal lease finance receivables loans:</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8,478</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2,556</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10,249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3,586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20,678</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45,547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82" w:right="4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80" w:type="dxa"/>
            <w:vAlign w:val="bottom"/>
          </w:tcPr>
          <w:p>
            <w:pPr>
              <w:spacing w:after="0"/>
              <w:rPr>
                <w:sz w:val="13"/>
                <w:szCs w:val="13"/>
                <w:color w:val="auto"/>
              </w:rPr>
            </w:pP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Origination Year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1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gridSpan w:val="6"/>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Pr>
          <w:p>
            <w:pPr>
              <w:spacing w:after="0"/>
              <w:rPr>
                <w:sz w:val="6"/>
                <w:szCs w:val="6"/>
                <w:color w:val="auto"/>
              </w:rPr>
            </w:pPr>
          </w:p>
        </w:tc>
        <w:tc>
          <w:tcPr>
            <w:tcW w:w="72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1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7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 term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04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cost basis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8"/>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8"/>
          </w:tcPr>
          <w:p>
            <w:pPr>
              <w:jc w:val="right"/>
              <w:ind w:right="440"/>
              <w:spacing w:after="0" w:line="129"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SFR mortgage loans:</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1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65,463</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59,596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29,142</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22,452</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27,192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62,593</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266,441</w:t>
            </w:r>
          </w:p>
        </w:tc>
        <w:tc>
          <w:tcPr>
            <w:tcW w:w="0" w:type="dxa"/>
            <w:vAlign w:val="bottom"/>
          </w:tcPr>
          <w:p>
            <w:pPr>
              <w:spacing w:after="0"/>
              <w:rPr>
                <w:sz w:val="1"/>
                <w:szCs w:val="1"/>
                <w:color w:val="auto"/>
              </w:rPr>
            </w:pPr>
          </w:p>
        </w:tc>
      </w:tr>
      <w:tr>
        <w:trPr>
          <w:trHeight w:val="148"/>
        </w:trPr>
        <w:tc>
          <w:tcPr>
            <w:tcW w:w="30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2,957</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3,618</w:t>
            </w:r>
          </w:p>
        </w:tc>
        <w:tc>
          <w:tcPr>
            <w:tcW w:w="0" w:type="dxa"/>
            <w:vAlign w:val="bottom"/>
          </w:tcPr>
          <w:p>
            <w:pPr>
              <w:spacing w:after="0"/>
              <w:rPr>
                <w:sz w:val="1"/>
                <w:szCs w:val="1"/>
                <w:color w:val="auto"/>
              </w:rPr>
            </w:pPr>
          </w:p>
        </w:tc>
      </w:tr>
      <w:tr>
        <w:trPr>
          <w:trHeight w:val="162"/>
        </w:trPr>
        <w:tc>
          <w:tcPr>
            <w:tcW w:w="3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Doubtful &amp; Loss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SFR mortgage loans:</w:t>
            </w:r>
          </w:p>
        </w:tc>
        <w:tc>
          <w:tcPr>
            <w:tcW w:w="11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65,463</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59,596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29,142</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22,452</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27,421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66,002</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270,511</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Consumer and other loans:</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1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8,557</w:t>
            </w: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2,077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969</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961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67,774</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1,688</w:t>
            </w:r>
          </w:p>
        </w:tc>
        <w:tc>
          <w:tcPr>
            <w:tcW w:w="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84,483</w:t>
            </w: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148"/>
        </w:trPr>
        <w:tc>
          <w:tcPr>
            <w:tcW w:w="30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Doubtful &amp; Loss</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Consumer and other loans:</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40" w:type="dxa"/>
            <w:vAlign w:val="bottom"/>
            <w:gridSpan w:val="2"/>
            <w:vMerge w:val="continue"/>
          </w:tcPr>
          <w:p>
            <w:pPr>
              <w:spacing w:after="0"/>
              <w:rPr>
                <w:sz w:val="15"/>
                <w:szCs w:val="15"/>
                <w:color w:val="auto"/>
              </w:rPr>
            </w:pP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8,557</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2,077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871</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68,291</w:t>
            </w:r>
          </w:p>
        </w:tc>
        <w:tc>
          <w:tcPr>
            <w:tcW w:w="8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2,431</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86,006</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Gross loans:</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1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9"/>
              </w:rPr>
              <w:t>2,112,914</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944,750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763,869</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774,130</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640,874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1,893,124</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880,898</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35,633</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8,046,192</w:t>
            </w:r>
          </w:p>
        </w:tc>
        <w:tc>
          <w:tcPr>
            <w:tcW w:w="0" w:type="dxa"/>
            <w:vAlign w:val="bottom"/>
          </w:tcPr>
          <w:p>
            <w:pPr>
              <w:spacing w:after="0"/>
              <w:rPr>
                <w:sz w:val="1"/>
                <w:szCs w:val="1"/>
                <w:color w:val="auto"/>
              </w:rPr>
            </w:pPr>
          </w:p>
        </w:tc>
      </w:tr>
      <w:tr>
        <w:trPr>
          <w:trHeight w:val="148"/>
        </w:trPr>
        <w:tc>
          <w:tcPr>
            <w:tcW w:w="30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8,243</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32,305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50,344</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18,829</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61,325</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36,887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223,797</w:t>
            </w: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1,351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7,841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15,860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6,881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20,810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14,693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78,819</w:t>
            </w:r>
          </w:p>
        </w:tc>
        <w:tc>
          <w:tcPr>
            <w:tcW w:w="0" w:type="dxa"/>
            <w:vAlign w:val="bottom"/>
          </w:tcPr>
          <w:p>
            <w:pPr>
              <w:spacing w:after="0"/>
              <w:rPr>
                <w:sz w:val="1"/>
                <w:szCs w:val="1"/>
                <w:color w:val="auto"/>
              </w:rPr>
            </w:pPr>
          </w:p>
        </w:tc>
      </w:tr>
      <w:tr>
        <w:trPr>
          <w:trHeight w:val="148"/>
        </w:trPr>
        <w:tc>
          <w:tcPr>
            <w:tcW w:w="30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Doubtful &amp; Loss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Gross loans:</w:t>
            </w:r>
          </w:p>
        </w:tc>
        <w:tc>
          <w:tcPr>
            <w:tcW w:w="11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9"/>
              </w:rPr>
              <w:t>2,129,465</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954,344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804,015</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840,334</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666,584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1,975,259</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924,822</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53,985</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8,348,808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loans by type, according to our internal risk ratings as of the date presented.</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4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Doubtful &amp;</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5"/>
        </w:trPr>
        <w:tc>
          <w:tcPr>
            <w:tcW w:w="4720" w:type="dxa"/>
            <w:vAlign w:val="bottom"/>
          </w:tcPr>
          <w:p>
            <w:pPr>
              <w:spacing w:after="0"/>
              <w:rPr>
                <w:sz w:val="18"/>
                <w:szCs w:val="18"/>
                <w:color w:val="auto"/>
              </w:rPr>
            </w:pPr>
          </w:p>
        </w:tc>
        <w:tc>
          <w:tcPr>
            <w:tcW w:w="136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Pass</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Mention</w:t>
            </w:r>
          </w:p>
        </w:tc>
        <w:tc>
          <w:tcPr>
            <w:tcW w:w="4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Substandard</w:t>
            </w:r>
          </w:p>
        </w:tc>
        <w:tc>
          <w:tcPr>
            <w:tcW w:w="16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3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7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Owner occupied</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w w:val="99"/>
              </w:rPr>
              <w:t>$1,977,007</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78,208</w:t>
            </w:r>
          </w:p>
        </w:tc>
        <w:tc>
          <w:tcPr>
            <w:tcW w:w="220" w:type="dxa"/>
            <w:vAlign w:val="bottom"/>
          </w:tcPr>
          <w:p>
            <w:pPr>
              <w:spacing w:after="0"/>
              <w:rPr>
                <w:sz w:val="17"/>
                <w:szCs w:val="17"/>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28,435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$2,083,650</w:t>
            </w:r>
          </w:p>
        </w:tc>
        <w:tc>
          <w:tcPr>
            <w:tcW w:w="40" w:type="dxa"/>
            <w:vAlign w:val="bottom"/>
          </w:tcPr>
          <w:p>
            <w:pPr>
              <w:spacing w:after="0"/>
              <w:rPr>
                <w:sz w:val="17"/>
                <w:szCs w:val="17"/>
                <w:color w:val="auto"/>
              </w:rPr>
            </w:pPr>
          </w:p>
        </w:tc>
      </w:tr>
      <w:tr>
        <w:trPr>
          <w:trHeight w:val="203"/>
        </w:trPr>
        <w:tc>
          <w:tcPr>
            <w:tcW w:w="4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Non-owner occupied</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3,280,580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10,005</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382</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3,290,967</w:t>
            </w:r>
          </w:p>
        </w:tc>
        <w:tc>
          <w:tcPr>
            <w:tcW w:w="40" w:type="dxa"/>
            <w:vAlign w:val="bottom"/>
            <w:shd w:val="clear" w:color="auto" w:fill="CCEEFF"/>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Speculative</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106,895</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106,895</w:t>
            </w:r>
          </w:p>
        </w:tc>
        <w:tc>
          <w:tcPr>
            <w:tcW w:w="40" w:type="dxa"/>
            <w:vAlign w:val="bottom"/>
            <w:shd w:val="clear" w:color="auto" w:fill="CCEEFF"/>
          </w:tcPr>
          <w:p>
            <w:pPr>
              <w:spacing w:after="0"/>
              <w:rPr>
                <w:sz w:val="17"/>
                <w:szCs w:val="17"/>
                <w:color w:val="auto"/>
              </w:rPr>
            </w:pPr>
          </w:p>
        </w:tc>
      </w:tr>
      <w:tr>
        <w:trPr>
          <w:trHeight w:val="203"/>
        </w:trPr>
        <w:tc>
          <w:tcPr>
            <w:tcW w:w="4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Non-speculative</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10,030</w:t>
            </w:r>
          </w:p>
        </w:tc>
        <w:tc>
          <w:tcPr>
            <w:tcW w:w="8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10,030</w:t>
            </w:r>
          </w:p>
        </w:tc>
        <w:tc>
          <w:tcPr>
            <w:tcW w:w="4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SBA</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283,430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11,032</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10,546</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305,008</w:t>
            </w:r>
          </w:p>
        </w:tc>
        <w:tc>
          <w:tcPr>
            <w:tcW w:w="40" w:type="dxa"/>
            <w:vAlign w:val="bottom"/>
            <w:shd w:val="clear" w:color="auto" w:fill="CCEEFF"/>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895,234</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4,420</w:t>
            </w:r>
          </w:p>
        </w:tc>
        <w:tc>
          <w:tcPr>
            <w:tcW w:w="16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935,127</w:t>
            </w:r>
          </w:p>
        </w:tc>
        <w:tc>
          <w:tcPr>
            <w:tcW w:w="4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320,670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35,920</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27,119</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383,709</w:t>
            </w:r>
          </w:p>
        </w:tc>
        <w:tc>
          <w:tcPr>
            <w:tcW w:w="40" w:type="dxa"/>
            <w:vAlign w:val="bottom"/>
            <w:shd w:val="clear" w:color="auto" w:fill="CCEEFF"/>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52,676</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53,146</w:t>
            </w:r>
          </w:p>
        </w:tc>
        <w:tc>
          <w:tcPr>
            <w:tcW w:w="4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SFR mortgage</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280,010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1,501</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283,468</w:t>
            </w:r>
          </w:p>
        </w:tc>
        <w:tc>
          <w:tcPr>
            <w:tcW w:w="40" w:type="dxa"/>
            <w:vAlign w:val="bottom"/>
            <w:shd w:val="clear" w:color="auto" w:fill="CCEEFF"/>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Consumer and other loans</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114,870</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1,028</w:t>
            </w:r>
          </w:p>
        </w:tc>
        <w:tc>
          <w:tcPr>
            <w:tcW w:w="16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116,319</w:t>
            </w:r>
          </w:p>
        </w:tc>
      </w:tr>
      <w:tr>
        <w:trPr>
          <w:trHeight w:val="27"/>
        </w:trPr>
        <w:tc>
          <w:tcPr>
            <w:tcW w:w="4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gross loans</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7,321,402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173,486</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73,431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7,568,319</w:t>
            </w:r>
          </w:p>
        </w:tc>
        <w:tc>
          <w:tcPr>
            <w:tcW w:w="40" w:type="dxa"/>
            <w:vAlign w:val="bottom"/>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82" w:right="4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02" w:lineRule="exact"/>
        <w:rPr>
          <w:sz w:val="20"/>
          <w:szCs w:val="20"/>
          <w:color w:val="auto"/>
        </w:rPr>
      </w:pPr>
    </w:p>
    <w:p>
      <w:pPr>
        <w:jc w:val="both"/>
        <w:ind w:left="120" w:right="280" w:firstLine="551"/>
        <w:spacing w:after="0" w:line="272" w:lineRule="auto"/>
        <w:rPr>
          <w:sz w:val="20"/>
          <w:szCs w:val="20"/>
          <w:color w:val="auto"/>
        </w:rPr>
      </w:pPr>
      <w:r>
        <w:rPr>
          <w:rFonts w:ascii="Times New Roman" w:cs="Times New Roman" w:eastAsia="Times New Roman" w:hAnsi="Times New Roman"/>
          <w:sz w:val="17"/>
          <w:szCs w:val="17"/>
          <w:color w:val="auto"/>
        </w:rPr>
        <w:t>The allowance for credit losses for 2020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Our ACL amounts are largely driven by portfolio characteristics, including loss history and various risk attributes, and the economic outlook for certain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Payment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Our methodology for assessing the appropriateness of the allowance is reviewed on a regular basis and considers overall risks in the Bank’s loan portfolio. 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contained herein for a more detailed discussion concerning the allowance for credit losses.</w:t>
      </w:r>
    </w:p>
    <w:p>
      <w:pPr>
        <w:spacing w:after="0" w:line="151" w:lineRule="exact"/>
        <w:rPr>
          <w:sz w:val="20"/>
          <w:szCs w:val="20"/>
          <w:color w:val="auto"/>
        </w:rPr>
      </w:pPr>
    </w:p>
    <w:p>
      <w:pPr>
        <w:ind w:left="120" w:right="100" w:firstLine="551"/>
        <w:spacing w:after="0" w:line="254" w:lineRule="auto"/>
        <w:rPr>
          <w:sz w:val="20"/>
          <w:szCs w:val="20"/>
          <w:color w:val="auto"/>
        </w:rPr>
      </w:pPr>
      <w:r>
        <w:rPr>
          <w:rFonts w:ascii="Times New Roman" w:cs="Times New Roman" w:eastAsia="Times New Roman" w:hAnsi="Times New Roman"/>
          <w:sz w:val="18"/>
          <w:szCs w:val="18"/>
          <w:color w:val="auto"/>
        </w:rPr>
        <w:t>Our allowance for credit losses decreased in the fourth quarter by $177,000, as a result of net charge-offs of $177,000. There was no provision for credit losses in the fourth quarter of 2020. Our allowance for credit losses at December 31, 2020 was $93.7 million or 1.12% of total loans. For the year ended December 31, 2020, the ACL increased by $25.0 million, including a $1.8 million increase from the adoption of CECL on January 1, 2020. The increase in the ACL was primarily due to $23.5 million in provision for credit losses recorded in the first half of 2020 resulting from the forecasted changes in macroeconomic variables related to the COVID-19 pandemic. Our economic forecast continues to be a blend of multiple forecasts produced by Moody’s, including Moody’s baseline forecast, as well as upside and downside forecasts. The baseline forecast continues to represent the largest weighting in our multi-weighted forecast scenario, while due to economic uncertainty a greater weighting was placed on the downside economic forecast, relative to the upside forecast. Our forecast assumes GDP will increase by 2.5% in 2021 and then grow by 3.6 % in 2022 and 2023. The unemployment rate is forecasted to be 7.7% in 2021, before declining to 7.2% percent in 2022 and 5.7% in 2023.</w:t>
      </w:r>
    </w:p>
    <w:p>
      <w:pPr>
        <w:spacing w:after="0" w:line="148" w:lineRule="exact"/>
        <w:rPr>
          <w:sz w:val="20"/>
          <w:szCs w:val="20"/>
          <w:color w:val="auto"/>
        </w:rPr>
      </w:pPr>
    </w:p>
    <w:p>
      <w:pPr>
        <w:ind w:left="120" w:right="260" w:firstLine="551"/>
        <w:spacing w:after="0" w:line="261" w:lineRule="auto"/>
        <w:rPr>
          <w:sz w:val="20"/>
          <w:szCs w:val="20"/>
          <w:color w:val="auto"/>
        </w:rPr>
      </w:pPr>
      <w:r>
        <w:rPr>
          <w:rFonts w:ascii="Times New Roman" w:cs="Times New Roman" w:eastAsia="Times New Roman" w:hAnsi="Times New Roman"/>
          <w:sz w:val="18"/>
          <w:szCs w:val="18"/>
          <w:color w:val="auto"/>
        </w:rPr>
        <w:t>Management believes that the ACL was appropriate at December 31, 2020 and 2019. As there is a high degree of uncertainty around the epidemiological assumptions and impact of government responses to the pandemic that impact our economic forecast, no assurance can be given that economic conditions that adversely affect the Company’s service areas or other circumstances will not be reflected in increased provisions for credit losses in the future.</w:t>
      </w:r>
    </w:p>
    <w:p>
      <w:pPr>
        <w:sectPr>
          <w:pgSz w:w="11900" w:h="16838" w:orient="portrait"/>
          <w:cols w:equalWidth="0" w:num="1">
            <w:col w:w="11120"/>
          </w:cols>
          <w:pgMar w:left="320" w:top="482" w:right="459" w:bottom="1440" w:gutter="0" w:footer="0" w:header="0"/>
        </w:sectPr>
      </w:pPr>
    </w:p>
    <w:bookmarkStart w:id="125" w:name="page126"/>
    <w:bookmarkEnd w:id="125"/>
    <w:p>
      <w:pPr>
        <w:jc w:val="center"/>
        <w:ind w:right="2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balance and activity related to the allowance for credit losses for held-for-investment loans by type for the periods presented.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3660" w:type="dxa"/>
            <w:vAlign w:val="bottom"/>
          </w:tcPr>
          <w:p>
            <w:pPr>
              <w:spacing w:after="0"/>
              <w:rPr>
                <w:sz w:val="15"/>
                <w:szCs w:val="15"/>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Ending Balance,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prior to</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adoption</w:t>
            </w:r>
          </w:p>
        </w:tc>
        <w:tc>
          <w:tcPr>
            <w:tcW w:w="20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 ASU 2016-13</w:t>
            </w:r>
          </w:p>
        </w:tc>
        <w:tc>
          <w:tcPr>
            <w:tcW w:w="200" w:type="dxa"/>
            <w:vAlign w:val="bottom"/>
          </w:tcPr>
          <w:p>
            <w:pPr>
              <w:spacing w:after="0"/>
              <w:rPr>
                <w:sz w:val="17"/>
                <w:szCs w:val="17"/>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Adoption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(Recapture</w:t>
            </w:r>
          </w:p>
        </w:tc>
        <w:tc>
          <w:tcPr>
            <w:tcW w:w="20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7"/>
              </w:rPr>
              <w:t>of ASU</w:t>
            </w:r>
          </w:p>
        </w:tc>
        <w:tc>
          <w:tcPr>
            <w:tcW w:w="24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Charge-</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of) Credit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2016-13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offs</w:t>
            </w:r>
          </w:p>
        </w:tc>
        <w:tc>
          <w:tcPr>
            <w:tcW w:w="4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8"/>
                <w:szCs w:val="18"/>
                <w:color w:val="auto"/>
              </w:rPr>
            </w:pPr>
          </w:p>
        </w:tc>
      </w:tr>
      <w:tr>
        <w:trPr>
          <w:trHeight w:val="199"/>
        </w:trPr>
        <w:tc>
          <w:tcPr>
            <w:tcW w:w="3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48,629</w:t>
            </w:r>
          </w:p>
        </w:tc>
        <w:tc>
          <w:tcPr>
            <w:tcW w:w="2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2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23,263</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75,439</w:t>
            </w:r>
          </w:p>
        </w:tc>
        <w:tc>
          <w:tcPr>
            <w:tcW w:w="40" w:type="dxa"/>
            <w:vAlign w:val="bottom"/>
            <w:shd w:val="clear" w:color="auto" w:fill="CCEEFF"/>
          </w:tcPr>
          <w:p>
            <w:pPr>
              <w:spacing w:after="0"/>
              <w:rPr>
                <w:sz w:val="16"/>
                <w:szCs w:val="16"/>
                <w:color w:val="auto"/>
              </w:rPr>
            </w:pPr>
          </w:p>
        </w:tc>
      </w:tr>
      <w:tr>
        <w:trPr>
          <w:trHeight w:val="189"/>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40" w:type="dxa"/>
            <w:vAlign w:val="bottom"/>
          </w:tcPr>
          <w:p>
            <w:pPr>
              <w:spacing w:after="0"/>
              <w:rPr>
                <w:sz w:val="16"/>
                <w:szCs w:val="16"/>
                <w:color w:val="auto"/>
              </w:rPr>
            </w:pPr>
          </w:p>
        </w:tc>
      </w:tr>
      <w:tr>
        <w:trPr>
          <w:trHeight w:val="18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SBA</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(362)</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40" w:type="dxa"/>
            <w:vAlign w:val="bottom"/>
            <w:shd w:val="clear" w:color="auto" w:fill="CCEEFF"/>
          </w:tcPr>
          <w:p>
            <w:pPr>
              <w:spacing w:after="0"/>
              <w:rPr>
                <w:sz w:val="16"/>
                <w:szCs w:val="16"/>
                <w:color w:val="auto"/>
              </w:rPr>
            </w:pPr>
          </w:p>
        </w:tc>
      </w:tr>
      <w:tr>
        <w:trPr>
          <w:trHeight w:val="189"/>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SBA - PPP</w:t>
            </w:r>
          </w:p>
        </w:tc>
        <w:tc>
          <w:tcPr>
            <w:tcW w:w="10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(2,442)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(195)</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889</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w:t>
            </w:r>
          </w:p>
        </w:tc>
        <w:tc>
          <w:tcPr>
            <w:tcW w:w="40" w:type="dxa"/>
            <w:vAlign w:val="bottom"/>
            <w:shd w:val="clear" w:color="auto" w:fill="CCEEFF"/>
          </w:tcPr>
          <w:p>
            <w:pPr>
              <w:spacing w:after="0"/>
              <w:rPr>
                <w:sz w:val="16"/>
                <w:szCs w:val="16"/>
                <w:color w:val="auto"/>
              </w:rPr>
            </w:pPr>
          </w:p>
        </w:tc>
      </w:tr>
      <w:tr>
        <w:trPr>
          <w:trHeight w:val="189"/>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(1,120)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40" w:type="dxa"/>
            <w:vAlign w:val="bottom"/>
          </w:tcPr>
          <w:p>
            <w:pPr>
              <w:spacing w:after="0"/>
              <w:rPr>
                <w:sz w:val="16"/>
                <w:szCs w:val="16"/>
                <w:color w:val="auto"/>
              </w:rPr>
            </w:pPr>
          </w:p>
        </w:tc>
      </w:tr>
      <w:tr>
        <w:trPr>
          <w:trHeight w:val="18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(133)</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0" w:type="dxa"/>
            <w:vAlign w:val="bottom"/>
            <w:shd w:val="clear" w:color="auto" w:fill="CCEEFF"/>
          </w:tcPr>
          <w:p>
            <w:pPr>
              <w:spacing w:after="0"/>
              <w:rPr>
                <w:sz w:val="16"/>
                <w:szCs w:val="16"/>
                <w:color w:val="auto"/>
              </w:rPr>
            </w:pPr>
          </w:p>
        </w:tc>
      </w:tr>
      <w:tr>
        <w:trPr>
          <w:trHeight w:val="189"/>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SFR mortgage</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(2,043)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40" w:type="dxa"/>
            <w:vAlign w:val="bottom"/>
          </w:tcPr>
          <w:p>
            <w:pPr>
              <w:spacing w:after="0"/>
              <w:rPr>
                <w:sz w:val="16"/>
                <w:szCs w:val="16"/>
                <w:color w:val="auto"/>
              </w:rPr>
            </w:pPr>
          </w:p>
        </w:tc>
      </w:tr>
      <w:tr>
        <w:trPr>
          <w:trHeight w:val="18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Consumer and other loans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(109)</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315</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40" w:type="dxa"/>
            <w:vAlign w:val="bottom"/>
            <w:shd w:val="clear" w:color="auto" w:fill="CCEEFF"/>
          </w:tcPr>
          <w:p>
            <w:pPr>
              <w:spacing w:after="0"/>
              <w:rPr>
                <w:sz w:val="16"/>
                <w:szCs w:val="16"/>
                <w:color w:val="auto"/>
              </w:rPr>
            </w:pPr>
          </w:p>
        </w:tc>
      </w:tr>
      <w:tr>
        <w:trPr>
          <w:trHeight w:val="196"/>
        </w:trPr>
        <w:tc>
          <w:tcPr>
            <w:tcW w:w="3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allowance for credit losses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4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93,692</w:t>
            </w:r>
          </w:p>
        </w:tc>
        <w:tc>
          <w:tcPr>
            <w:tcW w:w="4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8"/>
          </w:tcPr>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Year Ended December 31, 2019</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6"/>
        </w:trPr>
        <w:tc>
          <w:tcPr>
            <w:tcW w:w="422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Ending Balance</w:t>
            </w:r>
          </w:p>
        </w:tc>
        <w:tc>
          <w:tcPr>
            <w:tcW w:w="40" w:type="dxa"/>
            <w:vAlign w:val="bottom"/>
          </w:tcPr>
          <w:p>
            <w:pPr>
              <w:spacing w:after="0"/>
              <w:rPr>
                <w:sz w:val="16"/>
                <w:szCs w:val="16"/>
                <w:color w:val="auto"/>
              </w:rPr>
            </w:pPr>
          </w:p>
        </w:tc>
      </w:tr>
      <w:tr>
        <w:trPr>
          <w:trHeight w:val="203"/>
        </w:trPr>
        <w:tc>
          <w:tcPr>
            <w:tcW w:w="4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Charge-</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(Recapture of)</w:t>
            </w:r>
          </w:p>
        </w:tc>
        <w:tc>
          <w:tcPr>
            <w:tcW w:w="8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4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offs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w w:val="99"/>
              </w:rPr>
              <w:t>Loan Losses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Pr>
          <w:p>
            <w:pPr>
              <w:spacing w:after="0"/>
              <w:rPr>
                <w:sz w:val="18"/>
                <w:szCs w:val="18"/>
                <w:color w:val="auto"/>
              </w:rPr>
            </w:pPr>
          </w:p>
        </w:tc>
      </w:tr>
      <w:tr>
        <w:trPr>
          <w:trHeight w:val="199"/>
        </w:trPr>
        <w:tc>
          <w:tcPr>
            <w:tcW w:w="4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6"/>
          </w:tcPr>
          <w:p>
            <w:pPr>
              <w:jc w:val="center"/>
              <w:ind w:left="25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45,097</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3,532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48,629</w:t>
            </w:r>
          </w:p>
        </w:tc>
      </w:tr>
      <w:tr>
        <w:trPr>
          <w:trHeight w:val="189"/>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981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858</w:t>
            </w:r>
          </w:p>
        </w:tc>
      </w:tr>
      <w:tr>
        <w:trPr>
          <w:trHeight w:val="18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SBA</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1,078</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(321)</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1,453</w:t>
            </w:r>
          </w:p>
        </w:tc>
      </w:tr>
      <w:tr>
        <w:trPr>
          <w:trHeight w:val="189"/>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7,528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1,145</w:t>
            </w:r>
          </w:p>
        </w:tc>
        <w:tc>
          <w:tcPr>
            <w:tcW w:w="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8,880</w:t>
            </w:r>
          </w:p>
        </w:tc>
      </w:tr>
      <w:tr>
        <w:trPr>
          <w:trHeight w:val="18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5,225</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5,255</w:t>
            </w:r>
          </w:p>
        </w:tc>
      </w:tr>
      <w:tr>
        <w:trPr>
          <w:trHeight w:val="189"/>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775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623</w:t>
            </w:r>
          </w:p>
        </w:tc>
      </w:tr>
      <w:tr>
        <w:trPr>
          <w:trHeight w:val="18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SFR mortgage</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2,197</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2,339</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Consumer and other loans</w:t>
            </w: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732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623</w:t>
            </w:r>
          </w:p>
        </w:tc>
      </w:tr>
      <w:tr>
        <w:trPr>
          <w:trHeight w:val="20"/>
        </w:trPr>
        <w:tc>
          <w:tcPr>
            <w:tcW w:w="42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allowance for loan losses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63,613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(454)</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68,660</w:t>
            </w:r>
          </w:p>
        </w:tc>
      </w:tr>
      <w:tr>
        <w:trPr>
          <w:trHeight w:val="20"/>
        </w:trPr>
        <w:tc>
          <w:tcPr>
            <w:tcW w:w="4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60"/>
          </w:cols>
          <w:pgMar w:left="320" w:top="121" w:right="319" w:bottom="1440" w:gutter="0" w:footer="0" w:header="0"/>
          <w:type w:val="continuous"/>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7"/>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Year Ended December 31, 2018</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Ending Balance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Charge-</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(Recapture of)</w:t>
            </w:r>
          </w:p>
        </w:tc>
        <w:tc>
          <w:tcPr>
            <w:tcW w:w="8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offs</w:t>
            </w: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w w:val="97"/>
              </w:rPr>
              <w:t>Loan Losses</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4"/>
          </w:tcPr>
          <w:p>
            <w:pPr>
              <w:jc w:val="center"/>
              <w:ind w:left="29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3,212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44,934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2,506</w:t>
            </w:r>
          </w:p>
        </w:tc>
        <w:tc>
          <w:tcPr>
            <w:tcW w:w="8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(2,509)</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SBA</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(257)</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7,520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549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5,215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SFR mortgage</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2,112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2,196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Consumer and other loans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PCI loans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59,585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(291)</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2,819</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63,613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26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loans held-for-investment and the related ACL by loan type, based on the Company’s methodology for determining the ACL for the periods presented.</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344"/>
              <w:spacing w:after="0"/>
              <w:rPr>
                <w:sz w:val="20"/>
                <w:szCs w:val="20"/>
                <w:color w:val="auto"/>
              </w:rPr>
            </w:pPr>
            <w:r>
              <w:rPr>
                <w:rFonts w:ascii="Times New Roman" w:cs="Times New Roman" w:eastAsia="Times New Roman" w:hAnsi="Times New Roman"/>
                <w:sz w:val="15"/>
                <w:szCs w:val="15"/>
                <w:b w:val="1"/>
                <w:bCs w:val="1"/>
                <w:color w:val="auto"/>
              </w:rPr>
              <w:t>December 31, 2019</w:t>
            </w:r>
          </w:p>
        </w:tc>
        <w:tc>
          <w:tcPr>
            <w:tcW w:w="5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34"/>
        </w:trPr>
        <w:tc>
          <w:tcPr>
            <w:tcW w:w="3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20" w:type="dxa"/>
            <w:vAlign w:val="bottom"/>
            <w:gridSpan w:val="5"/>
          </w:tcPr>
          <w:p>
            <w:pPr>
              <w:jc w:val="center"/>
              <w:ind w:right="940"/>
              <w:spacing w:after="0" w:line="134" w:lineRule="exact"/>
              <w:rPr>
                <w:sz w:val="20"/>
                <w:szCs w:val="20"/>
                <w:color w:val="auto"/>
              </w:rPr>
            </w:pPr>
            <w:r>
              <w:rPr>
                <w:rFonts w:ascii="Times New Roman" w:cs="Times New Roman" w:eastAsia="Times New Roman" w:hAnsi="Times New Roman"/>
                <w:sz w:val="15"/>
                <w:szCs w:val="15"/>
                <w:b w:val="1"/>
                <w:bCs w:val="1"/>
                <w:color w:val="auto"/>
              </w:rPr>
              <w:t>Recorded Investment in</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3"/>
        </w:trPr>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Loans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Allowance for Loan Losses</w:t>
            </w:r>
          </w:p>
        </w:tc>
      </w:tr>
      <w:tr>
        <w:trPr>
          <w:trHeight w:val="134"/>
        </w:trPr>
        <w:tc>
          <w:tcPr>
            <w:tcW w:w="3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Collectively</w:t>
            </w:r>
          </w:p>
        </w:tc>
        <w:tc>
          <w:tcPr>
            <w:tcW w:w="7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3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Individually</w:t>
            </w:r>
          </w:p>
        </w:tc>
        <w:tc>
          <w:tcPr>
            <w:tcW w:w="1500" w:type="dxa"/>
            <w:vAlign w:val="bottom"/>
            <w:gridSpan w:val="3"/>
          </w:tcPr>
          <w:p>
            <w:pPr>
              <w:jc w:val="right"/>
              <w:ind w:right="760"/>
              <w:spacing w:after="0" w:line="162" w:lineRule="exact"/>
              <w:rPr>
                <w:sz w:val="20"/>
                <w:szCs w:val="20"/>
                <w:color w:val="auto"/>
              </w:rPr>
            </w:pPr>
            <w:r>
              <w:rPr>
                <w:rFonts w:ascii="Times New Roman" w:cs="Times New Roman" w:eastAsia="Times New Roman" w:hAnsi="Times New Roman"/>
                <w:sz w:val="15"/>
                <w:szCs w:val="15"/>
                <w:b w:val="1"/>
                <w:bCs w:val="1"/>
                <w:color w:val="auto"/>
              </w:rPr>
              <w:t>Evaluated</w:t>
            </w:r>
          </w:p>
        </w:tc>
        <w:tc>
          <w:tcPr>
            <w:tcW w:w="158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Individually</w:t>
            </w:r>
          </w:p>
        </w:tc>
        <w:tc>
          <w:tcPr>
            <w:tcW w:w="96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5"/>
                <w:szCs w:val="15"/>
                <w:b w:val="1"/>
                <w:bCs w:val="1"/>
                <w:color w:val="auto"/>
              </w:rPr>
              <w:t>Collectively</w:t>
            </w:r>
          </w:p>
        </w:tc>
      </w:tr>
      <w:tr>
        <w:trPr>
          <w:trHeight w:val="162"/>
        </w:trPr>
        <w:tc>
          <w:tcPr>
            <w:tcW w:w="3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Evaluated for</w:t>
            </w:r>
          </w:p>
        </w:tc>
        <w:tc>
          <w:tcPr>
            <w:tcW w:w="140" w:type="dxa"/>
            <w:vAlign w:val="bottom"/>
          </w:tcPr>
          <w:p>
            <w:pPr>
              <w:spacing w:after="0"/>
              <w:rPr>
                <w:sz w:val="14"/>
                <w:szCs w:val="14"/>
                <w:color w:val="auto"/>
              </w:rPr>
            </w:pPr>
          </w:p>
        </w:tc>
        <w:tc>
          <w:tcPr>
            <w:tcW w:w="1360" w:type="dxa"/>
            <w:vAlign w:val="bottom"/>
            <w:gridSpan w:val="2"/>
          </w:tcPr>
          <w:p>
            <w:pPr>
              <w:jc w:val="right"/>
              <w:ind w:right="1000"/>
              <w:spacing w:after="0" w:line="162" w:lineRule="exact"/>
              <w:rPr>
                <w:sz w:val="20"/>
                <w:szCs w:val="20"/>
                <w:color w:val="auto"/>
              </w:rPr>
            </w:pPr>
            <w:r>
              <w:rPr>
                <w:rFonts w:ascii="Times New Roman" w:cs="Times New Roman" w:eastAsia="Times New Roman" w:hAnsi="Times New Roman"/>
                <w:sz w:val="15"/>
                <w:szCs w:val="15"/>
                <w:b w:val="1"/>
                <w:bCs w:val="1"/>
                <w:color w:val="auto"/>
              </w:rPr>
              <w:t>for</w:t>
            </w:r>
          </w:p>
        </w:tc>
        <w:tc>
          <w:tcPr>
            <w:tcW w:w="158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Evaluated for</w:t>
            </w:r>
          </w:p>
        </w:tc>
        <w:tc>
          <w:tcPr>
            <w:tcW w:w="9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Evaluated for</w:t>
            </w:r>
          </w:p>
        </w:tc>
      </w:tr>
      <w:tr>
        <w:trPr>
          <w:trHeight w:val="183"/>
        </w:trPr>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Impairment</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Impairment</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Impairment</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Impairment</w:t>
            </w:r>
          </w:p>
        </w:tc>
      </w:tr>
      <w:tr>
        <w:trPr>
          <w:trHeight w:val="142"/>
        </w:trPr>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3"/>
          </w:tcPr>
          <w:p>
            <w:pPr>
              <w:jc w:val="center"/>
              <w:ind w:left="344"/>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5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3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Commercial real estate</w:t>
            </w:r>
          </w:p>
        </w:tc>
        <w:tc>
          <w:tcPr>
            <w:tcW w:w="1860" w:type="dxa"/>
            <w:vAlign w:val="bottom"/>
            <w:gridSpan w:val="2"/>
            <w:shd w:val="clear" w:color="auto" w:fill="CCEEFF"/>
          </w:tcPr>
          <w:p>
            <w:pPr>
              <w:ind w:left="16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584"/>
              <w:spacing w:after="0" w:line="162" w:lineRule="exact"/>
              <w:rPr>
                <w:sz w:val="20"/>
                <w:szCs w:val="20"/>
                <w:color w:val="auto"/>
              </w:rPr>
            </w:pPr>
            <w:r>
              <w:rPr>
                <w:rFonts w:ascii="Times New Roman" w:cs="Times New Roman" w:eastAsia="Times New Roman" w:hAnsi="Times New Roman"/>
                <w:sz w:val="15"/>
                <w:szCs w:val="15"/>
                <w:color w:val="auto"/>
              </w:rPr>
              <w:t>1,121</w:t>
            </w:r>
          </w:p>
        </w:tc>
        <w:tc>
          <w:tcPr>
            <w:tcW w:w="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5,373,496</w:t>
            </w:r>
          </w:p>
        </w:tc>
        <w:tc>
          <w:tcPr>
            <w:tcW w:w="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6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48,629</w:t>
            </w:r>
          </w:p>
        </w:tc>
      </w:tr>
      <w:tr>
        <w:trPr>
          <w:trHeight w:val="162"/>
        </w:trPr>
        <w:tc>
          <w:tcPr>
            <w:tcW w:w="3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Construction</w:t>
            </w: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5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360" w:type="dxa"/>
            <w:vAlign w:val="bottom"/>
            <w:gridSpan w:val="2"/>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116,925</w:t>
            </w:r>
          </w:p>
        </w:tc>
        <w:tc>
          <w:tcPr>
            <w:tcW w:w="360" w:type="dxa"/>
            <w:vAlign w:val="bottom"/>
          </w:tcPr>
          <w:p>
            <w:pPr>
              <w:spacing w:after="0"/>
              <w:rPr>
                <w:sz w:val="14"/>
                <w:szCs w:val="14"/>
                <w:color w:val="auto"/>
              </w:rPr>
            </w:pPr>
          </w:p>
        </w:tc>
        <w:tc>
          <w:tcPr>
            <w:tcW w:w="1220" w:type="dxa"/>
            <w:vAlign w:val="bottom"/>
            <w:gridSpan w:val="2"/>
          </w:tcPr>
          <w:p>
            <w:pPr>
              <w:jc w:val="right"/>
              <w:ind w:right="6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858</w:t>
            </w:r>
          </w:p>
        </w:tc>
      </w:tr>
      <w:tr>
        <w:trPr>
          <w:trHeight w:val="162"/>
        </w:trPr>
        <w:tc>
          <w:tcPr>
            <w:tcW w:w="3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SBA</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84"/>
              <w:spacing w:after="0" w:line="162" w:lineRule="exact"/>
              <w:rPr>
                <w:sz w:val="20"/>
                <w:szCs w:val="20"/>
                <w:color w:val="auto"/>
              </w:rPr>
            </w:pPr>
            <w:r>
              <w:rPr>
                <w:rFonts w:ascii="Times New Roman" w:cs="Times New Roman" w:eastAsia="Times New Roman" w:hAnsi="Times New Roman"/>
                <w:sz w:val="15"/>
                <w:szCs w:val="15"/>
                <w:color w:val="auto"/>
              </w:rPr>
              <w:t>2,568</w:t>
            </w: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302,440</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80"/>
              <w:spacing w:after="0" w:line="162" w:lineRule="exact"/>
              <w:rPr>
                <w:sz w:val="20"/>
                <w:szCs w:val="20"/>
                <w:color w:val="auto"/>
              </w:rPr>
            </w:pPr>
            <w:r>
              <w:rPr>
                <w:rFonts w:ascii="Times New Roman" w:cs="Times New Roman" w:eastAsia="Times New Roman" w:hAnsi="Times New Roman"/>
                <w:sz w:val="15"/>
                <w:szCs w:val="15"/>
                <w:color w:val="auto"/>
              </w:rPr>
              <w:t>257</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1,196</w:t>
            </w:r>
          </w:p>
        </w:tc>
      </w:tr>
      <w:tr>
        <w:trPr>
          <w:trHeight w:val="162"/>
        </w:trPr>
        <w:tc>
          <w:tcPr>
            <w:tcW w:w="3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Commercial and industrial</w:t>
            </w: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584"/>
              <w:spacing w:after="0" w:line="162" w:lineRule="exact"/>
              <w:rPr>
                <w:sz w:val="20"/>
                <w:szCs w:val="20"/>
                <w:color w:val="auto"/>
              </w:rPr>
            </w:pPr>
            <w:r>
              <w:rPr>
                <w:rFonts w:ascii="Times New Roman" w:cs="Times New Roman" w:eastAsia="Times New Roman" w:hAnsi="Times New Roman"/>
                <w:sz w:val="15"/>
                <w:szCs w:val="15"/>
                <w:color w:val="auto"/>
              </w:rPr>
              <w:t>1,344</w:t>
            </w:r>
          </w:p>
        </w:tc>
        <w:tc>
          <w:tcPr>
            <w:tcW w:w="140" w:type="dxa"/>
            <w:vAlign w:val="bottom"/>
          </w:tcPr>
          <w:p>
            <w:pPr>
              <w:spacing w:after="0"/>
              <w:rPr>
                <w:sz w:val="14"/>
                <w:szCs w:val="14"/>
                <w:color w:val="auto"/>
              </w:rPr>
            </w:pPr>
          </w:p>
        </w:tc>
        <w:tc>
          <w:tcPr>
            <w:tcW w:w="1360" w:type="dxa"/>
            <w:vAlign w:val="bottom"/>
            <w:gridSpan w:val="2"/>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933,783</w:t>
            </w:r>
          </w:p>
        </w:tc>
        <w:tc>
          <w:tcPr>
            <w:tcW w:w="360" w:type="dxa"/>
            <w:vAlign w:val="bottom"/>
          </w:tcPr>
          <w:p>
            <w:pPr>
              <w:spacing w:after="0"/>
              <w:rPr>
                <w:sz w:val="14"/>
                <w:szCs w:val="14"/>
                <w:color w:val="auto"/>
              </w:rPr>
            </w:pPr>
          </w:p>
        </w:tc>
        <w:tc>
          <w:tcPr>
            <w:tcW w:w="1220" w:type="dxa"/>
            <w:vAlign w:val="bottom"/>
            <w:gridSpan w:val="2"/>
          </w:tcPr>
          <w:p>
            <w:pPr>
              <w:jc w:val="right"/>
              <w:ind w:right="680"/>
              <w:spacing w:after="0" w:line="162" w:lineRule="exact"/>
              <w:rPr>
                <w:sz w:val="20"/>
                <w:szCs w:val="20"/>
                <w:color w:val="auto"/>
              </w:rPr>
            </w:pPr>
            <w:r>
              <w:rPr>
                <w:rFonts w:ascii="Times New Roman" w:cs="Times New Roman" w:eastAsia="Times New Roman" w:hAnsi="Times New Roman"/>
                <w:sz w:val="15"/>
                <w:szCs w:val="15"/>
                <w:color w:val="auto"/>
              </w:rPr>
              <w:t>251</w:t>
            </w:r>
          </w:p>
        </w:tc>
        <w:tc>
          <w:tcPr>
            <w:tcW w:w="28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8,629</w:t>
            </w:r>
          </w:p>
        </w:tc>
      </w:tr>
      <w:tr>
        <w:trPr>
          <w:trHeight w:val="162"/>
        </w:trPr>
        <w:tc>
          <w:tcPr>
            <w:tcW w:w="3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Dairy &amp; livestock and agribusiness</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383,709</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5,255</w:t>
            </w:r>
          </w:p>
        </w:tc>
      </w:tr>
      <w:tr>
        <w:trPr>
          <w:trHeight w:val="162"/>
        </w:trPr>
        <w:tc>
          <w:tcPr>
            <w:tcW w:w="3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Municipal lease finance receivables</w:t>
            </w: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5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360" w:type="dxa"/>
            <w:vAlign w:val="bottom"/>
            <w:gridSpan w:val="2"/>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53,146</w:t>
            </w:r>
          </w:p>
        </w:tc>
        <w:tc>
          <w:tcPr>
            <w:tcW w:w="360" w:type="dxa"/>
            <w:vAlign w:val="bottom"/>
          </w:tcPr>
          <w:p>
            <w:pPr>
              <w:spacing w:after="0"/>
              <w:rPr>
                <w:sz w:val="14"/>
                <w:szCs w:val="14"/>
                <w:color w:val="auto"/>
              </w:rPr>
            </w:pPr>
          </w:p>
        </w:tc>
        <w:tc>
          <w:tcPr>
            <w:tcW w:w="1220" w:type="dxa"/>
            <w:vAlign w:val="bottom"/>
            <w:gridSpan w:val="2"/>
          </w:tcPr>
          <w:p>
            <w:pPr>
              <w:jc w:val="right"/>
              <w:ind w:right="6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623</w:t>
            </w:r>
          </w:p>
        </w:tc>
      </w:tr>
      <w:tr>
        <w:trPr>
          <w:trHeight w:val="162"/>
        </w:trPr>
        <w:tc>
          <w:tcPr>
            <w:tcW w:w="3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SFR mortgage</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84"/>
              <w:spacing w:after="0" w:line="162" w:lineRule="exact"/>
              <w:rPr>
                <w:sz w:val="20"/>
                <w:szCs w:val="20"/>
                <w:color w:val="auto"/>
              </w:rPr>
            </w:pPr>
            <w:r>
              <w:rPr>
                <w:rFonts w:ascii="Times New Roman" w:cs="Times New Roman" w:eastAsia="Times New Roman" w:hAnsi="Times New Roman"/>
                <w:sz w:val="15"/>
                <w:szCs w:val="15"/>
                <w:color w:val="auto"/>
              </w:rPr>
              <w:t>2,979</w:t>
            </w: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280,489</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2,339</w:t>
            </w:r>
          </w:p>
        </w:tc>
      </w:tr>
      <w:tr>
        <w:trPr>
          <w:trHeight w:val="162"/>
        </w:trPr>
        <w:tc>
          <w:tcPr>
            <w:tcW w:w="3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Consumer and other loans</w:t>
            </w: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377</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115,942</w:t>
            </w:r>
          </w:p>
        </w:tc>
        <w:tc>
          <w:tcPr>
            <w:tcW w:w="360" w:type="dxa"/>
            <w:vAlign w:val="bottom"/>
          </w:tcPr>
          <w:p>
            <w:pPr>
              <w:spacing w:after="0"/>
              <w:rPr>
                <w:sz w:val="14"/>
                <w:szCs w:val="14"/>
                <w:color w:val="auto"/>
              </w:rPr>
            </w:pPr>
          </w:p>
        </w:tc>
        <w:tc>
          <w:tcPr>
            <w:tcW w:w="1220" w:type="dxa"/>
            <w:vAlign w:val="bottom"/>
            <w:gridSpan w:val="2"/>
          </w:tcPr>
          <w:p>
            <w:pPr>
              <w:jc w:val="right"/>
              <w:ind w:right="6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623</w:t>
            </w:r>
          </w:p>
        </w:tc>
      </w:tr>
      <w:tr>
        <w:trPr>
          <w:trHeight w:val="27"/>
        </w:trPr>
        <w:tc>
          <w:tcPr>
            <w:tcW w:w="3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38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8,389</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7,559,930</w:t>
            </w:r>
          </w:p>
        </w:tc>
        <w:tc>
          <w:tcPr>
            <w:tcW w:w="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680"/>
              <w:spacing w:after="0" w:line="162" w:lineRule="exact"/>
              <w:rPr>
                <w:sz w:val="20"/>
                <w:szCs w:val="20"/>
                <w:color w:val="auto"/>
              </w:rPr>
            </w:pPr>
            <w:r>
              <w:rPr>
                <w:rFonts w:ascii="Times New Roman" w:cs="Times New Roman" w:eastAsia="Times New Roman" w:hAnsi="Times New Roman"/>
                <w:sz w:val="15"/>
                <w:szCs w:val="15"/>
                <w:color w:val="auto"/>
              </w:rPr>
              <w:t>508</w:t>
            </w:r>
          </w:p>
        </w:tc>
        <w:tc>
          <w:tcPr>
            <w:tcW w:w="2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68,152</w:t>
            </w:r>
          </w:p>
        </w:tc>
      </w:tr>
      <w:tr>
        <w:trPr>
          <w:trHeight w:val="20"/>
        </w:trPr>
        <w:tc>
          <w:tcPr>
            <w:tcW w:w="3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Past Due and Nonperforming Loans</w:t>
      </w:r>
    </w:p>
    <w:p>
      <w:pPr>
        <w:spacing w:after="0" w:line="202" w:lineRule="exact"/>
        <w:rPr>
          <w:sz w:val="20"/>
          <w:szCs w:val="20"/>
          <w:color w:val="auto"/>
        </w:rPr>
      </w:pPr>
    </w:p>
    <w:p>
      <w:pPr>
        <w:ind w:left="120" w:right="60" w:firstLine="551"/>
        <w:spacing w:after="0" w:line="254" w:lineRule="auto"/>
        <w:rPr>
          <w:sz w:val="20"/>
          <w:szCs w:val="20"/>
          <w:color w:val="auto"/>
        </w:rPr>
      </w:pPr>
      <w:r>
        <w:rPr>
          <w:rFonts w:ascii="Times New Roman" w:cs="Times New Roman" w:eastAsia="Times New Roman" w:hAnsi="Times New Roman"/>
          <w:sz w:val="18"/>
          <w:szCs w:val="18"/>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in charge of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and to determine the adequacy of the ACL,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included herein, for additional discussion concerning the Bank’s policy for past due and nonperforming loans.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82" w:right="4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(including nonaccrual loans), by type of loans as of the date presented.</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Greater</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than 89</w:t>
            </w:r>
          </w:p>
        </w:tc>
        <w:tc>
          <w:tcPr>
            <w:tcW w:w="80" w:type="dxa"/>
            <w:vAlign w:val="bottom"/>
          </w:tcPr>
          <w:p>
            <w:pPr>
              <w:spacing w:after="0"/>
              <w:rPr>
                <w:sz w:val="12"/>
                <w:szCs w:val="12"/>
                <w:color w:val="auto"/>
              </w:rPr>
            </w:pPr>
          </w:p>
        </w:tc>
        <w:tc>
          <w:tcPr>
            <w:tcW w:w="7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34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Loans Not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Past</w:t>
            </w:r>
          </w:p>
        </w:tc>
        <w:tc>
          <w:tcPr>
            <w:tcW w:w="80" w:type="dxa"/>
            <w:vAlign w:val="bottom"/>
          </w:tcPr>
          <w:p>
            <w:pPr>
              <w:spacing w:after="0"/>
              <w:rPr>
                <w:sz w:val="12"/>
                <w:szCs w:val="12"/>
                <w:color w:val="auto"/>
              </w:rPr>
            </w:pPr>
          </w:p>
        </w:tc>
        <w:tc>
          <w:tcPr>
            <w:tcW w:w="7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Past</w:t>
            </w:r>
          </w:p>
        </w:tc>
        <w:tc>
          <w:tcPr>
            <w:tcW w:w="9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and Financing</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Past Due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80" w:type="dxa"/>
            <w:vAlign w:val="bottom"/>
          </w:tcPr>
          <w:p>
            <w:pPr>
              <w:spacing w:after="0"/>
              <w:rPr>
                <w:sz w:val="15"/>
                <w:szCs w:val="15"/>
                <w:color w:val="auto"/>
              </w:rPr>
            </w:pPr>
          </w:p>
        </w:tc>
        <w:tc>
          <w:tcPr>
            <w:tcW w:w="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Due</w:t>
            </w:r>
          </w:p>
        </w:tc>
        <w:tc>
          <w:tcPr>
            <w:tcW w:w="8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5"/>
          </w:tcPr>
          <w:p>
            <w:pPr>
              <w:jc w:val="right"/>
              <w:ind w:right="2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Owner occupied</w:t>
            </w:r>
          </w:p>
        </w:tc>
        <w:tc>
          <w:tcPr>
            <w:tcW w:w="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7,208</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7,208</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2,136,051</w:t>
            </w:r>
          </w:p>
        </w:tc>
        <w:tc>
          <w:tcPr>
            <w:tcW w:w="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2,143,259</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Non-owner occupied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3,358,250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3,358,250</w:t>
            </w:r>
          </w:p>
        </w:tc>
        <w:tc>
          <w:tcPr>
            <w:tcW w:w="0" w:type="dxa"/>
            <w:vAlign w:val="bottom"/>
          </w:tcPr>
          <w:p>
            <w:pPr>
              <w:spacing w:after="0"/>
              <w:rPr>
                <w:sz w:val="1"/>
                <w:szCs w:val="1"/>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Speculative (1)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72,126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72,126</w:t>
            </w:r>
          </w:p>
        </w:tc>
        <w:tc>
          <w:tcPr>
            <w:tcW w:w="0" w:type="dxa"/>
            <w:vAlign w:val="bottom"/>
          </w:tcPr>
          <w:p>
            <w:pPr>
              <w:spacing w:after="0"/>
              <w:rPr>
                <w:sz w:val="1"/>
                <w:szCs w:val="1"/>
                <w:color w:val="auto"/>
              </w:rPr>
            </w:pPr>
          </w:p>
        </w:tc>
      </w:tr>
      <w:tr>
        <w:trPr>
          <w:trHeight w:val="149"/>
        </w:trPr>
        <w:tc>
          <w:tcPr>
            <w:tcW w:w="5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Non-speculative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13,019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13,019</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SBA</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3,971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299,925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303,896</w:t>
            </w:r>
          </w:p>
        </w:tc>
        <w:tc>
          <w:tcPr>
            <w:tcW w:w="0" w:type="dxa"/>
            <w:vAlign w:val="bottom"/>
          </w:tcPr>
          <w:p>
            <w:pPr>
              <w:spacing w:after="0"/>
              <w:rPr>
                <w:sz w:val="1"/>
                <w:szCs w:val="1"/>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SBA - PPP</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882,986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882,986</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2,338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3,757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808,305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812,062</w:t>
            </w:r>
          </w:p>
        </w:tc>
        <w:tc>
          <w:tcPr>
            <w:tcW w:w="0" w:type="dxa"/>
            <w:vAlign w:val="bottom"/>
          </w:tcPr>
          <w:p>
            <w:pPr>
              <w:spacing w:after="0"/>
              <w:rPr>
                <w:sz w:val="1"/>
                <w:szCs w:val="1"/>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Dairy &amp; livestock and agribusiness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784</w:t>
            </w:r>
          </w:p>
        </w:tc>
        <w:tc>
          <w:tcPr>
            <w:tcW w:w="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784</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360,362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361,146</w:t>
            </w: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Municipal lease finance receivables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45,547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45,547</w:t>
            </w:r>
          </w:p>
        </w:tc>
        <w:tc>
          <w:tcPr>
            <w:tcW w:w="0" w:type="dxa"/>
            <w:vAlign w:val="bottom"/>
          </w:tcPr>
          <w:p>
            <w:pPr>
              <w:spacing w:after="0"/>
              <w:rPr>
                <w:sz w:val="1"/>
                <w:szCs w:val="1"/>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SFR mortgage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270,282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270,511</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Consumer and other loans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86,006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86,006</w:t>
            </w:r>
          </w:p>
        </w:tc>
        <w:tc>
          <w:tcPr>
            <w:tcW w:w="0" w:type="dxa"/>
            <w:vAlign w:val="bottom"/>
          </w:tcPr>
          <w:p>
            <w:pPr>
              <w:spacing w:after="0"/>
              <w:rPr>
                <w:sz w:val="1"/>
                <w:szCs w:val="1"/>
                <w:color w:val="auto"/>
              </w:rPr>
            </w:pPr>
          </w:p>
        </w:tc>
      </w:tr>
      <w:tr>
        <w:trPr>
          <w:trHeight w:val="156"/>
        </w:trPr>
        <w:tc>
          <w:tcPr>
            <w:tcW w:w="516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Total gross loans</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1,139</w:t>
            </w:r>
          </w:p>
        </w:tc>
        <w:tc>
          <w:tcPr>
            <w:tcW w:w="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3,226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11,584</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15,949</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8,332,859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8,348,808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420" w:hanging="427"/>
        <w:spacing w:after="0"/>
        <w:tabs>
          <w:tab w:leader="none" w:pos="14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30" w:lineRule="exact"/>
        <w:rPr>
          <w:sz w:val="20"/>
          <w:szCs w:val="20"/>
          <w:color w:val="auto"/>
        </w:rPr>
      </w:pPr>
    </w:p>
    <w:p>
      <w:pPr>
        <w:ind w:left="120" w:right="160" w:firstLine="551"/>
        <w:spacing w:after="0" w:line="266" w:lineRule="auto"/>
        <w:rPr>
          <w:sz w:val="20"/>
          <w:szCs w:val="20"/>
          <w:color w:val="auto"/>
        </w:rPr>
      </w:pPr>
      <w:r>
        <w:rPr>
          <w:rFonts w:ascii="Times New Roman" w:cs="Times New Roman" w:eastAsia="Times New Roman" w:hAnsi="Times New Roman"/>
          <w:sz w:val="18"/>
          <w:szCs w:val="18"/>
          <w:color w:val="auto"/>
        </w:rPr>
        <w:t>Following the adoption of CECL on January 1, 2020, the definitions of impairment and related impaired loan disclosures were removed. Under CECL, amortized cost of our finance receivables and loans that are on nonaccrual status, including loans with no allowance, are presented as of December 31, 2020 by type of loan.</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Commercial real estate</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Owner occupied</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Non-owner occupied</w:t>
      </w:r>
    </w:p>
    <w:p>
      <w:pPr>
        <w:ind w:left="120"/>
        <w:spacing w:after="0"/>
        <w:rPr>
          <w:sz w:val="20"/>
          <w:szCs w:val="20"/>
          <w:color w:val="auto"/>
        </w:rPr>
      </w:pPr>
      <w:r>
        <w:rPr>
          <w:rFonts w:ascii="Times New Roman" w:cs="Times New Roman" w:eastAsia="Times New Roman" w:hAnsi="Times New Roman"/>
          <w:sz w:val="16"/>
          <w:szCs w:val="16"/>
          <w:color w:val="auto"/>
        </w:rPr>
        <w:t>Construction</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Speculative (2)</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Non-speculative</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SBA</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SBA - PPP</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Dairy &amp; livestock and agribusiness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Municipal lease finance receivables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SFR mortgage</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Consumer and other loans</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Total gross loans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60" w:type="dxa"/>
            <w:vAlign w:val="bottom"/>
            <w:tcBorders>
              <w:top w:val="single" w:sz="8" w:color="auto"/>
            </w:tcBorders>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Loans Past</w:t>
            </w: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Due Over 89</w:t>
            </w:r>
          </w:p>
        </w:tc>
        <w:tc>
          <w:tcPr>
            <w:tcW w:w="0" w:type="dxa"/>
            <w:vAlign w:val="bottom"/>
          </w:tcPr>
          <w:p>
            <w:pPr>
              <w:spacing w:after="0"/>
              <w:rPr>
                <w:sz w:val="1"/>
                <w:szCs w:val="1"/>
                <w:color w:val="auto"/>
              </w:rPr>
            </w:pPr>
          </w:p>
        </w:tc>
      </w:tr>
      <w:tr>
        <w:trPr>
          <w:trHeight w:val="149"/>
        </w:trPr>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5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Nonaccrual</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 Still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 (3)</w:t>
            </w: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4"/>
          </w:tcPr>
          <w:p>
            <w:pPr>
              <w:ind w:left="1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200" w:type="dxa"/>
            <w:vAlign w:val="bottom"/>
          </w:tcPr>
          <w:p>
            <w:pPr>
              <w:spacing w:after="0"/>
              <w:rPr>
                <w:sz w:val="24"/>
                <w:szCs w:val="24"/>
                <w:color w:val="auto"/>
              </w:rPr>
            </w:pP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7,563</w:t>
            </w:r>
          </w:p>
        </w:tc>
        <w:tc>
          <w:tcPr>
            <w:tcW w:w="960" w:type="dxa"/>
            <w:vAlign w:val="bottom"/>
            <w:gridSpan w:val="2"/>
          </w:tcPr>
          <w:p>
            <w:pPr>
              <w:jc w:val="right"/>
              <w:ind w:right="58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97"/>
        </w:trPr>
        <w:tc>
          <w:tcPr>
            <w:tcW w:w="1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2,273</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3,129</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785</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430</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9"/>
        </w:trPr>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12,556</w:t>
            </w:r>
          </w:p>
        </w:tc>
        <w:tc>
          <w:tcPr>
            <w:tcW w:w="200" w:type="dxa"/>
            <w:vAlign w:val="bottom"/>
          </w:tcPr>
          <w:p>
            <w:pPr>
              <w:spacing w:after="0"/>
              <w:rPr>
                <w:sz w:val="18"/>
                <w:szCs w:val="18"/>
                <w:color w:val="auto"/>
              </w:rPr>
            </w:pP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14,347</w:t>
            </w:r>
          </w:p>
        </w:tc>
        <w:tc>
          <w:tcPr>
            <w:tcW w:w="960" w:type="dxa"/>
            <w:vAlign w:val="bottom"/>
            <w:gridSpan w:val="2"/>
          </w:tcPr>
          <w:p>
            <w:pPr>
              <w:jc w:val="right"/>
              <w:ind w:right="58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-1816735</wp:posOffset>
            </wp:positionV>
            <wp:extent cx="699516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-1559560</wp:posOffset>
            </wp:positionV>
            <wp:extent cx="6995160" cy="1028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-1327785</wp:posOffset>
            </wp:positionV>
            <wp:extent cx="6995160"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-1070610</wp:posOffset>
            </wp:positionV>
            <wp:extent cx="6995160"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-813435</wp:posOffset>
            </wp:positionV>
            <wp:extent cx="6995160"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-556260</wp:posOffset>
            </wp:positionV>
            <wp:extent cx="699516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-299085</wp:posOffset>
            </wp:positionV>
            <wp:extent cx="6995160" cy="1282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3840"/>
          </w:cols>
          <w:pgMar w:left="320" w:top="482" w:right="439" w:bottom="1440" w:gutter="0" w:footer="0" w:header="0"/>
          <w:type w:val="continuous"/>
        </w:sectPr>
      </w:pPr>
    </w:p>
    <w:p>
      <w:pPr>
        <w:spacing w:after="0" w:line="16" w:lineRule="exact"/>
        <w:rPr>
          <w:sz w:val="20"/>
          <w:szCs w:val="20"/>
          <w:color w:val="auto"/>
        </w:rPr>
      </w:pPr>
    </w:p>
    <w:p>
      <w:pPr>
        <w:ind w:left="1420" w:right="100" w:hanging="427"/>
        <w:spacing w:after="0" w:line="269" w:lineRule="auto"/>
        <w:tabs>
          <w:tab w:leader="none" w:pos="14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2020, $1.4 million of nonaccruing loans were current, $2,000 were 30-59 days past due, $1.3 million were 60-89 days past due, and $11.6 million were 90+ days past due.</w:t>
      </w:r>
    </w:p>
    <w:p>
      <w:pPr>
        <w:ind w:left="1420" w:hanging="427"/>
        <w:spacing w:after="0"/>
        <w:tabs>
          <w:tab w:leader="none" w:pos="14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18" w:lineRule="exact"/>
        <w:rPr>
          <w:rFonts w:ascii="Times New Roman" w:cs="Times New Roman" w:eastAsia="Times New Roman" w:hAnsi="Times New Roman"/>
          <w:sz w:val="16"/>
          <w:szCs w:val="16"/>
          <w:color w:val="auto"/>
        </w:rPr>
      </w:pPr>
    </w:p>
    <w:p>
      <w:pPr>
        <w:ind w:left="1420" w:hanging="427"/>
        <w:spacing w:after="0"/>
        <w:tabs>
          <w:tab w:leader="none" w:pos="14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$184,000 of guaranteed portion of nonaccrual SBA loans that are in process of collection.</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82" w:right="439" w:bottom="1440" w:gutter="0" w:footer="0" w:header="0"/>
          <w:type w:val="continuous"/>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2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and nonaccrual loans, by type of loans as of the date presented.</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 Loans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122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2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Accruing</w:t>
            </w:r>
          </w:p>
        </w:tc>
        <w:tc>
          <w:tcPr>
            <w:tcW w:w="7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(1) (3)</w:t>
            </w:r>
          </w:p>
        </w:tc>
        <w:tc>
          <w:tcPr>
            <w:tcW w:w="5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center"/>
              <w:ind w:left="12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Owner occupied</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5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9"/>
              </w:rPr>
              <w:t>$2,083,171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$2,083,650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Non-owner occupied</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5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3,290,722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3,290,967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Speculative (2)</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106,895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Non-speculative</w:t>
            </w:r>
          </w:p>
        </w:tc>
        <w:tc>
          <w:tcPr>
            <w:tcW w:w="260" w:type="dxa"/>
            <w:vAlign w:val="bottom"/>
          </w:tcPr>
          <w:p>
            <w:pPr>
              <w:spacing w:after="0"/>
              <w:rPr>
                <w:sz w:val="17"/>
                <w:szCs w:val="17"/>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SBA</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2,032</w:t>
            </w:r>
          </w:p>
        </w:tc>
        <w:tc>
          <w:tcPr>
            <w:tcW w:w="5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301,574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1,266</w:t>
            </w:r>
          </w:p>
        </w:tc>
        <w:tc>
          <w:tcPr>
            <w:tcW w:w="5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933,859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935,127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383,709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60" w:type="dxa"/>
            <w:vAlign w:val="bottom"/>
          </w:tcPr>
          <w:p>
            <w:pPr>
              <w:spacing w:after="0"/>
              <w:rPr>
                <w:sz w:val="17"/>
                <w:szCs w:val="17"/>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53,146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SFR mortgage</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5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282,341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Consumer and other loans</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5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115,942</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116,319</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gross loans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52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54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520" w:type="dxa"/>
            <w:vAlign w:val="bottom"/>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5,277</w:t>
            </w:r>
          </w:p>
        </w:tc>
        <w:tc>
          <w:tcPr>
            <w:tcW w:w="520" w:type="dxa"/>
            <w:vAlign w:val="bottom"/>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7,561,389</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7,568,319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420" w:right="60" w:hanging="427"/>
        <w:spacing w:after="0" w:line="269" w:lineRule="auto"/>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2019, $1.2 million of nonaccruing loans were current, $59,000 were 30-59 days past due, $1.1 million were 60-89 days past due and $2.9 million were 90+ days past due.</w:t>
      </w:r>
    </w:p>
    <w:p>
      <w:pPr>
        <w:ind w:left="1420" w:hanging="427"/>
        <w:spacing w:after="0"/>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18" w:lineRule="exact"/>
        <w:rPr>
          <w:rFonts w:ascii="Times New Roman" w:cs="Times New Roman" w:eastAsia="Times New Roman" w:hAnsi="Times New Roman"/>
          <w:sz w:val="16"/>
          <w:szCs w:val="16"/>
          <w:color w:val="auto"/>
        </w:rPr>
      </w:pPr>
    </w:p>
    <w:p>
      <w:pPr>
        <w:ind w:left="1420" w:hanging="427"/>
        <w:spacing w:after="0"/>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$2.0 million of guaranteed portion of nonaccrual SBA loans that are in process of collection.</w:t>
      </w: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82" w:right="4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Impaired Loans (prior to adoption of CECL)</w:t>
      </w:r>
    </w:p>
    <w:p>
      <w:pPr>
        <w:spacing w:after="0" w:line="202" w:lineRule="exact"/>
        <w:rPr>
          <w:sz w:val="20"/>
          <w:szCs w:val="20"/>
          <w:color w:val="auto"/>
        </w:rPr>
      </w:pPr>
    </w:p>
    <w:p>
      <w:pPr>
        <w:ind w:left="120" w:right="120" w:firstLine="551"/>
        <w:spacing w:after="0" w:line="266" w:lineRule="auto"/>
        <w:rPr>
          <w:sz w:val="20"/>
          <w:szCs w:val="20"/>
          <w:color w:val="auto"/>
        </w:rPr>
      </w:pPr>
      <w:r>
        <w:rPr>
          <w:rFonts w:ascii="Times New Roman" w:cs="Times New Roman" w:eastAsia="Times New Roman" w:hAnsi="Times New Roman"/>
          <w:sz w:val="18"/>
          <w:szCs w:val="18"/>
          <w:color w:val="auto"/>
        </w:rPr>
        <w:t>Following the adoption of CECL as of January 1, 2020, the definitions of impairment and related impaired loan disclosures were removed. As a result of the change, the following tables present information about our impaired loans and lease finance receivables, individually evaluated for Impairment by type of loans, as of December 31, 2019 and 2018, prior to the date of adoption of the amendments to the credit loss standard.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gridSpan w:val="10"/>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As of and For the Year Ended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Unpaid</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36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60" w:type="dxa"/>
            <w:vAlign w:val="bottom"/>
          </w:tcPr>
          <w:p>
            <w:pPr>
              <w:spacing w:after="0"/>
              <w:rPr>
                <w:sz w:val="18"/>
                <w:szCs w:val="18"/>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5"/>
          </w:tcPr>
          <w:p>
            <w:pPr>
              <w:jc w:val="right"/>
              <w:ind w:right="335"/>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With no related allowance recorded:</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Commercial real estate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Owner occupied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479</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613</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505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Non-owner occupied</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642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643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681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Construction</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Speculative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Non-speculative</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SBA</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2,243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2,734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2,389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1,091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1,261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1,369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3"/>
        </w:trPr>
        <w:tc>
          <w:tcPr>
            <w:tcW w:w="3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Dairy &amp; livestock and agribusiness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Municipal lease finance receivables</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SFR mortgage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2,979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3,310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3,043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Consumer and other loans</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377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514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396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7,811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9,075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8,383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With a related allowance recorded:</w:t>
            </w: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Commercial real estate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Owner occupied</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Non-owner occupied</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Construction</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Speculative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Non-speculative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SBA</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Dairy &amp; livestock and agribusiness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Municipal lease finance receivables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SFR mortgage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Consumer and other loans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Total impaired loans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8,389</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9,746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508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9,409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82" w:right="4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9"/>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 and For the Year Ended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2018 (1)</w:t>
            </w: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Unpaid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2"/>
        </w:trPr>
        <w:tc>
          <w:tcPr>
            <w:tcW w:w="4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46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240" w:type="dxa"/>
            <w:vAlign w:val="bottom"/>
            <w:gridSpan w:val="3"/>
          </w:tcPr>
          <w:p>
            <w:pPr>
              <w:jc w:val="right"/>
              <w:ind w:right="155"/>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With no related allowance recorded:</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Commercial real estate</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Owner occupied</w:t>
            </w:r>
          </w:p>
        </w:tc>
        <w:tc>
          <w:tcPr>
            <w:tcW w:w="1300" w:type="dxa"/>
            <w:vAlign w:val="bottom"/>
            <w:gridSpan w:val="2"/>
            <w:shd w:val="clear" w:color="auto" w:fill="CCEEFF"/>
          </w:tcPr>
          <w:p>
            <w:pPr>
              <w:ind w:left="1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589</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705</w:t>
            </w:r>
          </w:p>
        </w:tc>
        <w:tc>
          <w:tcPr>
            <w:tcW w:w="500" w:type="dxa"/>
            <w:vAlign w:val="bottom"/>
            <w:gridSpan w:val="2"/>
            <w:shd w:val="clear" w:color="auto" w:fill="CCEEFF"/>
          </w:tcPr>
          <w:p>
            <w:pPr>
              <w:ind w:left="400"/>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624</w:t>
            </w:r>
          </w:p>
        </w:tc>
        <w:tc>
          <w:tcPr>
            <w:tcW w:w="340" w:type="dxa"/>
            <w:vAlign w:val="bottom"/>
            <w:gridSpan w:val="2"/>
            <w:shd w:val="clear" w:color="auto" w:fill="CCEEFF"/>
          </w:tcPr>
          <w:p>
            <w:pPr>
              <w:ind w:left="240"/>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tcPr>
          <w:p>
            <w:pPr>
              <w:ind w:left="680"/>
              <w:spacing w:after="0" w:line="189" w:lineRule="exact"/>
              <w:rPr>
                <w:sz w:val="20"/>
                <w:szCs w:val="20"/>
                <w:color w:val="auto"/>
              </w:rPr>
            </w:pPr>
            <w:r>
              <w:rPr>
                <w:rFonts w:ascii="Times New Roman" w:cs="Times New Roman" w:eastAsia="Times New Roman" w:hAnsi="Times New Roman"/>
                <w:sz w:val="17"/>
                <w:szCs w:val="17"/>
                <w:color w:val="auto"/>
              </w:rPr>
              <w:t>Non-owner occupied</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2,808</w:t>
            </w:r>
          </w:p>
        </w:tc>
        <w:tc>
          <w:tcPr>
            <w:tcW w:w="14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4,324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4,585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Construction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680"/>
              <w:spacing w:after="0" w:line="189" w:lineRule="exact"/>
              <w:rPr>
                <w:sz w:val="20"/>
                <w:szCs w:val="20"/>
                <w:color w:val="auto"/>
              </w:rPr>
            </w:pPr>
            <w:r>
              <w:rPr>
                <w:rFonts w:ascii="Times New Roman" w:cs="Times New Roman" w:eastAsia="Times New Roman" w:hAnsi="Times New Roman"/>
                <w:sz w:val="17"/>
                <w:szCs w:val="17"/>
                <w:color w:val="auto"/>
              </w:rPr>
              <w:t>Speculative</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Non-speculative</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SBA</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3,467</w:t>
            </w:r>
          </w:p>
        </w:tc>
        <w:tc>
          <w:tcPr>
            <w:tcW w:w="14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5,746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3,919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Commercial and industrial</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7,436</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11,457</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7,718</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89"/>
        </w:trPr>
        <w:tc>
          <w:tcPr>
            <w:tcW w:w="4220" w:type="dxa"/>
            <w:vAlign w:val="bottom"/>
          </w:tcPr>
          <w:p>
            <w:pPr>
              <w:ind w:left="680"/>
              <w:spacing w:after="0" w:line="189" w:lineRule="exact"/>
              <w:rPr>
                <w:sz w:val="20"/>
                <w:szCs w:val="20"/>
                <w:color w:val="auto"/>
              </w:rPr>
            </w:pPr>
            <w:r>
              <w:rPr>
                <w:rFonts w:ascii="Times New Roman" w:cs="Times New Roman" w:eastAsia="Times New Roman" w:hAnsi="Times New Roman"/>
                <w:sz w:val="17"/>
                <w:szCs w:val="17"/>
                <w:color w:val="auto"/>
              </w:rPr>
              <w:t>Dairy &amp; livestock and agribusiness</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Municipal lease finance receivables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SFR mortgage</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5,349</w:t>
            </w:r>
          </w:p>
        </w:tc>
        <w:tc>
          <w:tcPr>
            <w:tcW w:w="14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6,270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5,484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Consumer and other loans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418</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526</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459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20,067</w:t>
            </w: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29,028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7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22,789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With a related allowance recorded:</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Commercial real estate</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Owner occupied</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tcPr>
          <w:p>
            <w:pPr>
              <w:ind w:left="680"/>
              <w:spacing w:after="0" w:line="189" w:lineRule="exact"/>
              <w:rPr>
                <w:sz w:val="20"/>
                <w:szCs w:val="20"/>
                <w:color w:val="auto"/>
              </w:rPr>
            </w:pPr>
            <w:r>
              <w:rPr>
                <w:rFonts w:ascii="Times New Roman" w:cs="Times New Roman" w:eastAsia="Times New Roman" w:hAnsi="Times New Roman"/>
                <w:sz w:val="17"/>
                <w:szCs w:val="17"/>
                <w:color w:val="auto"/>
              </w:rPr>
              <w:t>Non-owner occupied</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3,143</w:t>
            </w:r>
          </w:p>
        </w:tc>
        <w:tc>
          <w:tcPr>
            <w:tcW w:w="14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3,144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478</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3,144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Construction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680"/>
              <w:spacing w:after="0" w:line="189" w:lineRule="exact"/>
              <w:rPr>
                <w:sz w:val="20"/>
                <w:szCs w:val="20"/>
                <w:color w:val="auto"/>
              </w:rPr>
            </w:pPr>
            <w:r>
              <w:rPr>
                <w:rFonts w:ascii="Times New Roman" w:cs="Times New Roman" w:eastAsia="Times New Roman" w:hAnsi="Times New Roman"/>
                <w:sz w:val="17"/>
                <w:szCs w:val="17"/>
                <w:color w:val="auto"/>
              </w:rPr>
              <w:t>Speculative</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Non-speculative</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SBA</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Commercial and industrial</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189</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191</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203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tcPr>
          <w:p>
            <w:pPr>
              <w:ind w:left="680"/>
              <w:spacing w:after="0" w:line="189" w:lineRule="exact"/>
              <w:rPr>
                <w:sz w:val="20"/>
                <w:szCs w:val="20"/>
                <w:color w:val="auto"/>
              </w:rPr>
            </w:pPr>
            <w:r>
              <w:rPr>
                <w:rFonts w:ascii="Times New Roman" w:cs="Times New Roman" w:eastAsia="Times New Roman" w:hAnsi="Times New Roman"/>
                <w:sz w:val="17"/>
                <w:szCs w:val="17"/>
                <w:color w:val="auto"/>
              </w:rPr>
              <w:t>Dairy &amp; livestock and agribusiness</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78</w:t>
            </w:r>
          </w:p>
        </w:tc>
        <w:tc>
          <w:tcPr>
            <w:tcW w:w="14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78</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78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Municipal lease finance receivables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SFR mortgage</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Consumer and other loans</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68</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100</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76</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3,478</w:t>
            </w: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79"/>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3,501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2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Total impaired loans</w:t>
            </w:r>
          </w:p>
        </w:tc>
        <w:tc>
          <w:tcPr>
            <w:tcW w:w="1300" w:type="dxa"/>
            <w:vAlign w:val="bottom"/>
            <w:gridSpan w:val="2"/>
            <w:shd w:val="clear" w:color="auto" w:fill="CCEEFF"/>
          </w:tcPr>
          <w:p>
            <w:pPr>
              <w:ind w:left="1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7"/>
                <w:szCs w:val="17"/>
                <w:color w:val="auto"/>
              </w:rPr>
              <w:t>23,545</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32,541</w:t>
            </w:r>
          </w:p>
        </w:tc>
        <w:tc>
          <w:tcPr>
            <w:tcW w:w="500" w:type="dxa"/>
            <w:vAlign w:val="bottom"/>
            <w:gridSpan w:val="2"/>
            <w:shd w:val="clear" w:color="auto" w:fill="CCEEFF"/>
          </w:tcPr>
          <w:p>
            <w:pPr>
              <w:ind w:left="400"/>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379"/>
              <w:spacing w:after="0" w:line="189" w:lineRule="exact"/>
              <w:rPr>
                <w:sz w:val="20"/>
                <w:szCs w:val="20"/>
                <w:color w:val="auto"/>
              </w:rPr>
            </w:pPr>
            <w:r>
              <w:rPr>
                <w:rFonts w:ascii="Times New Roman" w:cs="Times New Roman" w:eastAsia="Times New Roman" w:hAnsi="Times New Roman"/>
                <w:sz w:val="17"/>
                <w:szCs w:val="17"/>
                <w:color w:val="auto"/>
              </w:rPr>
              <w:t>561</w:t>
            </w:r>
          </w:p>
        </w:tc>
        <w:tc>
          <w:tcPr>
            <w:tcW w:w="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26,290</w:t>
            </w:r>
          </w:p>
        </w:tc>
        <w:tc>
          <w:tcPr>
            <w:tcW w:w="340" w:type="dxa"/>
            <w:vAlign w:val="bottom"/>
            <w:gridSpan w:val="2"/>
            <w:shd w:val="clear" w:color="auto" w:fill="CCEEFF"/>
          </w:tcPr>
          <w:p>
            <w:pPr>
              <w:ind w:left="240"/>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980" w:hanging="432"/>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PCI loans.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Collateral Dependent Loans</w:t>
      </w:r>
    </w:p>
    <w:p>
      <w:pPr>
        <w:spacing w:after="0" w:line="202" w:lineRule="exact"/>
        <w:rPr>
          <w:sz w:val="20"/>
          <w:szCs w:val="20"/>
          <w:color w:val="auto"/>
        </w:rPr>
      </w:pPr>
    </w:p>
    <w:p>
      <w:pPr>
        <w:ind w:left="120" w:right="20" w:firstLine="551"/>
        <w:spacing w:after="0" w:line="266" w:lineRule="auto"/>
        <w:rPr>
          <w:sz w:val="20"/>
          <w:szCs w:val="20"/>
          <w:color w:val="auto"/>
        </w:rPr>
      </w:pPr>
      <w:r>
        <w:rPr>
          <w:rFonts w:ascii="Times New Roman" w:cs="Times New Roman" w:eastAsia="Times New Roman" w:hAnsi="Times New Roman"/>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3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60" w:type="dxa"/>
            <w:vAlign w:val="bottom"/>
            <w:gridSpan w:val="4"/>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Number of Loans</w:t>
            </w:r>
          </w:p>
        </w:tc>
        <w:tc>
          <w:tcPr>
            <w:tcW w:w="0" w:type="dxa"/>
            <w:vAlign w:val="bottom"/>
          </w:tcPr>
          <w:p>
            <w:pPr>
              <w:spacing w:after="0"/>
              <w:rPr>
                <w:sz w:val="1"/>
                <w:szCs w:val="1"/>
                <w:color w:val="auto"/>
              </w:rPr>
            </w:pPr>
          </w:p>
        </w:tc>
      </w:tr>
      <w:tr>
        <w:trPr>
          <w:trHeight w:val="94"/>
        </w:trPr>
        <w:tc>
          <w:tcPr>
            <w:tcW w:w="3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gridSpan w:val="4"/>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Dependent on</w:t>
            </w:r>
          </w:p>
        </w:tc>
        <w:tc>
          <w:tcPr>
            <w:tcW w:w="0" w:type="dxa"/>
            <w:vAlign w:val="bottom"/>
          </w:tcPr>
          <w:p>
            <w:pPr>
              <w:spacing w:after="0"/>
              <w:rPr>
                <w:sz w:val="1"/>
                <w:szCs w:val="1"/>
                <w:color w:val="auto"/>
              </w:rPr>
            </w:pPr>
          </w:p>
        </w:tc>
      </w:tr>
      <w:tr>
        <w:trPr>
          <w:trHeight w:val="89"/>
        </w:trPr>
        <w:tc>
          <w:tcPr>
            <w:tcW w:w="39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Real Estate</w:t>
            </w:r>
          </w:p>
        </w:tc>
        <w:tc>
          <w:tcPr>
            <w:tcW w:w="1540" w:type="dxa"/>
            <w:vAlign w:val="bottom"/>
          </w:tcPr>
          <w:p>
            <w:pPr>
              <w:spacing w:after="0"/>
              <w:rPr>
                <w:sz w:val="7"/>
                <w:szCs w:val="7"/>
                <w:color w:val="auto"/>
              </w:rPr>
            </w:pPr>
          </w:p>
        </w:tc>
        <w:tc>
          <w:tcPr>
            <w:tcW w:w="1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Assets</w:t>
            </w:r>
          </w:p>
        </w:tc>
        <w:tc>
          <w:tcPr>
            <w:tcW w:w="120" w:type="dxa"/>
            <w:vAlign w:val="bottom"/>
          </w:tcPr>
          <w:p>
            <w:pPr>
              <w:spacing w:after="0"/>
              <w:rPr>
                <w:sz w:val="7"/>
                <w:szCs w:val="7"/>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7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w w:val="99"/>
              </w:rPr>
              <w:t>thousands)</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76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SBA</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185</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SBA - PPP</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5,542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95</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SFR mortgage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and other loans</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0"/>
        </w:trPr>
        <w:tc>
          <w:tcPr>
            <w:tcW w:w="39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collateral-dependent loans</w:t>
            </w:r>
          </w:p>
        </w:tc>
        <w:tc>
          <w:tcPr>
            <w:tcW w:w="30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920" w:type="dxa"/>
            <w:vAlign w:val="bottom"/>
            <w:vMerge w:val="continue"/>
          </w:tcPr>
          <w:p>
            <w:pPr>
              <w:spacing w:after="0"/>
              <w:rPr>
                <w:sz w:val="24"/>
                <w:szCs w:val="24"/>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5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72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280</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82" w:right="4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9019"/>
          </w:cols>
          <w:pgMar w:left="1440" w:top="121" w:right="1440"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Reserve for Unfunded Loan Commitments</w:t>
      </w:r>
    </w:p>
    <w:p>
      <w:pPr>
        <w:spacing w:after="0" w:line="202"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As a result of the adoption of ASU 2016-13, the reserve for unfunded loan commitments included a transition adjustment of $41,000 as of January 1, 2020. There was no provision or recapture of provision for unfunded commitments for the years ended December 31, 2020 and 2019, compared with a recapture of provision for unfunded loan commitments of $250,000 for the year ended December 31, 2018. As of December 31, 2020 and 2019, the balance in this reserve was $9.0 million and was included in other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Troubled Debt Restructurings</w:t>
      </w:r>
    </w:p>
    <w:p>
      <w:pPr>
        <w:spacing w:after="0" w:line="189" w:lineRule="exact"/>
        <w:rPr>
          <w:sz w:val="20"/>
          <w:szCs w:val="20"/>
          <w:color w:val="auto"/>
        </w:rPr>
      </w:pPr>
    </w:p>
    <w:p>
      <w:pPr>
        <w:ind w:left="120" w:right="20" w:firstLine="551"/>
        <w:spacing w:after="0" w:line="266" w:lineRule="auto"/>
        <w:rPr>
          <w:sz w:val="20"/>
          <w:szCs w:val="20"/>
          <w:color w:val="auto"/>
        </w:rPr>
      </w:pPr>
      <w:r>
        <w:rPr>
          <w:rFonts w:ascii="Times New Roman" w:cs="Times New Roman" w:eastAsia="Times New Roman" w:hAnsi="Times New Roman"/>
          <w:sz w:val="18"/>
          <w:szCs w:val="18"/>
          <w:color w:val="auto"/>
        </w:rPr>
        <w:t xml:space="preserve">Loans that are reported as TDRs are considered impaired and charge-off amounts are taken on an individual loan basis, as deemed appropriate. The majority of restructured loans are loans for which the terms of repayment have been renegotiated, resulting in a reduction in interest rate or deferral of principal. Refer to Note 3 — </w:t>
      </w:r>
      <w:r>
        <w:rPr>
          <w:rFonts w:ascii="Times New Roman" w:cs="Times New Roman" w:eastAsia="Times New Roman" w:hAnsi="Times New Roman"/>
          <w:sz w:val="18"/>
          <w:szCs w:val="18"/>
          <w:i w:val="1"/>
          <w:iCs w:val="1"/>
          <w:color w:val="auto"/>
        </w:rPr>
        <w:t>Summary of Significant Accounting Policies, Troubled Debt Restructurings</w:t>
      </w:r>
      <w:r>
        <w:rPr>
          <w:rFonts w:ascii="Times New Roman" w:cs="Times New Roman" w:eastAsia="Times New Roman" w:hAnsi="Times New Roman"/>
          <w:sz w:val="18"/>
          <w:szCs w:val="18"/>
          <w:color w:val="auto"/>
        </w:rPr>
        <w:t>, included herein.</w:t>
      </w:r>
    </w:p>
    <w:p>
      <w:pPr>
        <w:spacing w:after="0" w:line="135" w:lineRule="exact"/>
        <w:rPr>
          <w:sz w:val="20"/>
          <w:szCs w:val="20"/>
          <w:color w:val="auto"/>
        </w:rPr>
      </w:pPr>
    </w:p>
    <w:p>
      <w:pPr>
        <w:ind w:left="120" w:right="60" w:firstLine="551"/>
        <w:spacing w:after="0" w:line="258" w:lineRule="auto"/>
        <w:rPr>
          <w:sz w:val="20"/>
          <w:szCs w:val="20"/>
          <w:color w:val="auto"/>
        </w:rPr>
      </w:pPr>
      <w:r>
        <w:rPr>
          <w:rFonts w:ascii="Times New Roman" w:cs="Times New Roman" w:eastAsia="Times New Roman" w:hAnsi="Times New Roman"/>
          <w:sz w:val="18"/>
          <w:szCs w:val="18"/>
          <w:color w:val="auto"/>
        </w:rPr>
        <w:t>As of December 31, 2020, there were $2.2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December 31, 2020, performing TDRs were comprised of seven SFR mortgage loans of $1.8 million, one commercial real estate loan of $320,000, and one commercial and industrial loan of $43,000.</w:t>
      </w:r>
    </w:p>
    <w:p>
      <w:pPr>
        <w:spacing w:after="0" w:line="143" w:lineRule="exact"/>
        <w:rPr>
          <w:sz w:val="20"/>
          <w:szCs w:val="20"/>
          <w:color w:val="auto"/>
        </w:rPr>
      </w:pPr>
    </w:p>
    <w:p>
      <w:pPr>
        <w:ind w:left="120" w:right="340" w:firstLine="551"/>
        <w:spacing w:after="0" w:line="282" w:lineRule="auto"/>
        <w:rPr>
          <w:sz w:val="20"/>
          <w:szCs w:val="20"/>
          <w:color w:val="auto"/>
        </w:rPr>
      </w:pPr>
      <w:r>
        <w:rPr>
          <w:rFonts w:ascii="Times New Roman" w:cs="Times New Roman" w:eastAsia="Times New Roman" w:hAnsi="Times New Roman"/>
          <w:sz w:val="18"/>
          <w:szCs w:val="18"/>
          <w:color w:val="auto"/>
        </w:rPr>
        <w:t>The majority of TDRs have no specific allowance allocated as any impairment amount is normally charged off at the time a probable loss is determined. We have no allocated allowance to TDRs as of December 31, 2020 and December 31, 2019.</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the activity related to TDRs for the periods presented.</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Performing TDRs:</w:t>
            </w:r>
          </w:p>
        </w:tc>
        <w:tc>
          <w:tcPr>
            <w:tcW w:w="1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286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3,112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3,594</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modifications</w:t>
            </w:r>
          </w:p>
        </w:tc>
        <w:tc>
          <w:tcPr>
            <w:tcW w:w="1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Payoffs/payments, net and other</w:t>
            </w: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80" w:type="dxa"/>
            <w:vAlign w:val="bottom"/>
            <w:gridSpan w:val="2"/>
          </w:tcPr>
          <w:p>
            <w:pPr>
              <w:jc w:val="right"/>
              <w:ind w:right="1440"/>
              <w:spacing w:after="0"/>
              <w:rPr>
                <w:sz w:val="20"/>
                <w:szCs w:val="20"/>
                <w:color w:val="auto"/>
              </w:rPr>
            </w:pPr>
            <w:r>
              <w:rPr>
                <w:rFonts w:ascii="Times New Roman" w:cs="Times New Roman" w:eastAsia="Times New Roman" w:hAnsi="Times New Roman"/>
                <w:sz w:val="18"/>
                <w:szCs w:val="18"/>
                <w:color w:val="auto"/>
              </w:rPr>
              <w:t>(953)</w:t>
            </w:r>
          </w:p>
        </w:tc>
        <w:tc>
          <w:tcPr>
            <w:tcW w:w="3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TDRs returned to accrual status</w:t>
            </w:r>
          </w:p>
        </w:tc>
        <w:tc>
          <w:tcPr>
            <w:tcW w:w="1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TDRs placed on nonaccrual status</w:t>
            </w:r>
          </w:p>
        </w:tc>
        <w:tc>
          <w:tcPr>
            <w:tcW w:w="19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Ending balance</w:t>
            </w:r>
          </w:p>
        </w:tc>
        <w:tc>
          <w:tcPr>
            <w:tcW w:w="2860" w:type="dxa"/>
            <w:vAlign w:val="bottom"/>
            <w:gridSpan w:val="2"/>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2,159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Nonperforming TDRs:</w:t>
            </w:r>
          </w:p>
        </w:tc>
        <w:tc>
          <w:tcPr>
            <w:tcW w:w="19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2860" w:type="dxa"/>
            <w:vAlign w:val="bottom"/>
            <w:gridSpan w:val="2"/>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244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3,509</w:t>
            </w:r>
          </w:p>
        </w:tc>
        <w:tc>
          <w:tcPr>
            <w:tcW w:w="0" w:type="dxa"/>
            <w:vAlign w:val="bottom"/>
          </w:tcPr>
          <w:p>
            <w:pPr>
              <w:spacing w:after="0"/>
              <w:rPr>
                <w:sz w:val="1"/>
                <w:szCs w:val="1"/>
                <w:color w:val="auto"/>
              </w:rPr>
            </w:pPr>
          </w:p>
        </w:tc>
      </w:tr>
      <w:tr>
        <w:trPr>
          <w:trHeight w:val="216"/>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modifications</w:t>
            </w: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Charge-offs</w:t>
            </w:r>
          </w:p>
        </w:tc>
        <w:tc>
          <w:tcPr>
            <w:tcW w:w="1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Transfer to OREO</w:t>
            </w: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Payoffs/payments, net and other</w:t>
            </w:r>
          </w:p>
        </w:tc>
        <w:tc>
          <w:tcPr>
            <w:tcW w:w="1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440"/>
              <w:spacing w:after="0"/>
              <w:rPr>
                <w:sz w:val="20"/>
                <w:szCs w:val="20"/>
                <w:color w:val="auto"/>
              </w:rPr>
            </w:pPr>
            <w:r>
              <w:rPr>
                <w:rFonts w:ascii="Times New Roman" w:cs="Times New Roman" w:eastAsia="Times New Roman" w:hAnsi="Times New Roman"/>
                <w:sz w:val="18"/>
                <w:szCs w:val="18"/>
                <w:color w:val="auto"/>
              </w:rPr>
              <w:t>(244)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16"/>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TDRs returned to accrual status</w:t>
            </w: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TDRs placed on nonaccrual status</w:t>
            </w:r>
          </w:p>
        </w:tc>
        <w:tc>
          <w:tcPr>
            <w:tcW w:w="19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Ending balance</w:t>
            </w:r>
          </w:p>
        </w:tc>
        <w:tc>
          <w:tcPr>
            <w:tcW w:w="1900" w:type="dxa"/>
            <w:vAlign w:val="bottom"/>
          </w:tcPr>
          <w:p>
            <w:pPr>
              <w:spacing w:after="0"/>
              <w:rPr>
                <w:sz w:val="20"/>
                <w:szCs w:val="20"/>
                <w:color w:val="auto"/>
              </w:rPr>
            </w:pPr>
          </w:p>
        </w:tc>
        <w:tc>
          <w:tcPr>
            <w:tcW w:w="96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TDRs</w:t>
            </w:r>
          </w:p>
        </w:tc>
        <w:tc>
          <w:tcPr>
            <w:tcW w:w="2860" w:type="dxa"/>
            <w:vAlign w:val="bottom"/>
            <w:gridSpan w:val="2"/>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500"/>
              <w:spacing w:after="0"/>
              <w:rPr>
                <w:sz w:val="20"/>
                <w:szCs w:val="20"/>
                <w:color w:val="auto"/>
              </w:rPr>
            </w:pPr>
            <w:r>
              <w:rPr>
                <w:rFonts w:ascii="Times New Roman" w:cs="Times New Roman" w:eastAsia="Times New Roman" w:hAnsi="Times New Roman"/>
                <w:sz w:val="18"/>
                <w:szCs w:val="18"/>
                <w:color w:val="auto"/>
              </w:rPr>
              <w:t>2,159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131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tables summarize loans modified as TDRs for the periods presented. There were no loans that were modified as TDRs for the years ended December 31, 2020 and 2019.</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Modifications (1)</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8"/>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For the Year Ended December 31, 2018 (2)</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Pre-Modification</w:t>
            </w:r>
          </w:p>
        </w:tc>
        <w:tc>
          <w:tcPr>
            <w:tcW w:w="500" w:type="dxa"/>
            <w:vAlign w:val="bottom"/>
          </w:tcPr>
          <w:p>
            <w:pPr>
              <w:spacing w:after="0"/>
              <w:rPr>
                <w:sz w:val="10"/>
                <w:szCs w:val="10"/>
                <w:color w:val="auto"/>
              </w:rPr>
            </w:pPr>
          </w:p>
        </w:tc>
        <w:tc>
          <w:tcPr>
            <w:tcW w:w="164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Post-Modification</w:t>
            </w:r>
          </w:p>
        </w:tc>
        <w:tc>
          <w:tcPr>
            <w:tcW w:w="60" w:type="dxa"/>
            <w:vAlign w:val="bottom"/>
          </w:tcPr>
          <w:p>
            <w:pPr>
              <w:spacing w:after="0"/>
              <w:rPr>
                <w:sz w:val="10"/>
                <w:szCs w:val="10"/>
                <w:color w:val="auto"/>
              </w:rPr>
            </w:pPr>
          </w:p>
        </w:tc>
        <w:tc>
          <w:tcPr>
            <w:tcW w:w="1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Outstanding Recorded</w:t>
            </w:r>
          </w:p>
        </w:tc>
        <w:tc>
          <w:tcPr>
            <w:tcW w:w="320" w:type="dxa"/>
            <w:vAlign w:val="bottom"/>
          </w:tcPr>
          <w:p>
            <w:pPr>
              <w:spacing w:after="0"/>
              <w:rPr>
                <w:sz w:val="10"/>
                <w:szCs w:val="10"/>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Effect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 at</w:t>
            </w: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Resulting From</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20" w:type="dxa"/>
            <w:vAlign w:val="bottom"/>
          </w:tcPr>
          <w:p>
            <w:pPr>
              <w:spacing w:after="0"/>
              <w:rPr>
                <w:sz w:val="15"/>
                <w:szCs w:val="15"/>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Modifications (3)</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center"/>
              <w:ind w:left="28"/>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Commercial real estate:</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rate reduction</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Change in amortization</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20" w:type="dxa"/>
            <w:vAlign w:val="bottom"/>
            <w:gridSpan w:val="2"/>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period or maturity</w:t>
            </w:r>
          </w:p>
        </w:tc>
        <w:tc>
          <w:tcPr>
            <w:tcW w:w="70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rate reduction</w:t>
            </w: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26"/>
        </w:trPr>
        <w:tc>
          <w:tcPr>
            <w:tcW w:w="32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Change in amortization</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38</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1"/>
        </w:trPr>
        <w:tc>
          <w:tcPr>
            <w:tcW w:w="3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period or maturity</w:t>
            </w: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2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Dairy &amp; livestock and</w:t>
            </w: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rate reduction</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Change in amortization</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20" w:type="dxa"/>
            <w:vAlign w:val="bottom"/>
            <w:gridSpan w:val="2"/>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period or maturity</w:t>
            </w:r>
          </w:p>
        </w:tc>
        <w:tc>
          <w:tcPr>
            <w:tcW w:w="70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SFR mortgage: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rate reduction</w:t>
            </w: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26"/>
        </w:trPr>
        <w:tc>
          <w:tcPr>
            <w:tcW w:w="32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Change in amortization</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311</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311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300</w:t>
            </w: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1"/>
        </w:trPr>
        <w:tc>
          <w:tcPr>
            <w:tcW w:w="3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period or maturity</w:t>
            </w: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rate reduction</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Change in amortization</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278</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20" w:type="dxa"/>
            <w:vAlign w:val="bottom"/>
            <w:gridSpan w:val="2"/>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278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267</w:t>
            </w: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period or maturity</w:t>
            </w:r>
          </w:p>
        </w:tc>
        <w:tc>
          <w:tcPr>
            <w:tcW w:w="70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loans</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627</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587</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80" w:hanging="432"/>
        <w:spacing w:after="0"/>
        <w:tabs>
          <w:tab w:leader="none" w:pos="9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tables above exclude modified loans that were paid off prior to the end of the period.</w:t>
      </w:r>
    </w:p>
    <w:p>
      <w:pPr>
        <w:spacing w:after="0" w:line="26" w:lineRule="exact"/>
        <w:rPr>
          <w:rFonts w:ascii="Times New Roman" w:cs="Times New Roman" w:eastAsia="Times New Roman" w:hAnsi="Times New Roman"/>
          <w:sz w:val="16"/>
          <w:szCs w:val="16"/>
          <w:color w:val="auto"/>
        </w:rPr>
      </w:pPr>
    </w:p>
    <w:p>
      <w:pPr>
        <w:ind w:left="980" w:hanging="432"/>
        <w:spacing w:after="0"/>
        <w:tabs>
          <w:tab w:leader="none" w:pos="9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PCI loans.</w:t>
      </w:r>
    </w:p>
    <w:p>
      <w:pPr>
        <w:spacing w:after="0" w:line="18" w:lineRule="exact"/>
        <w:rPr>
          <w:rFonts w:ascii="Times New Roman" w:cs="Times New Roman" w:eastAsia="Times New Roman" w:hAnsi="Times New Roman"/>
          <w:sz w:val="16"/>
          <w:szCs w:val="16"/>
          <w:color w:val="auto"/>
        </w:rPr>
      </w:pPr>
    </w:p>
    <w:p>
      <w:pPr>
        <w:ind w:left="980" w:hanging="432"/>
        <w:spacing w:after="0"/>
        <w:tabs>
          <w:tab w:leader="none" w:pos="9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effects resulting from modifications represent charge-offs and specific allowance recorded at modification date.</w:t>
      </w:r>
    </w:p>
    <w:p>
      <w:pPr>
        <w:spacing w:after="0" w:line="182" w:lineRule="exact"/>
        <w:rPr>
          <w:sz w:val="20"/>
          <w:szCs w:val="20"/>
          <w:color w:val="auto"/>
        </w:rPr>
      </w:pPr>
    </w:p>
    <w:p>
      <w:pPr>
        <w:ind w:left="120" w:right="760" w:firstLine="551"/>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there were no loans that were modified as a TDR within the previous 12 months that subsequently defaulted.</w:t>
      </w:r>
    </w:p>
    <w:p>
      <w:pPr>
        <w:spacing w:after="0" w:line="121" w:lineRule="exact"/>
        <w:rPr>
          <w:sz w:val="20"/>
          <w:szCs w:val="20"/>
          <w:color w:val="auto"/>
        </w:rPr>
      </w:pPr>
    </w:p>
    <w:p>
      <w:pPr>
        <w:ind w:left="120" w:right="120" w:firstLine="551"/>
        <w:spacing w:after="0" w:line="254" w:lineRule="auto"/>
        <w:rPr>
          <w:sz w:val="20"/>
          <w:szCs w:val="20"/>
          <w:color w:val="auto"/>
        </w:rPr>
      </w:pPr>
      <w:r>
        <w:rPr>
          <w:rFonts w:ascii="Times New Roman" w:cs="Times New Roman" w:eastAsia="Times New Roman" w:hAnsi="Times New Roman"/>
          <w:sz w:val="18"/>
          <w:szCs w:val="18"/>
          <w:color w:val="auto"/>
        </w:rPr>
        <w:t>In accordance with regulatory guidance, if borrowers are less than 30 days past due on their loans, upon implementation of the modification program, or as allowed under the CARES Act if borrowers are less than 30 days past due on their loans as of December 31, 2019, and enter into short-term loan modifications offered as a result of COVID-19, their loans generally continue to be considered performing loans and continue to accrue interest during the period of the loan modification. For borrowers who are 30 days or more past due when entering into loan modifications offered as a result of COVID-19, we evaluate the loan modifications under our existing troubled debt restructuring framework, and where such a loan modification would result in a concession to a borrower experiencing financial difficulty, the loan will be accounted for as a TDR and will generally not accrue interest. For all borrowers who enroll in these loan modification programs offered as a result of COVID-19, the delinquency status of the borrowers is frozen, resulting in a static delinquency metric during the deferral period. Upon exiting the deferral program, the measurement of loan delinquency will resume where it had left off upon entry into the program.</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82" w:right="4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REAL ESTATE OWNED</w:t>
      </w:r>
    </w:p>
    <w:p>
      <w:pPr>
        <w:spacing w:after="0" w:line="20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activity related to total OREO for the periods presented.</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20" w:type="dxa"/>
            <w:vAlign w:val="bottom"/>
          </w:tcPr>
          <w:p>
            <w:pPr>
              <w:spacing w:after="0"/>
              <w:rPr>
                <w:sz w:val="19"/>
                <w:szCs w:val="19"/>
                <w:color w:val="auto"/>
              </w:rPr>
            </w:pPr>
          </w:p>
        </w:tc>
      </w:tr>
      <w:tr>
        <w:trPr>
          <w:trHeight w:val="142"/>
        </w:trPr>
        <w:tc>
          <w:tcPr>
            <w:tcW w:w="3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gridSpan w:val="4"/>
          </w:tcPr>
          <w:p>
            <w:pPr>
              <w:jc w:val="right"/>
              <w:ind w:right="3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5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1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Dispositions</w:t>
            </w:r>
          </w:p>
        </w:tc>
        <w:tc>
          <w:tcPr>
            <w:tcW w:w="1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(797)</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adjustments</w:t>
            </w:r>
          </w:p>
        </w:tc>
        <w:tc>
          <w:tcPr>
            <w:tcW w:w="1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(700)</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7"/>
        </w:trPr>
        <w:tc>
          <w:tcPr>
            <w:tcW w:w="3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end of period</w:t>
            </w:r>
          </w:p>
        </w:tc>
        <w:tc>
          <w:tcPr>
            <w:tcW w:w="16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20" w:type="dxa"/>
            <w:vAlign w:val="bottom"/>
            <w:shd w:val="clear" w:color="auto" w:fill="CCEEFF"/>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hanging="544"/>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carrying amount of goodwill for the periods presented.</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r>
      <w:tr>
        <w:trPr>
          <w:trHeight w:val="142"/>
        </w:trPr>
        <w:tc>
          <w:tcPr>
            <w:tcW w:w="4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663,707</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666,539</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(2,832)</w:t>
            </w:r>
          </w:p>
        </w:tc>
      </w:tr>
      <w:tr>
        <w:trPr>
          <w:trHeight w:val="27"/>
        </w:trPr>
        <w:tc>
          <w:tcPr>
            <w:tcW w:w="4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end of period</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663,707</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663,707</w:t>
            </w:r>
          </w:p>
        </w:tc>
        <w:tc>
          <w:tcPr>
            <w:tcW w:w="12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changes in CDI and the related accumulated amortization for the periods presented.</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8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Gross CDI</w:t>
            </w: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CDI</w:t>
            </w:r>
          </w:p>
        </w:tc>
        <w:tc>
          <w:tcPr>
            <w:tcW w:w="80" w:type="dxa"/>
            <w:vAlign w:val="bottom"/>
          </w:tcPr>
          <w:p>
            <w:pPr>
              <w:spacing w:after="0"/>
              <w:rPr>
                <w:sz w:val="10"/>
                <w:szCs w:val="10"/>
                <w:color w:val="auto"/>
              </w:rPr>
            </w:pPr>
          </w:p>
        </w:tc>
        <w:tc>
          <w:tcPr>
            <w:tcW w:w="9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9"/>
              </w:rPr>
              <w:t>Gross CDI</w:t>
            </w:r>
          </w:p>
        </w:tc>
        <w:tc>
          <w:tcPr>
            <w:tcW w:w="200" w:type="dxa"/>
            <w:vAlign w:val="bottom"/>
          </w:tcPr>
          <w:p>
            <w:pPr>
              <w:spacing w:after="0"/>
              <w:rPr>
                <w:sz w:val="10"/>
                <w:szCs w:val="10"/>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20" w:type="dxa"/>
            <w:vAlign w:val="bottom"/>
          </w:tcPr>
          <w:p>
            <w:pPr>
              <w:jc w:val="right"/>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CDI</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of intangible assets, beginning of period</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93,297</w:t>
            </w: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(50,311)</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42,986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93,297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(39,513)</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$ 53,784</w:t>
            </w:r>
          </w:p>
        </w:tc>
        <w:tc>
          <w:tcPr>
            <w:tcW w:w="0" w:type="dxa"/>
            <w:vAlign w:val="bottom"/>
          </w:tcPr>
          <w:p>
            <w:pPr>
              <w:spacing w:after="0"/>
              <w:rPr>
                <w:sz w:val="1"/>
                <w:szCs w:val="1"/>
                <w:color w:val="auto"/>
              </w:rPr>
            </w:pPr>
          </w:p>
        </w:tc>
      </w:tr>
      <w:tr>
        <w:trPr>
          <w:trHeight w:val="175"/>
        </w:trPr>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(9,352)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(9,352)</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(10,798)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(10,798)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of intangible assets, end of period</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93,297</w:t>
            </w: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(59,663)</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33,634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93,297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(50,311)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$ 42,986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estimated amortization expense for the periods presented, as of December 31, 2020.</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183"/>
        </w:trPr>
        <w:tc>
          <w:tcPr>
            <w:tcW w:w="2620" w:type="dxa"/>
            <w:vAlign w:val="bottom"/>
            <w:gridSpan w:val="3"/>
            <w:vMerge w:val="continue"/>
          </w:tcPr>
          <w:p>
            <w:pPr>
              <w:spacing w:after="0"/>
              <w:rPr>
                <w:sz w:val="15"/>
                <w:szCs w:val="15"/>
                <w:color w:val="auto"/>
              </w:rPr>
            </w:pPr>
          </w:p>
        </w:tc>
        <w:tc>
          <w:tcPr>
            <w:tcW w:w="4940" w:type="dxa"/>
            <w:vAlign w:val="bottom"/>
          </w:tcPr>
          <w:p>
            <w:pPr>
              <w:spacing w:after="0"/>
              <w:rPr>
                <w:sz w:val="15"/>
                <w:szCs w:val="15"/>
                <w:color w:val="auto"/>
              </w:rPr>
            </w:pPr>
          </w:p>
        </w:tc>
        <w:tc>
          <w:tcPr>
            <w:tcW w:w="1640" w:type="dxa"/>
            <w:vAlign w:val="bottom"/>
            <w:tcBorders>
              <w:top w:val="single" w:sz="8" w:color="auto"/>
            </w:tcBorders>
            <w:gridSpan w:val="2"/>
          </w:tcPr>
          <w:p>
            <w:pPr>
              <w:ind w:left="80"/>
              <w:spacing w:after="0" w:line="183"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2021</w:t>
            </w:r>
          </w:p>
        </w:tc>
        <w:tc>
          <w:tcPr>
            <w:tcW w:w="224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2022</w:t>
            </w:r>
          </w:p>
        </w:tc>
        <w:tc>
          <w:tcPr>
            <w:tcW w:w="2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2023</w:t>
            </w:r>
          </w:p>
        </w:tc>
        <w:tc>
          <w:tcPr>
            <w:tcW w:w="2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2024</w:t>
            </w:r>
          </w:p>
        </w:tc>
        <w:tc>
          <w:tcPr>
            <w:tcW w:w="2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2025</w:t>
            </w:r>
          </w:p>
        </w:tc>
        <w:tc>
          <w:tcPr>
            <w:tcW w:w="2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940" w:type="dxa"/>
            <w:vAlign w:val="bottom"/>
            <w:vMerge w:val="restart"/>
          </w:tcPr>
          <w:p>
            <w:pPr>
              <w:jc w:val="right"/>
              <w:ind w:right="271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2020 the weighted average remaining life of intangible assets is approximately 2.54 years.</w:t>
      </w:r>
    </w:p>
    <w:p>
      <w:pPr>
        <w:spacing w:after="0" w:line="370" w:lineRule="exact"/>
        <w:rPr>
          <w:sz w:val="20"/>
          <w:szCs w:val="20"/>
          <w:color w:val="auto"/>
        </w:rPr>
      </w:pPr>
    </w:p>
    <w:p>
      <w:pPr>
        <w:ind w:left="660" w:hanging="544"/>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PREMISES AND EQUIPMENT</w:t>
      </w:r>
    </w:p>
    <w:p>
      <w:pPr>
        <w:spacing w:after="0" w:line="20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Premises and equipment were comprised of the following as of the dates presented.</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196"/>
        </w:trPr>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18,798</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19,188</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Bank premises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70,130</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68,387</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29,058</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27,540</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Premises and equipment, gross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117,986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115,115</w:t>
            </w:r>
          </w:p>
        </w:tc>
        <w:tc>
          <w:tcPr>
            <w:tcW w:w="10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(66,842)</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(61,137)</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51,144</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53,978</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60" w:firstLine="551"/>
        <w:spacing w:after="0" w:line="282" w:lineRule="auto"/>
        <w:rPr>
          <w:sz w:val="20"/>
          <w:szCs w:val="20"/>
          <w:color w:val="auto"/>
        </w:rPr>
      </w:pPr>
      <w:r>
        <w:rPr>
          <w:rFonts w:ascii="Times New Roman" w:cs="Times New Roman" w:eastAsia="Times New Roman" w:hAnsi="Times New Roman"/>
          <w:sz w:val="18"/>
          <w:szCs w:val="18"/>
          <w:color w:val="auto"/>
        </w:rPr>
        <w:t>For the first six months of 2019, a total of 10 banking centers were consolidated, including nine former CB centers. In 2020, the Bank recognized $1.7 million in net gain on the sale of our bank owned buildings, compared to $4.8 million in 2019.</w:t>
      </w:r>
    </w:p>
    <w:p>
      <w:pPr>
        <w:spacing w:after="0" w:line="121" w:lineRule="exact"/>
        <w:rPr>
          <w:sz w:val="20"/>
          <w:szCs w:val="20"/>
          <w:color w:val="auto"/>
        </w:rPr>
      </w:pPr>
    </w:p>
    <w:p>
      <w:pPr>
        <w:ind w:left="120" w:firstLine="551"/>
        <w:spacing w:after="0" w:line="282" w:lineRule="auto"/>
        <w:rPr>
          <w:sz w:val="20"/>
          <w:szCs w:val="20"/>
          <w:color w:val="auto"/>
        </w:rPr>
      </w:pPr>
      <w:r>
        <w:rPr>
          <w:rFonts w:ascii="Times New Roman" w:cs="Times New Roman" w:eastAsia="Times New Roman" w:hAnsi="Times New Roman"/>
          <w:sz w:val="18"/>
          <w:szCs w:val="18"/>
          <w:color w:val="auto"/>
        </w:rPr>
        <w:t>Total depreciation and amortization expense was approximately $6.9 million, $6.8 million and $6.5 million for the years ended December 31, 2020, 2019 and 2018, respectively.</w:t>
      </w:r>
    </w:p>
    <w:p>
      <w:pPr>
        <w:spacing w:after="0" w:line="306" w:lineRule="exact"/>
        <w:rPr>
          <w:sz w:val="20"/>
          <w:szCs w:val="20"/>
          <w:color w:val="auto"/>
        </w:rPr>
      </w:pPr>
    </w:p>
    <w:p>
      <w:pPr>
        <w:ind w:left="660" w:hanging="544"/>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assets were comprised of the following as of the dates presented.</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6,929</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30,181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11,502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w:t>
            </w: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19,112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18,522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Affordable housing investments</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10,617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12,452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48,017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45,540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12,841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15,550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127,697</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110,137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30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8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82" w:right="71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and deferred amounts of income tax expense consist of the following.</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6"/>
          </w:tcPr>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48,328</w:t>
            </w:r>
          </w:p>
        </w:tc>
        <w:tc>
          <w:tcPr>
            <w:tcW w:w="26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51,564</w:t>
            </w:r>
          </w:p>
        </w:tc>
        <w:tc>
          <w:tcPr>
            <w:tcW w:w="6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28,469</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76,797</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81,051</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provision: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83,247</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asset consists of the following.</w:t>
            </w: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82" w:right="131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551"/>
        <w:spacing w:after="0" w:line="282" w:lineRule="auto"/>
        <w:rPr>
          <w:sz w:val="20"/>
          <w:szCs w:val="20"/>
          <w:color w:val="auto"/>
        </w:rPr>
      </w:pPr>
      <w:r>
        <w:rPr>
          <w:rFonts w:ascii="Times New Roman" w:cs="Times New Roman" w:eastAsia="Times New Roman" w:hAnsi="Times New Roman"/>
          <w:sz w:val="18"/>
          <w:szCs w:val="18"/>
          <w:color w:val="auto"/>
        </w:rPr>
        <w:t>Temporary differences between the amounts reported in the financial statements and the tax bases of assets and liabilities resulted in deferred taxes. The components of the net deferred tax asset are as follows.</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60" w:type="dxa"/>
            <w:vAlign w:val="bottom"/>
          </w:tcPr>
          <w:p>
            <w:pPr>
              <w:spacing w:after="0"/>
              <w:rPr>
                <w:sz w:val="19"/>
                <w:szCs w:val="19"/>
                <w:color w:val="auto"/>
              </w:rPr>
            </w:pPr>
          </w:p>
        </w:tc>
      </w:tr>
      <w:tr>
        <w:trPr>
          <w:trHeight w:val="142"/>
        </w:trPr>
        <w:tc>
          <w:tcPr>
            <w:tcW w:w="5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5"/>
          </w:tcPr>
          <w:p>
            <w:pPr>
              <w:jc w:val="right"/>
              <w:ind w:right="41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Bad debt and credit loss deduction</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32,671</w:t>
            </w:r>
          </w:p>
        </w:tc>
        <w:tc>
          <w:tcPr>
            <w:tcW w:w="9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24,282</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6,607</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6,942</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PCI loans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2,299</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California franchise tax</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4,281</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4,831</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Acquired loan discounts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9,709</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15,180</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6,369</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6,175</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3,865</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1,453</w:t>
            </w:r>
          </w:p>
        </w:tc>
      </w:tr>
      <w:tr>
        <w:trPr>
          <w:trHeight w:val="223"/>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w:t>
            </w:r>
          </w:p>
        </w:tc>
        <w:tc>
          <w:tcPr>
            <w:tcW w:w="6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69,140</w:t>
            </w:r>
          </w:p>
        </w:tc>
        <w:tc>
          <w:tcPr>
            <w:tcW w:w="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65,518</w:t>
            </w:r>
          </w:p>
        </w:tc>
        <w:tc>
          <w:tcPr>
            <w:tcW w:w="60" w:type="dxa"/>
            <w:vAlign w:val="bottom"/>
            <w:tcBorders>
              <w:top w:val="single" w:sz="8" w:color="CCEEFF"/>
            </w:tcBorders>
            <w:shd w:val="clear" w:color="auto" w:fill="CCEEFF"/>
          </w:tcPr>
          <w:p>
            <w:pPr>
              <w:spacing w:after="0"/>
              <w:rPr>
                <w:sz w:val="19"/>
                <w:szCs w:val="19"/>
                <w:color w:val="auto"/>
              </w:rPr>
            </w:pPr>
          </w:p>
        </w:tc>
      </w:tr>
      <w:tr>
        <w:trPr>
          <w:trHeight w:val="331"/>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2,675</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3,895</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 - acquisitions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15,376</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16,941</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FHLB Stock</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2,525</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2,525</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3,055</w:t>
            </w: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6,080</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5,893</w:t>
            </w: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investment securities, net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17,418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6,968</w:t>
            </w:r>
          </w:p>
        </w:tc>
      </w:tr>
      <w:tr>
        <w:trPr>
          <w:trHeight w:val="223"/>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liability</w:t>
            </w:r>
          </w:p>
        </w:tc>
        <w:tc>
          <w:tcPr>
            <w:tcW w:w="6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47,618</w:t>
            </w:r>
          </w:p>
        </w:tc>
        <w:tc>
          <w:tcPr>
            <w:tcW w:w="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39,277</w:t>
            </w:r>
          </w:p>
        </w:tc>
        <w:tc>
          <w:tcPr>
            <w:tcW w:w="60" w:type="dxa"/>
            <w:vAlign w:val="bottom"/>
            <w:tcBorders>
              <w:top w:val="single" w:sz="8" w:color="CCEEFF"/>
            </w:tcBorders>
            <w:shd w:val="clear" w:color="auto" w:fill="CCEEFF"/>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21,522</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26,241</w:t>
            </w:r>
          </w:p>
        </w:tc>
        <w:tc>
          <w:tcPr>
            <w:tcW w:w="6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Annual Effective Tax Rate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consolidated effective tax rate for the periods presented, is reconciled to the U.S. statutory income rate as follows.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bottom w:val="single" w:sz="8" w:color="auto"/>
            </w:tcBorders>
          </w:tcPr>
          <w:p>
            <w:pPr>
              <w:jc w:val="right"/>
              <w:ind w:right="84"/>
              <w:spacing w:after="0" w:line="15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4"/>
          </w:tcPr>
          <w:p>
            <w:pPr>
              <w:jc w:val="right"/>
              <w:ind w:right="8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Federal income tax at statutory rate</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52,399</w:t>
            </w:r>
          </w:p>
        </w:tc>
        <w:tc>
          <w:tcPr>
            <w:tcW w:w="3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21.0%</w:t>
            </w:r>
          </w:p>
        </w:tc>
        <w:tc>
          <w:tcPr>
            <w:tcW w:w="3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61,126</w:t>
            </w:r>
          </w:p>
        </w:tc>
        <w:tc>
          <w:tcPr>
            <w:tcW w:w="138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44,334</w:t>
            </w:r>
          </w:p>
        </w:tc>
        <w:tc>
          <w:tcPr>
            <w:tcW w:w="10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21.0%</w:t>
            </w:r>
          </w:p>
        </w:tc>
        <w:tc>
          <w:tcPr>
            <w:tcW w:w="0" w:type="dxa"/>
            <w:vAlign w:val="bottom"/>
          </w:tcPr>
          <w:p>
            <w:pPr>
              <w:spacing w:after="0"/>
              <w:rPr>
                <w:sz w:val="1"/>
                <w:szCs w:val="1"/>
                <w:color w:val="auto"/>
              </w:rPr>
            </w:pPr>
          </w:p>
        </w:tc>
      </w:tr>
      <w:tr>
        <w:trPr>
          <w:trHeight w:val="162"/>
        </w:trPr>
        <w:tc>
          <w:tcPr>
            <w:tcW w:w="3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State franchise taxes, net of federal benefit</w:t>
            </w:r>
          </w:p>
        </w:tc>
        <w:tc>
          <w:tcPr>
            <w:tcW w:w="100" w:type="dxa"/>
            <w:vAlign w:val="bottom"/>
          </w:tcPr>
          <w:p>
            <w:pPr>
              <w:spacing w:after="0"/>
              <w:rPr>
                <w:sz w:val="14"/>
                <w:szCs w:val="14"/>
                <w:color w:val="auto"/>
              </w:rPr>
            </w:pPr>
          </w:p>
        </w:tc>
        <w:tc>
          <w:tcPr>
            <w:tcW w:w="7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20,950</w:t>
            </w:r>
          </w:p>
        </w:tc>
        <w:tc>
          <w:tcPr>
            <w:tcW w:w="360" w:type="dxa"/>
            <w:vAlign w:val="bottom"/>
          </w:tcPr>
          <w:p>
            <w:pPr>
              <w:spacing w:after="0"/>
              <w:rPr>
                <w:sz w:val="14"/>
                <w:szCs w:val="14"/>
                <w:color w:val="auto"/>
              </w:rPr>
            </w:pPr>
          </w:p>
        </w:tc>
        <w:tc>
          <w:tcPr>
            <w:tcW w:w="11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8.4%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24,430</w:t>
            </w:r>
          </w:p>
        </w:tc>
        <w:tc>
          <w:tcPr>
            <w:tcW w:w="138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8.4%</w:t>
            </w:r>
          </w:p>
        </w:tc>
        <w:tc>
          <w:tcPr>
            <w:tcW w:w="10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17,905</w:t>
            </w:r>
          </w:p>
        </w:tc>
        <w:tc>
          <w:tcPr>
            <w:tcW w:w="10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Tax-exempt income</w:t>
            </w:r>
          </w:p>
        </w:tc>
        <w:tc>
          <w:tcPr>
            <w:tcW w:w="10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(3,191)</w:t>
            </w:r>
          </w:p>
        </w:tc>
        <w:tc>
          <w:tcPr>
            <w:tcW w:w="11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(3,081)</w:t>
            </w:r>
          </w:p>
        </w:tc>
        <w:tc>
          <w:tcPr>
            <w:tcW w:w="138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(2,991)</w:t>
            </w:r>
          </w:p>
        </w:tc>
        <w:tc>
          <w:tcPr>
            <w:tcW w:w="10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62"/>
        </w:trPr>
        <w:tc>
          <w:tcPr>
            <w:tcW w:w="3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Tax credits</w:t>
            </w:r>
          </w:p>
        </w:tc>
        <w:tc>
          <w:tcPr>
            <w:tcW w:w="100" w:type="dxa"/>
            <w:vAlign w:val="bottom"/>
          </w:tcPr>
          <w:p>
            <w:pPr>
              <w:spacing w:after="0"/>
              <w:rPr>
                <w:sz w:val="14"/>
                <w:szCs w:val="14"/>
                <w:color w:val="auto"/>
              </w:rPr>
            </w:pPr>
          </w:p>
        </w:tc>
        <w:tc>
          <w:tcPr>
            <w:tcW w:w="1080" w:type="dxa"/>
            <w:vAlign w:val="bottom"/>
            <w:gridSpan w:val="3"/>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(1,946)</w:t>
            </w:r>
          </w:p>
        </w:tc>
        <w:tc>
          <w:tcPr>
            <w:tcW w:w="11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(2,153)</w:t>
            </w:r>
          </w:p>
        </w:tc>
        <w:tc>
          <w:tcPr>
            <w:tcW w:w="1380" w:type="dxa"/>
            <w:vAlign w:val="bottom"/>
            <w:gridSpan w:val="2"/>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(1,451)</w:t>
            </w:r>
          </w:p>
        </w:tc>
        <w:tc>
          <w:tcPr>
            <w:tcW w:w="10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net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4,149</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2,925</w:t>
            </w:r>
          </w:p>
        </w:tc>
        <w:tc>
          <w:tcPr>
            <w:tcW w:w="138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1,315</w:t>
            </w:r>
          </w:p>
        </w:tc>
        <w:tc>
          <w:tcPr>
            <w:tcW w:w="10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40" w:type="dxa"/>
            <w:vAlign w:val="bottom"/>
            <w:vMerge w:val="continue"/>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72,361</w:t>
            </w:r>
          </w:p>
        </w:tc>
        <w:tc>
          <w:tcPr>
            <w:tcW w:w="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60" w:type="dxa"/>
            <w:vAlign w:val="bottom"/>
            <w:gridSpan w:val="2"/>
          </w:tcPr>
          <w:p>
            <w:pPr>
              <w:jc w:val="right"/>
              <w:ind w:right="260"/>
              <w:spacing w:after="0" w:line="169" w:lineRule="exact"/>
              <w:rPr>
                <w:sz w:val="20"/>
                <w:szCs w:val="20"/>
                <w:color w:val="auto"/>
              </w:rPr>
            </w:pPr>
            <w:r>
              <w:rPr>
                <w:rFonts w:ascii="Times New Roman" w:cs="Times New Roman" w:eastAsia="Times New Roman" w:hAnsi="Times New Roman"/>
                <w:sz w:val="15"/>
                <w:szCs w:val="15"/>
                <w:color w:val="auto"/>
              </w:rPr>
              <w:t>29.0%</w:t>
            </w:r>
          </w:p>
        </w:tc>
        <w:tc>
          <w:tcPr>
            <w:tcW w:w="200" w:type="dxa"/>
            <w:vAlign w:val="bottom"/>
            <w:vMerge w:val="continue"/>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83,247</w:t>
            </w:r>
          </w:p>
        </w:tc>
        <w:tc>
          <w:tcPr>
            <w:tcW w:w="280" w:type="dxa"/>
            <w:vAlign w:val="bottom"/>
            <w:vMerge w:val="continue"/>
          </w:tcPr>
          <w:p>
            <w:pPr>
              <w:spacing w:after="0"/>
              <w:rPr>
                <w:sz w:val="14"/>
                <w:szCs w:val="14"/>
                <w:color w:val="auto"/>
              </w:rPr>
            </w:pPr>
          </w:p>
        </w:tc>
        <w:tc>
          <w:tcPr>
            <w:tcW w:w="1380" w:type="dxa"/>
            <w:vAlign w:val="bottom"/>
            <w:gridSpan w:val="2"/>
          </w:tcPr>
          <w:p>
            <w:pPr>
              <w:jc w:val="right"/>
              <w:ind w:right="480"/>
              <w:spacing w:after="0" w:line="169" w:lineRule="exact"/>
              <w:rPr>
                <w:sz w:val="20"/>
                <w:szCs w:val="20"/>
                <w:color w:val="auto"/>
              </w:rPr>
            </w:pPr>
            <w:r>
              <w:rPr>
                <w:rFonts w:ascii="Times New Roman" w:cs="Times New Roman" w:eastAsia="Times New Roman" w:hAnsi="Times New Roman"/>
                <w:sz w:val="15"/>
                <w:szCs w:val="15"/>
                <w:color w:val="auto"/>
              </w:rPr>
              <w:t>28.6%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59,112</w:t>
            </w:r>
          </w:p>
        </w:tc>
        <w:tc>
          <w:tcPr>
            <w:tcW w:w="300" w:type="dxa"/>
            <w:vAlign w:val="bottom"/>
            <w:vMerge w:val="continue"/>
          </w:tcPr>
          <w:p>
            <w:pPr>
              <w:spacing w:after="0"/>
              <w:rPr>
                <w:sz w:val="14"/>
                <w:szCs w:val="14"/>
                <w:color w:val="auto"/>
              </w:rPr>
            </w:pPr>
          </w:p>
        </w:tc>
        <w:tc>
          <w:tcPr>
            <w:tcW w:w="100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right="360" w:firstLine="551"/>
        <w:spacing w:after="0" w:line="282" w:lineRule="auto"/>
        <w:rPr>
          <w:sz w:val="20"/>
          <w:szCs w:val="20"/>
          <w:color w:val="auto"/>
        </w:rPr>
      </w:pPr>
      <w:r>
        <w:rPr>
          <w:rFonts w:ascii="Times New Roman" w:cs="Times New Roman" w:eastAsia="Times New Roman" w:hAnsi="Times New Roman"/>
          <w:sz w:val="18"/>
          <w:szCs w:val="18"/>
          <w:color w:val="auto"/>
        </w:rPr>
        <w:t>There were no significant unrecognized tax benefits at December 31, 2020 and 2019. We do not expect the total amount of unrecognized tax benefits to significantly increase or decrease within the next twelve months.</w:t>
      </w:r>
    </w:p>
    <w:p>
      <w:pPr>
        <w:spacing w:after="0" w:line="121" w:lineRule="exact"/>
        <w:rPr>
          <w:sz w:val="20"/>
          <w:szCs w:val="20"/>
          <w:color w:val="auto"/>
        </w:rPr>
      </w:pPr>
    </w:p>
    <w:p>
      <w:pPr>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The Company is subject to federal income tax and franchise tax of the state of California. Our federal income tax returns for the years ended December 31, 2015 through 2020 are open to audit by the federal authorities and our California state tax returns for the years ended December 31, 2015 through 2020 are open to audit by state authorities.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40"/>
          </w:cols>
          <w:pgMar w:left="320" w:top="482" w:right="4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DEPOSITS</w:t>
      </w:r>
    </w:p>
    <w:p>
      <w:pPr>
        <w:spacing w:after="0" w:line="20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composition of deposits is summarized for the periods presented in the table below.</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6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40" w:type="dxa"/>
            <w:vAlign w:val="bottom"/>
          </w:tcPr>
          <w:p>
            <w:pPr>
              <w:spacing w:after="0"/>
              <w:rPr>
                <w:sz w:val="18"/>
                <w:szCs w:val="18"/>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540" w:type="dxa"/>
            <w:vAlign w:val="bottom"/>
          </w:tcPr>
          <w:p>
            <w:pPr>
              <w:spacing w:after="0"/>
              <w:rPr>
                <w:sz w:val="18"/>
                <w:szCs w:val="18"/>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18"/>
                <w:szCs w:val="18"/>
                <w:color w:val="auto"/>
              </w:rPr>
            </w:pPr>
          </w:p>
        </w:tc>
      </w:tr>
      <w:tr>
        <w:trPr>
          <w:trHeight w:val="196"/>
        </w:trPr>
        <w:tc>
          <w:tcPr>
            <w:tcW w:w="3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w w:val="81"/>
              </w:rPr>
              <w:t>(Dollars</w:t>
            </w:r>
          </w:p>
        </w:tc>
        <w:tc>
          <w:tcPr>
            <w:tcW w:w="1620" w:type="dxa"/>
            <w:vAlign w:val="bottom"/>
            <w:gridSpan w:val="3"/>
          </w:tcPr>
          <w:p>
            <w:pPr>
              <w:jc w:val="right"/>
              <w:ind w:right="51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7,455,387</w:t>
            </w:r>
          </w:p>
        </w:tc>
        <w:tc>
          <w:tcPr>
            <w:tcW w:w="128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63.52%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5,245,517</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60.26%</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checking</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517,976</w:t>
            </w:r>
          </w:p>
        </w:tc>
        <w:tc>
          <w:tcPr>
            <w:tcW w:w="128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454,565</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2,869,348</w:t>
            </w:r>
          </w:p>
        </w:tc>
        <w:tc>
          <w:tcPr>
            <w:tcW w:w="128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auto"/>
              </w:rPr>
              <w:t>24.45%</w:t>
            </w: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2,158,161</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24.79%</w:t>
            </w: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Savings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492,096</w:t>
            </w:r>
          </w:p>
        </w:tc>
        <w:tc>
          <w:tcPr>
            <w:tcW w:w="128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400,377</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Time deposits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401,694</w:t>
            </w:r>
          </w:p>
        </w:tc>
        <w:tc>
          <w:tcPr>
            <w:tcW w:w="540" w:type="dxa"/>
            <w:vAlign w:val="bottom"/>
          </w:tcPr>
          <w:p>
            <w:pPr>
              <w:spacing w:after="0"/>
              <w:rPr>
                <w:sz w:val="18"/>
                <w:szCs w:val="18"/>
                <w:color w:val="auto"/>
              </w:rPr>
            </w:pPr>
          </w:p>
        </w:tc>
        <w:tc>
          <w:tcPr>
            <w:tcW w:w="128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446,308</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5.13%</w:t>
            </w:r>
          </w:p>
        </w:tc>
      </w:tr>
      <w:tr>
        <w:trPr>
          <w:trHeight w:val="27"/>
        </w:trPr>
        <w:tc>
          <w:tcPr>
            <w:tcW w:w="3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3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deposits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11,736,501</w:t>
            </w:r>
          </w:p>
        </w:tc>
        <w:tc>
          <w:tcPr>
            <w:tcW w:w="128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8,704,928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120" w:right="400" w:firstLine="551"/>
        <w:spacing w:after="0" w:line="282" w:lineRule="auto"/>
        <w:rPr>
          <w:sz w:val="20"/>
          <w:szCs w:val="20"/>
          <w:color w:val="auto"/>
        </w:rPr>
      </w:pPr>
      <w:r>
        <w:rPr>
          <w:rFonts w:ascii="Times New Roman" w:cs="Times New Roman" w:eastAsia="Times New Roman" w:hAnsi="Times New Roman"/>
          <w:sz w:val="18"/>
          <w:szCs w:val="18"/>
          <w:color w:val="auto"/>
        </w:rPr>
        <w:t>Time deposits with balances of $250,000 or more amounted to approximately $100.3 million and $107.9 million at December 31, 2020 and 2019,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2020, the scheduled maturities of time certificates of deposit are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84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Year of maturity:</w:t>
            </w:r>
          </w:p>
        </w:tc>
        <w:tc>
          <w:tcPr>
            <w:tcW w:w="8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196"/>
        </w:trPr>
        <w:tc>
          <w:tcPr>
            <w:tcW w:w="8440" w:type="dxa"/>
            <w:vAlign w:val="bottom"/>
            <w:gridSpan w:val="3"/>
            <w:vMerge w:val="continue"/>
          </w:tcPr>
          <w:p>
            <w:pPr>
              <w:spacing w:after="0"/>
              <w:rPr>
                <w:sz w:val="17"/>
                <w:szCs w:val="17"/>
                <w:color w:val="auto"/>
              </w:rPr>
            </w:pPr>
          </w:p>
        </w:tc>
        <w:tc>
          <w:tcPr>
            <w:tcW w:w="16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7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362,469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7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7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7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 and thereafter</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401,694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660" w:hanging="544"/>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Customer Repurchase Agreements</w:t>
      </w:r>
    </w:p>
    <w:p>
      <w:pPr>
        <w:spacing w:after="0" w:line="229" w:lineRule="exact"/>
        <w:rPr>
          <w:sz w:val="20"/>
          <w:szCs w:val="20"/>
          <w:color w:val="auto"/>
        </w:rPr>
      </w:pPr>
    </w:p>
    <w:p>
      <w:pPr>
        <w:ind w:left="120" w:firstLine="551"/>
        <w:spacing w:after="0" w:line="256" w:lineRule="auto"/>
        <w:rPr>
          <w:sz w:val="20"/>
          <w:szCs w:val="20"/>
          <w:color w:val="auto"/>
        </w:rPr>
      </w:pPr>
      <w:r>
        <w:rPr>
          <w:rFonts w:ascii="Times New Roman" w:cs="Times New Roman" w:eastAsia="Times New Roman" w:hAnsi="Times New Roman"/>
          <w:sz w:val="18"/>
          <w:szCs w:val="18"/>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2020, total funds borrowed under these agreements were $439.4 million with a weighted average interest rate of 0.10%, compared to $428.7 million with a weighted average rate of 0.44% at December 31, 2019.</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Home Loan Bank Advances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2020 and 2019, there were no outstanding FHLB advances.</w:t>
      </w:r>
    </w:p>
    <w:p>
      <w:pPr>
        <w:spacing w:after="0" w:line="225" w:lineRule="exact"/>
        <w:rPr>
          <w:sz w:val="20"/>
          <w:szCs w:val="20"/>
          <w:color w:val="auto"/>
        </w:rPr>
      </w:pPr>
    </w:p>
    <w:p>
      <w:pPr>
        <w:ind w:left="120" w:right="600" w:firstLine="551"/>
        <w:spacing w:after="0" w:line="282" w:lineRule="auto"/>
        <w:rPr>
          <w:sz w:val="20"/>
          <w:szCs w:val="20"/>
          <w:color w:val="auto"/>
        </w:rPr>
      </w:pPr>
      <w:r>
        <w:rPr>
          <w:rFonts w:ascii="Times New Roman" w:cs="Times New Roman" w:eastAsia="Times New Roman" w:hAnsi="Times New Roman"/>
          <w:sz w:val="18"/>
          <w:szCs w:val="18"/>
          <w:color w:val="auto"/>
        </w:rPr>
        <w:t>At December 31, 2020, $6.07 billion of loans and $1.81 billion of investment securities, at carrying value, were pledged to secure public deposits, short and long-term borrowings, and for other purposes as required or permitted by law.</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82" w:right="47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Borrowings</w:t>
      </w:r>
    </w:p>
    <w:p>
      <w:pPr>
        <w:spacing w:after="0" w:line="202" w:lineRule="exact"/>
        <w:rPr>
          <w:sz w:val="20"/>
          <w:szCs w:val="20"/>
          <w:color w:val="auto"/>
        </w:rPr>
      </w:pPr>
    </w:p>
    <w:p>
      <w:pPr>
        <w:ind w:left="120" w:right="180" w:firstLine="551"/>
        <w:spacing w:after="0" w:line="282" w:lineRule="auto"/>
        <w:rPr>
          <w:sz w:val="20"/>
          <w:szCs w:val="20"/>
          <w:color w:val="auto"/>
        </w:rPr>
      </w:pPr>
      <w:r>
        <w:rPr>
          <w:rFonts w:ascii="Times New Roman" w:cs="Times New Roman" w:eastAsia="Times New Roman" w:hAnsi="Times New Roman"/>
          <w:sz w:val="18"/>
          <w:szCs w:val="18"/>
          <w:color w:val="auto"/>
        </w:rPr>
        <w:t>At December 31, 2020, the Bank had $5.0 million in short-term borrowings that were interest-free advances from the FHLB. We had no short-term borrowings at December 31, 2019.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Junior Subordinated Debentures</w:t>
      </w:r>
    </w:p>
    <w:p>
      <w:pPr>
        <w:spacing w:after="0" w:line="189"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On January 31, 2006, CVB Statutory Trust III completed a $25,000,000 offering of Trust Preferred Securities and used the gross proceeds from the offering and other cash totaling $25,774,000 to purchase a like amount of junior subordinated debentures of the Company. The junior subordinated debentures were issued concurrent with the issuance of the Trust Preferred Securities. The interest on junior subordinated debentures, paid by the Company to CVB Statutory Trust III, represents the sole revenues of CVB Statutory Trust III and the sole source of dividend distributions to the holders of the Trust Preferred Securities. The Company has fully and conditionally guaranteed all of CVB Statutory Trust III’s obligations under the Trust Preferred Securities. The Company has the right, assuming no default has occurred, to defer payments of interest on the junior subordinated debenture at any time for a period not to exceed 20 consecutive quarters. The Trust Preferred Securities will mature on March 15, 2036, but became callable in part or in total on March 15, 2011 by CVB Statutory Trust III. The Trust Preferred Securities have a variable per annum rate equal to LIBOR (as defined in the indenture dated as of January 31, 2006 (“Indenture”) between the Company and U.S. Bank National Association, as debenture trustee) plus 1.38% (the “Variable Rate”). As of December 31, 2020, these securities continue to be outstanding.</w:t>
      </w:r>
    </w:p>
    <w:p>
      <w:pPr>
        <w:spacing w:after="0" w:line="339" w:lineRule="exact"/>
        <w:rPr>
          <w:sz w:val="20"/>
          <w:szCs w:val="20"/>
          <w:color w:val="auto"/>
        </w:rPr>
      </w:pPr>
    </w:p>
    <w:p>
      <w:pPr>
        <w:ind w:left="660" w:hanging="544"/>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ind w:left="120" w:right="40" w:firstLine="551"/>
        <w:spacing w:after="0" w:line="254" w:lineRule="auto"/>
        <w:rPr>
          <w:sz w:val="20"/>
          <w:szCs w:val="20"/>
          <w:color w:val="auto"/>
        </w:rPr>
      </w:pPr>
      <w:r>
        <w:rPr>
          <w:rFonts w:ascii="Times New Roman" w:cs="Times New Roman" w:eastAsia="Times New Roman" w:hAnsi="Times New Roman"/>
          <w:sz w:val="18"/>
          <w:szCs w:val="18"/>
          <w:color w:val="auto"/>
        </w:rPr>
        <w:t>At December 31, 2020 and 2019, the Bank had commitments to extend credit of approximately $1.61 billion and $1.54 billion, respectively, and obligations under letters of credit of $53.2 million and $53.1 million, respectively. Commitments to extend credit are agreements to lend to customers, provided there is no violation of any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The Bank uses the same credit underwriting policies in granting or accepting such commitments or contingent obligations as it does for on-balance-sheet instruments, which consist of evaluating customers’ creditworthiness individually. The Bank had a reserve for unfunded loan commitments of $9.0 million as of December 31, 2020 and 2019 included in other liabilities.</w:t>
      </w:r>
    </w:p>
    <w:p>
      <w:pPr>
        <w:spacing w:after="0" w:line="192" w:lineRule="exact"/>
        <w:rPr>
          <w:sz w:val="20"/>
          <w:szCs w:val="20"/>
          <w:color w:val="auto"/>
        </w:rPr>
      </w:pPr>
    </w:p>
    <w:p>
      <w:pPr>
        <w:ind w:left="120" w:right="20" w:firstLine="551"/>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the Bank holds appropriate collateral supporting those commitments. Management does not anticipate any material losses as a result of these transactions.</w:t>
      </w:r>
    </w:p>
    <w:p>
      <w:pPr>
        <w:spacing w:after="0" w:line="180" w:lineRule="exact"/>
        <w:rPr>
          <w:sz w:val="20"/>
          <w:szCs w:val="20"/>
          <w:color w:val="auto"/>
        </w:rPr>
      </w:pPr>
    </w:p>
    <w:p>
      <w:pPr>
        <w:ind w:left="120" w:right="80" w:firstLine="551"/>
        <w:spacing w:after="0" w:line="282" w:lineRule="auto"/>
        <w:rPr>
          <w:sz w:val="20"/>
          <w:szCs w:val="20"/>
          <w:color w:val="auto"/>
        </w:rPr>
      </w:pPr>
      <w:r>
        <w:rPr>
          <w:rFonts w:ascii="Times New Roman" w:cs="Times New Roman" w:eastAsia="Times New Roman" w:hAnsi="Times New Roman"/>
          <w:sz w:val="18"/>
          <w:szCs w:val="18"/>
          <w:color w:val="auto"/>
        </w:rPr>
        <w:t>At December 31, 2020, the Bank has available lines of credit totaling $4.29 billion from correspondent banks, FHLB and Federal Reserve Bank of which $3.90 billion were secured.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89" w:lineRule="exact"/>
        <w:rPr>
          <w:sz w:val="20"/>
          <w:szCs w:val="20"/>
          <w:color w:val="auto"/>
        </w:rPr>
      </w:pPr>
    </w:p>
    <w:p>
      <w:pPr>
        <w:ind w:left="120" w:firstLine="551"/>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parties to various lawsuits and threatened lawsuits in the ordinary and non-ordinary course of business. From time to time, such lawsuits and threatened lawsuits may include, but are not limited to, actions involving securities litigation, employment matters, wage-hour and labor law claims,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82" w:right="47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consumer claims, regulatory compliance claims, data privacy claims, lender liability claims and negligence claims, some of which may be styled as “class action” or representative cases. Some of these lawsuits may be similar in nature to other lawsuits pending against the Company’s competitors.</w:t>
      </w:r>
    </w:p>
    <w:p>
      <w:pPr>
        <w:spacing w:after="0" w:line="140"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94" w:lineRule="exact"/>
        <w:rPr>
          <w:sz w:val="20"/>
          <w:szCs w:val="20"/>
          <w:color w:val="auto"/>
        </w:rPr>
      </w:pPr>
    </w:p>
    <w:p>
      <w:pPr>
        <w:ind w:left="120" w:firstLine="551"/>
        <w:spacing w:after="0" w:line="258" w:lineRule="auto"/>
        <w:rPr>
          <w:sz w:val="20"/>
          <w:szCs w:val="20"/>
          <w:color w:val="auto"/>
        </w:rPr>
      </w:pPr>
      <w:r>
        <w:rPr>
          <w:rFonts w:ascii="Times New Roman" w:cs="Times New Roman" w:eastAsia="Times New Roman" w:hAnsi="Times New Roman"/>
          <w:sz w:val="18"/>
          <w:szCs w:val="18"/>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83" w:lineRule="exact"/>
        <w:rPr>
          <w:sz w:val="20"/>
          <w:szCs w:val="20"/>
          <w:color w:val="auto"/>
        </w:rPr>
      </w:pPr>
    </w:p>
    <w:p>
      <w:pPr>
        <w:ind w:left="120" w:right="80" w:firstLine="551"/>
        <w:spacing w:after="0" w:line="261" w:lineRule="auto"/>
        <w:rPr>
          <w:sz w:val="20"/>
          <w:szCs w:val="20"/>
          <w:color w:val="auto"/>
        </w:rPr>
      </w:pPr>
      <w:r>
        <w:rPr>
          <w:rFonts w:ascii="Times New Roman" w:cs="Times New Roman" w:eastAsia="Times New Roman" w:hAnsi="Times New Roman"/>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324" w:lineRule="exact"/>
        <w:rPr>
          <w:sz w:val="20"/>
          <w:szCs w:val="20"/>
          <w:color w:val="auto"/>
        </w:rPr>
      </w:pPr>
    </w:p>
    <w:p>
      <w:pPr>
        <w:ind w:left="660" w:hanging="544"/>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w:t>
      </w:r>
    </w:p>
    <w:p>
      <w:pPr>
        <w:spacing w:after="0" w:line="189" w:lineRule="exact"/>
        <w:rPr>
          <w:sz w:val="20"/>
          <w:szCs w:val="20"/>
          <w:color w:val="auto"/>
        </w:rPr>
      </w:pPr>
    </w:p>
    <w:p>
      <w:pPr>
        <w:ind w:left="120" w:right="160" w:firstLine="551"/>
        <w:spacing w:after="0" w:line="253" w:lineRule="auto"/>
        <w:rPr>
          <w:sz w:val="20"/>
          <w:szCs w:val="20"/>
          <w:color w:val="auto"/>
        </w:rPr>
      </w:pPr>
      <w:r>
        <w:rPr>
          <w:rFonts w:ascii="Times New Roman" w:cs="Times New Roman" w:eastAsia="Times New Roman" w:hAnsi="Times New Roman"/>
          <w:sz w:val="18"/>
          <w:szCs w:val="18"/>
          <w:color w:val="auto"/>
        </w:rPr>
        <w:t>As of December 31, 2020 the Company had various deferred compensation plans, which included a deferred compensation plan for its former President and Chief Executive Officer, Christopher D. Myers, and severance arrangements it assumed through the acquisition of other banks in prior years. We also offer a non-qualified deferred compensation plan for our executives and key members of management in order to assist us in attracting and retaining these individuals. Participants in the plan may elect to defer a portion of their annual salary and/or short-term incentive payouts into deferral accounts to provide a means by which they may elect to defer receipt of compensation in order to provide retirement benefits. The plan is intended to be unfunded and allows us to make discretionary contributions on behalf of a participant. No discretionary payments were made by the Company during the years ended December 31, 2020, 2019 and 2018. The Bank, however, does fund the cost of these plans through the purchase of bank owned life insurance policies, which are reflected as assets on the Company’s consolidated balance sheets. At December 31, 2020 and 2019, the total deferred compensation liability was $21.6 million and $22.7 million, respectively. Total expense for these deferred compensation agreements was approximately $1.4 million, $1.4 million, and $953,000 for each of the years ended December 31, 2020, 2019 and 2018, respectively.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82"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and Profit Sharing Plan</w:t>
      </w:r>
    </w:p>
    <w:p>
      <w:pPr>
        <w:spacing w:after="0" w:line="229" w:lineRule="exact"/>
        <w:rPr>
          <w:sz w:val="20"/>
          <w:szCs w:val="20"/>
          <w:color w:val="auto"/>
        </w:rPr>
      </w:pPr>
    </w:p>
    <w:p>
      <w:pPr>
        <w:ind w:left="120" w:right="40" w:firstLine="551"/>
        <w:spacing w:after="0" w:line="258" w:lineRule="auto"/>
        <w:rPr>
          <w:sz w:val="20"/>
          <w:szCs w:val="20"/>
          <w:color w:val="auto"/>
        </w:rPr>
      </w:pPr>
      <w:r>
        <w:rPr>
          <w:rFonts w:ascii="Times New Roman" w:cs="Times New Roman" w:eastAsia="Times New Roman" w:hAnsi="Times New Roman"/>
          <w:sz w:val="18"/>
          <w:szCs w:val="18"/>
          <w:color w:val="auto"/>
        </w:rPr>
        <w:t>The Bank sponsors a 401(k) and profit-sharing plan for the benefit of its employees. Employees are eligible to participate in the plan immediately upon hire. Employees may make contributions to the plan under the plan’s 401(k) component. The Bank contributes 3%, non-matching, to the plan to comply with ERISA’s safe harbor provisions. The Bank may make additional contributions under the plan’s profit-sharing component, subject to certain limitations, which was 2% for 2020, 2019 and 2018. The Bank’s total contributions are determined by the Board of Directors and amounted to approximately $4.3 million for 2020, $4.1 million for 2019, and $3.5 million for 2018.</w:t>
      </w:r>
    </w:p>
    <w:p>
      <w:pPr>
        <w:spacing w:after="0" w:line="328" w:lineRule="exact"/>
        <w:rPr>
          <w:sz w:val="20"/>
          <w:szCs w:val="20"/>
          <w:color w:val="auto"/>
        </w:rPr>
      </w:pPr>
    </w:p>
    <w:p>
      <w:pPr>
        <w:ind w:left="660" w:hanging="544"/>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 RECONCILIATION</w:t>
      </w:r>
    </w:p>
    <w:p>
      <w:pPr>
        <w:spacing w:after="0" w:line="202" w:lineRule="exact"/>
        <w:rPr>
          <w:sz w:val="20"/>
          <w:szCs w:val="20"/>
          <w:color w:val="auto"/>
        </w:rPr>
      </w:pPr>
    </w:p>
    <w:p>
      <w:pPr>
        <w:ind w:left="120" w:right="160" w:firstLine="551"/>
        <w:spacing w:after="0" w:line="258" w:lineRule="auto"/>
        <w:rPr>
          <w:sz w:val="20"/>
          <w:szCs w:val="20"/>
          <w:color w:val="auto"/>
        </w:rPr>
      </w:pPr>
      <w:r>
        <w:rPr>
          <w:rFonts w:ascii="Times New Roman" w:cs="Times New Roman" w:eastAsia="Times New Roman" w:hAnsi="Times New Roman"/>
          <w:sz w:val="18"/>
          <w:szCs w:val="18"/>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years ended December 31, 2020, 2019 and 2018, shares deemed to be antidilutive, and thus excluded from the computation of earnings per common share were 291,000, 183,000 and 160,000, respectively.</w:t>
      </w:r>
    </w:p>
    <w:p>
      <w:pPr>
        <w:spacing w:after="0" w:line="359" w:lineRule="exact"/>
        <w:rPr>
          <w:sz w:val="20"/>
          <w:szCs w:val="20"/>
          <w:color w:val="auto"/>
        </w:rPr>
      </w:pPr>
    </w:p>
    <w:p>
      <w:pPr>
        <w:ind w:left="120" w:right="200" w:firstLine="551"/>
        <w:spacing w:after="0" w:line="282" w:lineRule="auto"/>
        <w:rPr>
          <w:sz w:val="20"/>
          <w:szCs w:val="20"/>
          <w:color w:val="auto"/>
        </w:rPr>
      </w:pPr>
      <w:r>
        <w:rPr>
          <w:rFonts w:ascii="Times New Roman" w:cs="Times New Roman" w:eastAsia="Times New Roman" w:hAnsi="Times New Roman"/>
          <w:sz w:val="18"/>
          <w:szCs w:val="18"/>
          <w:color w:val="auto"/>
        </w:rPr>
        <w:t>The table below shows earnings per common share and diluted earnings per common share, and reconciles the numerator and denominator of both earnings per common share calculations.</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gridSpan w:val="8"/>
          </w:tcPr>
          <w:p>
            <w:pPr>
              <w:jc w:val="center"/>
              <w:ind w:left="412"/>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177,159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207,827</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earnings allocated to restricted stock</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488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 allocated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207,339</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136,031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139,757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121,670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allocated to common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176,587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207,339</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136,031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139,757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Incremental shares from assumed exercise of outstanding options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139,934</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660" w:hanging="544"/>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PLANS</w:t>
      </w:r>
    </w:p>
    <w:p>
      <w:pPr>
        <w:spacing w:after="0" w:line="189" w:lineRule="exact"/>
        <w:rPr>
          <w:sz w:val="20"/>
          <w:szCs w:val="20"/>
          <w:color w:val="auto"/>
        </w:rPr>
      </w:pPr>
    </w:p>
    <w:p>
      <w:pPr>
        <w:ind w:left="120" w:firstLine="551"/>
        <w:spacing w:after="0" w:line="261" w:lineRule="auto"/>
        <w:rPr>
          <w:sz w:val="20"/>
          <w:szCs w:val="20"/>
          <w:color w:val="auto"/>
        </w:rPr>
      </w:pPr>
      <w:r>
        <w:rPr>
          <w:rFonts w:ascii="Times New Roman" w:cs="Times New Roman" w:eastAsia="Times New Roman" w:hAnsi="Times New Roman"/>
          <w:sz w:val="18"/>
          <w:szCs w:val="18"/>
          <w:color w:val="auto"/>
        </w:rPr>
        <w:t>In May 2018, the shareholders approved the 2018 Equity Plan which authorizes the issuance of up to 9,000,000 shares of CVB’s common stock for eligible participants, which include all of the Company’s employees, officers, and directors, and expires in 2028. The plan authorizes the issuance of a variety of types of equity awards, which include incentive stock options, non-qualified stock options, restricted stock awards (“RSAs”), restricted stock units (“RSUs”), and other stock-based awards. The 2018 Equity Plan replaced the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60"/>
          </w:cols>
          <w:pgMar w:left="320" w:top="482" w:right="51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2008 Equity Incentive Plan. No further grants will be made under the 2008 Equity Incentive Plan, but shares may continue to be issued under such plan pursuant to grants previously made. As of December 31, 2020, we have 221,500 outstanding options, unvested RSAs under our 2008 Equity Incentive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expensed $183,000, $352,000, and $400,000, for the years ended December 31, 2020, 2019 and 2018, respectively.</w:t>
      </w:r>
    </w:p>
    <w:p>
      <w:pPr>
        <w:spacing w:after="0" w:line="225" w:lineRule="exact"/>
        <w:rPr>
          <w:sz w:val="20"/>
          <w:szCs w:val="20"/>
          <w:color w:val="auto"/>
        </w:rPr>
      </w:pPr>
    </w:p>
    <w:p>
      <w:pPr>
        <w:ind w:left="120" w:right="20" w:firstLine="551"/>
        <w:spacing w:after="0" w:line="261" w:lineRule="auto"/>
        <w:rPr>
          <w:sz w:val="20"/>
          <w:szCs w:val="20"/>
          <w:color w:val="auto"/>
        </w:rPr>
      </w:pPr>
      <w:r>
        <w:rPr>
          <w:rFonts w:ascii="Times New Roman" w:cs="Times New Roman" w:eastAsia="Times New Roman" w:hAnsi="Times New Roman"/>
          <w:sz w:val="18"/>
          <w:szCs w:val="18"/>
          <w:color w:val="auto"/>
        </w:rPr>
        <w:t>The estimated fair value of the options granted during 2020 and prior years was calculated using the Black-Scholes options pricing model. There were 217,500, 1,500 and 140,500 options granted during 2020, 2019 and 2018, respectively. The options will vest, in equal installments, over a five-year period. The fair value of each stock option granted in 2020, 2019 and 2018, was estimated on the date of grant using the following weighted-average assumptions.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8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5.3 years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5.4 years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 years</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2.56</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4.35</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w:t>
            </w:r>
          </w:p>
        </w:tc>
      </w:tr>
    </w:tbl>
    <w:p>
      <w:pPr>
        <w:spacing w:after="0" w:line="198" w:lineRule="exact"/>
        <w:rPr>
          <w:sz w:val="20"/>
          <w:szCs w:val="20"/>
          <w:color w:val="auto"/>
        </w:rPr>
      </w:pPr>
    </w:p>
    <w:p>
      <w:pPr>
        <w:ind w:left="120" w:right="20" w:firstLine="551"/>
        <w:spacing w:after="0" w:line="258" w:lineRule="auto"/>
        <w:rPr>
          <w:sz w:val="20"/>
          <w:szCs w:val="20"/>
          <w:color w:val="auto"/>
        </w:rPr>
      </w:pPr>
      <w:r>
        <w:rPr>
          <w:rFonts w:ascii="Times New Roman" w:cs="Times New Roman" w:eastAsia="Times New Roman" w:hAnsi="Times New Roman"/>
          <w:sz w:val="18"/>
          <w:szCs w:val="18"/>
          <w:color w:val="auto"/>
        </w:rPr>
        <w:t>The expected volatility is solely based on the daily historical stock price volatility over the expected option life. The expected life of options granted is derived from the output of the option valuation model and represents the period of time an optionee will hold an option before exercising it. The risk-free rate for periods within the contractual life of the option is based on the U.S. Treasury five-year constant maturity yield curve in effect at the time of the grant. In connection with the adoption of ASU 2016-09 in 2017, the Company elected to account for forfeitures as they occur, rather than to estimate forfeitures over the vesting period.</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as of and for the year ended December 31, 2020.</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78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Stock Options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78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0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226"/>
        </w:trPr>
        <w:tc>
          <w:tcPr>
            <w:tcW w:w="49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320" w:type="dxa"/>
            <w:vAlign w:val="bottom"/>
          </w:tcPr>
          <w:p>
            <w:pPr>
              <w:spacing w:after="0"/>
              <w:rPr>
                <w:sz w:val="19"/>
                <w:szCs w:val="19"/>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52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w w:val="98"/>
              </w:rPr>
              <w:t>Term</w:t>
            </w: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Intrinsic Value</w:t>
            </w:r>
          </w:p>
        </w:tc>
        <w:tc>
          <w:tcPr>
            <w:tcW w:w="0" w:type="dxa"/>
            <w:vAlign w:val="bottom"/>
          </w:tcPr>
          <w:p>
            <w:pPr>
              <w:spacing w:after="0"/>
              <w:rPr>
                <w:sz w:val="1"/>
                <w:szCs w:val="1"/>
                <w:color w:val="auto"/>
              </w:rPr>
            </w:pPr>
          </w:p>
        </w:tc>
      </w:tr>
      <w:tr>
        <w:trPr>
          <w:trHeight w:val="144"/>
        </w:trPr>
        <w:tc>
          <w:tcPr>
            <w:tcW w:w="49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i w:val="1"/>
                <w:iCs w:val="1"/>
                <w:color w:val="auto"/>
              </w:rPr>
              <w:t>(In years)</w:t>
            </w: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5"/>
              <w:spacing w:after="0" w:line="144"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359</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17.99</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18.12</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11.64</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 or expired</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20.59</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428</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17.57</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or expected to vest at December 31, 2020</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6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175</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16.10</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20" w:right="640" w:firstLine="551"/>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2020, 2019 and 2018 was $144,000, $1.3 million and $2.2 million, respectively.</w:t>
      </w:r>
    </w:p>
    <w:p>
      <w:pPr>
        <w:spacing w:after="0" w:line="135" w:lineRule="exact"/>
        <w:rPr>
          <w:sz w:val="20"/>
          <w:szCs w:val="20"/>
          <w:color w:val="auto"/>
        </w:rPr>
      </w:pPr>
    </w:p>
    <w:p>
      <w:pPr>
        <w:ind w:left="120" w:right="80" w:firstLine="551"/>
        <w:spacing w:after="0" w:line="282" w:lineRule="auto"/>
        <w:rPr>
          <w:sz w:val="20"/>
          <w:szCs w:val="20"/>
          <w:color w:val="auto"/>
        </w:rPr>
      </w:pPr>
      <w:r>
        <w:rPr>
          <w:rFonts w:ascii="Times New Roman" w:cs="Times New Roman" w:eastAsia="Times New Roman" w:hAnsi="Times New Roman"/>
          <w:sz w:val="18"/>
          <w:szCs w:val="18"/>
          <w:color w:val="auto"/>
        </w:rPr>
        <w:t>As of December 31, 2020, there was a total of $601,000 in unrecognized compensation cost related to nonvested options granted under the Plan. That cost is expected to be recognized over a weighted-average period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82" w:right="4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of approximately 2.8 years. The total fair value of options vested was $183,000, $520,000 and $364,000 during 2020, 2019 and 2018, respectively. Cash received from stock option exercises was $232,000, $2.2 million and $1.7 million, in 2020, 2019 and 2018, respectively.</w:t>
      </w:r>
    </w:p>
    <w:p>
      <w:pPr>
        <w:spacing w:after="0" w:line="135" w:lineRule="exact"/>
        <w:rPr>
          <w:sz w:val="20"/>
          <w:szCs w:val="20"/>
          <w:color w:val="auto"/>
        </w:rPr>
      </w:pPr>
    </w:p>
    <w:p>
      <w:pPr>
        <w:ind w:left="120" w:right="200" w:firstLine="551"/>
        <w:spacing w:after="0" w:line="282" w:lineRule="auto"/>
        <w:rPr>
          <w:sz w:val="20"/>
          <w:szCs w:val="20"/>
          <w:color w:val="auto"/>
        </w:rPr>
      </w:pPr>
      <w:r>
        <w:rPr>
          <w:rFonts w:ascii="Times New Roman" w:cs="Times New Roman" w:eastAsia="Times New Roman" w:hAnsi="Times New Roman"/>
          <w:sz w:val="18"/>
          <w:szCs w:val="18"/>
          <w:color w:val="auto"/>
        </w:rPr>
        <w:t>At December 31, 2020, options for the purchase of 428,320 shares of CVB’s common stock were outstanding under the above plans, of which options to purchase 174,710 shares were exercisable at prices ranging from $11.03 to $24.83.</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a policy of issuing new shares to satisfy share option exercises.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Restricted Stock Units</w:t>
      </w:r>
    </w:p>
    <w:p>
      <w:pPr>
        <w:spacing w:after="0" w:line="189" w:lineRule="exact"/>
        <w:rPr>
          <w:sz w:val="20"/>
          <w:szCs w:val="20"/>
          <w:color w:val="auto"/>
        </w:rPr>
      </w:pPr>
    </w:p>
    <w:p>
      <w:pPr>
        <w:ind w:left="120" w:right="240" w:firstLine="551"/>
        <w:spacing w:after="0" w:line="266" w:lineRule="auto"/>
        <w:rPr>
          <w:sz w:val="20"/>
          <w:szCs w:val="20"/>
          <w:color w:val="auto"/>
        </w:rPr>
      </w:pPr>
      <w:r>
        <w:rPr>
          <w:rFonts w:ascii="Times New Roman" w:cs="Times New Roman" w:eastAsia="Times New Roman" w:hAnsi="Times New Roman"/>
          <w:sz w:val="18"/>
          <w:szCs w:val="18"/>
          <w:color w:val="auto"/>
        </w:rPr>
        <w:t>The Company granted 358,464, 217,000 and 424,000 restricted stock awards during 2020, 2019 and 2018 respectively. The weighted average grant date fair value of RSAs and RSUs granted in 2020, 2019 and 2018 was $18.20 per share, $20.76 per share and $23.84 per share, respectively. These awards will vest, in equal installments, over a period of approximately one to five years.</w:t>
      </w:r>
    </w:p>
    <w:p>
      <w:pPr>
        <w:spacing w:after="0" w:line="176" w:lineRule="exact"/>
        <w:rPr>
          <w:sz w:val="20"/>
          <w:szCs w:val="20"/>
          <w:color w:val="auto"/>
        </w:rPr>
      </w:pPr>
    </w:p>
    <w:p>
      <w:pPr>
        <w:ind w:left="120" w:right="60" w:firstLine="551"/>
        <w:spacing w:after="0" w:line="266" w:lineRule="auto"/>
        <w:rPr>
          <w:sz w:val="20"/>
          <w:szCs w:val="20"/>
          <w:color w:val="auto"/>
        </w:rPr>
      </w:pPr>
      <w:r>
        <w:rPr>
          <w:rFonts w:ascii="Times New Roman" w:cs="Times New Roman" w:eastAsia="Times New Roman" w:hAnsi="Times New Roman"/>
          <w:sz w:val="18"/>
          <w:szCs w:val="18"/>
          <w:color w:val="auto"/>
        </w:rPr>
        <w:t>Compensation cost is recognized over the requisite service period, which is approximately one to five years, and amounted to $5.3 million, $5.2 million and $3.1 million during the years ended December 31, 2020, 2019 and 2018, respectively. Total unrecognized compensation cost related to RSAs and RSUs was $7.3 million at December 31, 2020.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activity related to the Company’s non-vested RSAs and RSUs for the year ended December 31, 2020.</w:t>
      </w:r>
    </w:p>
    <w:p>
      <w:pPr>
        <w:spacing w:after="0" w:line="218" w:lineRule="exact"/>
        <w:rPr>
          <w:sz w:val="20"/>
          <w:szCs w:val="20"/>
          <w:color w:val="auto"/>
        </w:rPr>
      </w:pPr>
    </w:p>
    <w:tbl>
      <w:tblPr>
        <w:tblLayout w:type="fixed"/>
        <w:tblInd w:w="188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180" w:type="dxa"/>
            <w:vAlign w:val="bottom"/>
            <w:gridSpan w:val="2"/>
            <w:vMerge w:val="restart"/>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5"/>
              </w:rPr>
              <w:t>Average Fair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9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at January 1, 2020</w:t>
            </w:r>
          </w:p>
        </w:tc>
        <w:tc>
          <w:tcPr>
            <w:tcW w:w="218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Granted</w:t>
            </w:r>
          </w:p>
        </w:tc>
        <w:tc>
          <w:tcPr>
            <w:tcW w:w="2180" w:type="dxa"/>
            <w:vAlign w:val="bottom"/>
            <w:gridSpan w:val="2"/>
          </w:tcPr>
          <w:p>
            <w:pPr>
              <w:jc w:val="right"/>
              <w:ind w:right="1240"/>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218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Forfeited</w:t>
            </w:r>
          </w:p>
        </w:tc>
        <w:tc>
          <w:tcPr>
            <w:tcW w:w="2180" w:type="dxa"/>
            <w:vAlign w:val="bottom"/>
            <w:gridSpan w:val="2"/>
          </w:tcPr>
          <w:p>
            <w:pPr>
              <w:jc w:val="right"/>
              <w:ind w:right="118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at December 31, 2020</w:t>
            </w:r>
          </w:p>
        </w:tc>
        <w:tc>
          <w:tcPr>
            <w:tcW w:w="218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right="360" w:firstLine="551"/>
        <w:spacing w:after="0" w:line="282" w:lineRule="auto"/>
        <w:rPr>
          <w:sz w:val="20"/>
          <w:szCs w:val="20"/>
          <w:color w:val="auto"/>
        </w:rPr>
      </w:pPr>
      <w:r>
        <w:rPr>
          <w:rFonts w:ascii="Times New Roman" w:cs="Times New Roman" w:eastAsia="Times New Roman" w:hAnsi="Times New Roman"/>
          <w:sz w:val="18"/>
          <w:szCs w:val="18"/>
          <w:color w:val="auto"/>
        </w:rPr>
        <w:t>Under the 2018 Equity Incentive Plan, 7,322,206 shares of common stock were available for the granting of future stock-based awards as of December 31, 2020.</w:t>
      </w:r>
    </w:p>
    <w:p>
      <w:pPr>
        <w:spacing w:after="0" w:line="306" w:lineRule="exact"/>
        <w:rPr>
          <w:sz w:val="20"/>
          <w:szCs w:val="20"/>
          <w:color w:val="auto"/>
        </w:rPr>
      </w:pPr>
    </w:p>
    <w:p>
      <w:pPr>
        <w:ind w:left="660" w:hanging="544"/>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MATTERS</w:t>
      </w:r>
    </w:p>
    <w:p>
      <w:pPr>
        <w:spacing w:after="0" w:line="189" w:lineRule="exact"/>
        <w:rPr>
          <w:sz w:val="20"/>
          <w:szCs w:val="20"/>
          <w:color w:val="auto"/>
        </w:rPr>
      </w:pPr>
    </w:p>
    <w:p>
      <w:pPr>
        <w:ind w:left="120" w:right="80" w:firstLine="551"/>
        <w:spacing w:after="0" w:line="255" w:lineRule="auto"/>
        <w:rPr>
          <w:sz w:val="20"/>
          <w:szCs w:val="20"/>
          <w:color w:val="auto"/>
        </w:rPr>
      </w:pPr>
      <w:r>
        <w:rPr>
          <w:rFonts w:ascii="Times New Roman" w:cs="Times New Roman" w:eastAsia="Times New Roman" w:hAnsi="Times New Roman"/>
          <w:sz w:val="18"/>
          <w:szCs w:val="18"/>
          <w:color w:val="auto"/>
        </w:rPr>
        <w:t>The Company (on a consolidated basis) and the Bank are subject to various regulatory capital requirements administered by the federal banking regulatory agencies. Failure to meet minimum capital requirements can initiate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Bank must meet specific capital guidelines that involve quantitative measures of assets, liabilities, and certain off-balance-sheet items as calculated under regulatory accounting practices. The capital amounts and classification are also subject to qualitative judgment by the regulators about components, risk-weightings, and other factors. Prompt corrective action provisions are not applicable to bank holding companies.</w:t>
      </w:r>
    </w:p>
    <w:p>
      <w:pPr>
        <w:spacing w:after="0" w:line="148" w:lineRule="exact"/>
        <w:rPr>
          <w:sz w:val="20"/>
          <w:szCs w:val="20"/>
          <w:color w:val="auto"/>
        </w:rPr>
      </w:pPr>
    </w:p>
    <w:p>
      <w:pPr>
        <w:ind w:left="120" w:right="120" w:firstLine="551"/>
        <w:spacing w:after="0" w:line="282" w:lineRule="auto"/>
        <w:rPr>
          <w:sz w:val="20"/>
          <w:szCs w:val="20"/>
          <w:color w:val="auto"/>
        </w:rPr>
      </w:pPr>
      <w:r>
        <w:rPr>
          <w:rFonts w:ascii="Times New Roman" w:cs="Times New Roman" w:eastAsia="Times New Roman" w:hAnsi="Times New Roman"/>
          <w:sz w:val="18"/>
          <w:szCs w:val="18"/>
          <w:color w:val="auto"/>
        </w:rPr>
        <w:t>The Bank and the Company are required to meet risk-based capital standards under the revised capital framework referred to as Basel III set by their respective regulatory authorities. The risk-based capital standards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82" w:right="47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6" w:lineRule="auto"/>
        <w:rPr>
          <w:sz w:val="20"/>
          <w:szCs w:val="20"/>
          <w:color w:val="auto"/>
        </w:rPr>
      </w:pPr>
      <w:r>
        <w:rPr>
          <w:rFonts w:ascii="Times New Roman" w:cs="Times New Roman" w:eastAsia="Times New Roman" w:hAnsi="Times New Roman"/>
          <w:sz w:val="17"/>
          <w:szCs w:val="17"/>
          <w:color w:val="auto"/>
        </w:rPr>
        <w:t>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w:t>
      </w:r>
    </w:p>
    <w:p>
      <w:pPr>
        <w:spacing w:after="0" w:line="1"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w:t>
      </w:r>
    </w:p>
    <w:p>
      <w:pPr>
        <w:spacing w:after="0" w:line="159" w:lineRule="exact"/>
        <w:rPr>
          <w:sz w:val="20"/>
          <w:szCs w:val="20"/>
          <w:color w:val="auto"/>
        </w:rPr>
      </w:pPr>
    </w:p>
    <w:p>
      <w:pPr>
        <w:jc w:val="both"/>
        <w:ind w:left="120" w:right="260" w:firstLine="551"/>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the Bank to maintain minimum amounts and ratios (set forth in the table below) of total capital, Tier 1 capital and CET1 capital to risk-weighted assets, and of Tier 1 capital to average assets. Management believes that, as of December 31, 2020 and 2019, the Company and the Bank meet all capital adequacy requirements to which they are subject.</w:t>
      </w:r>
    </w:p>
    <w:p>
      <w:pPr>
        <w:spacing w:after="0" w:line="139" w:lineRule="exact"/>
        <w:rPr>
          <w:sz w:val="20"/>
          <w:szCs w:val="20"/>
          <w:color w:val="auto"/>
        </w:rPr>
      </w:pPr>
    </w:p>
    <w:p>
      <w:pPr>
        <w:ind w:left="120" w:right="100" w:firstLine="551"/>
        <w:spacing w:after="0" w:line="261" w:lineRule="auto"/>
        <w:rPr>
          <w:sz w:val="20"/>
          <w:szCs w:val="20"/>
          <w:color w:val="auto"/>
        </w:rPr>
      </w:pPr>
      <w:r>
        <w:rPr>
          <w:rFonts w:ascii="Times New Roman" w:cs="Times New Roman" w:eastAsia="Times New Roman" w:hAnsi="Times New Roman"/>
          <w:sz w:val="18"/>
          <w:szCs w:val="18"/>
          <w:color w:val="auto"/>
        </w:rPr>
        <w:t>As of December 31, 2020 and 2019, the most recent notifications from the FDIC categorized the Bank as well capitalized under the regulatory framework for prompt corrective action. To be categorized as well capitalized, the minimum total risk-based, Tier 1 risk-based, CET1 risk-based, and Tier 1 leverage (tangible Tier 1 capital divided by average total assets) ratios as set forth in the table below must be maintained. There are no conditions or events since said notification that management believes have changed the Bank’s category.</w:t>
      </w:r>
    </w:p>
    <w:p>
      <w:pPr>
        <w:spacing w:after="0" w:line="139" w:lineRule="exact"/>
        <w:rPr>
          <w:sz w:val="20"/>
          <w:szCs w:val="20"/>
          <w:color w:val="auto"/>
        </w:rPr>
      </w:pPr>
    </w:p>
    <w:p>
      <w:pPr>
        <w:ind w:left="120" w:right="500" w:firstLine="551"/>
        <w:spacing w:after="0" w:line="266" w:lineRule="auto"/>
        <w:rPr>
          <w:sz w:val="20"/>
          <w:szCs w:val="20"/>
          <w:color w:val="auto"/>
        </w:rPr>
      </w:pPr>
      <w:r>
        <w:rPr>
          <w:rFonts w:ascii="Times New Roman" w:cs="Times New Roman" w:eastAsia="Times New Roman" w:hAnsi="Times New Roman"/>
          <w:sz w:val="18"/>
          <w:szCs w:val="18"/>
          <w:color w:val="auto"/>
        </w:rPr>
        <w:t>As of December 31, 2020 and 2019, the Company had $25.7 million of trust-preferred securities, which were included in Tier 1 capital for regulatory purposes, respectively. The following table summarizes regulatory capital amounts and ratios for the Company and the Bank as of December 31, 2020 and 2019.</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w w:val="96"/>
              </w:rPr>
              <w:t>To Be Well</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Capitalized under</w:t>
            </w:r>
          </w:p>
        </w:tc>
      </w:tr>
      <w:tr>
        <w:trPr>
          <w:trHeight w:val="203"/>
        </w:trPr>
        <w:tc>
          <w:tcPr>
            <w:tcW w:w="4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w w:val="97"/>
              </w:rPr>
              <w:t>For Capital</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Prompt Corrective</w:t>
            </w:r>
          </w:p>
        </w:tc>
      </w:tr>
      <w:tr>
        <w:trPr>
          <w:trHeight w:val="215"/>
        </w:trPr>
        <w:tc>
          <w:tcPr>
            <w:tcW w:w="4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Adequacy Purposes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Action Provisions</w:t>
            </w:r>
          </w:p>
        </w:tc>
      </w:tr>
      <w:tr>
        <w:trPr>
          <w:trHeight w:val="211"/>
        </w:trPr>
        <w:tc>
          <w:tcPr>
            <w:tcW w:w="4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Ratio</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Ratio</w:t>
            </w:r>
          </w:p>
        </w:tc>
        <w:tc>
          <w:tcPr>
            <w:tcW w:w="220" w:type="dxa"/>
            <w:vAlign w:val="bottom"/>
          </w:tcPr>
          <w:p>
            <w:pPr>
              <w:spacing w:after="0"/>
              <w:rPr>
                <w:sz w:val="18"/>
                <w:szCs w:val="18"/>
                <w:color w:val="auto"/>
              </w:rPr>
            </w:pPr>
          </w:p>
        </w:tc>
      </w:tr>
      <w:tr>
        <w:trPr>
          <w:trHeight w:val="157"/>
        </w:trPr>
        <w:tc>
          <w:tcPr>
            <w:tcW w:w="4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5"/>
          </w:tcPr>
          <w:p>
            <w:pPr>
              <w:jc w:val="right"/>
              <w:ind w:right="240"/>
              <w:spacing w:after="0" w:line="157"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2"/>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88"/>
        </w:trPr>
        <w:tc>
          <w:tcPr>
            <w:tcW w:w="4180" w:type="dxa"/>
            <w:vAlign w:val="bottom"/>
            <w:tcBorders>
              <w:bottom w:val="single" w:sz="8" w:color="CCEEFF"/>
            </w:tcBorders>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Company</w:t>
            </w:r>
          </w:p>
        </w:tc>
        <w:tc>
          <w:tcPr>
            <w:tcW w:w="1420" w:type="dxa"/>
            <w:vAlign w:val="bottom"/>
            <w:tcBorders>
              <w:bottom w:val="single" w:sz="8" w:color="CCEEFF"/>
            </w:tcBorders>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1,415,008</w:t>
            </w:r>
          </w:p>
        </w:tc>
        <w:tc>
          <w:tcPr>
            <w:tcW w:w="660" w:type="dxa"/>
            <w:vAlign w:val="bottom"/>
            <w:tcBorders>
              <w:bottom w:val="single" w:sz="8" w:color="CCEEFF"/>
            </w:tcBorders>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16.24%</w:t>
            </w:r>
          </w:p>
        </w:tc>
        <w:tc>
          <w:tcPr>
            <w:tcW w:w="160" w:type="dxa"/>
            <w:vAlign w:val="bottom"/>
            <w:tcBorders>
              <w:bottom w:val="single" w:sz="8" w:color="CCEEFF"/>
            </w:tcBorders>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697,258</w:t>
            </w:r>
          </w:p>
        </w:tc>
        <w:tc>
          <w:tcPr>
            <w:tcW w:w="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8.00%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6"/>
                <w:szCs w:val="16"/>
                <w:color w:val="auto"/>
              </w:rPr>
              <w:t>N/A</w:t>
            </w:r>
          </w:p>
        </w:tc>
      </w:tr>
      <w:tr>
        <w:trPr>
          <w:trHeight w:val="162"/>
        </w:trPr>
        <w:tc>
          <w:tcPr>
            <w:tcW w:w="4180" w:type="dxa"/>
            <w:vAlign w:val="bottom"/>
            <w:tcBorders>
              <w:top w:val="single" w:sz="8" w:color="CCEEFF"/>
            </w:tcBorders>
          </w:tcPr>
          <w:p>
            <w:pPr>
              <w:ind w:left="480"/>
              <w:spacing w:after="0" w:line="162" w:lineRule="exact"/>
              <w:rPr>
                <w:sz w:val="20"/>
                <w:szCs w:val="20"/>
                <w:color w:val="auto"/>
              </w:rPr>
            </w:pPr>
            <w:r>
              <w:rPr>
                <w:rFonts w:ascii="Times New Roman" w:cs="Times New Roman" w:eastAsia="Times New Roman" w:hAnsi="Times New Roman"/>
                <w:sz w:val="16"/>
                <w:szCs w:val="16"/>
                <w:color w:val="auto"/>
              </w:rPr>
              <w:t>Bank</w:t>
            </w:r>
          </w:p>
        </w:tc>
        <w:tc>
          <w:tcPr>
            <w:tcW w:w="1420" w:type="dxa"/>
            <w:vAlign w:val="bottom"/>
            <w:tcBorders>
              <w:top w:val="single" w:sz="8" w:color="CCEEFF"/>
            </w:tcBorders>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CCEEFF"/>
            </w:tcBorders>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1,372,184</w:t>
            </w:r>
          </w:p>
        </w:tc>
        <w:tc>
          <w:tcPr>
            <w:tcW w:w="660" w:type="dxa"/>
            <w:vAlign w:val="bottom"/>
            <w:tcBorders>
              <w:top w:val="single" w:sz="8" w:color="CCEEFF"/>
            </w:tcBorders>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15.75%</w:t>
            </w:r>
          </w:p>
        </w:tc>
        <w:tc>
          <w:tcPr>
            <w:tcW w:w="160" w:type="dxa"/>
            <w:vAlign w:val="bottom"/>
            <w:tcBorders>
              <w:top w:val="single" w:sz="8" w:color="CCEEFF"/>
            </w:tcBorders>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CCEEFF"/>
            </w:tcBorders>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696,849</w:t>
            </w:r>
          </w:p>
        </w:tc>
        <w:tc>
          <w:tcPr>
            <w:tcW w:w="8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8.00%</w:t>
            </w:r>
          </w:p>
        </w:tc>
        <w:tc>
          <w:tcPr>
            <w:tcW w:w="160" w:type="dxa"/>
            <w:vAlign w:val="bottom"/>
            <w:tcBorders>
              <w:top w:val="single" w:sz="8" w:color="CCEEFF"/>
            </w:tcBorders>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CCEEFF"/>
            </w:tcBorders>
          </w:tcPr>
          <w:p>
            <w:pPr>
              <w:ind w:left="120"/>
              <w:spacing w:after="0" w:line="162" w:lineRule="exact"/>
              <w:rPr>
                <w:sz w:val="20"/>
                <w:szCs w:val="20"/>
                <w:color w:val="auto"/>
              </w:rPr>
            </w:pPr>
            <w:r>
              <w:rPr>
                <w:rFonts w:ascii="Times New Roman" w:cs="Times New Roman" w:eastAsia="Times New Roman" w:hAnsi="Times New Roman"/>
                <w:sz w:val="16"/>
                <w:szCs w:val="16"/>
                <w:color w:val="auto"/>
              </w:rPr>
              <w:t>871,061</w:t>
            </w:r>
          </w:p>
        </w:tc>
        <w:tc>
          <w:tcPr>
            <w:tcW w:w="360" w:type="dxa"/>
            <w:vAlign w:val="bottom"/>
            <w:tcBorders>
              <w:top w:val="single" w:sz="8" w:color="CCEEFF"/>
            </w:tcBorders>
            <w:gridSpan w:val="3"/>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&gt;</w:t>
            </w:r>
          </w:p>
        </w:tc>
        <w:tc>
          <w:tcPr>
            <w:tcW w:w="640" w:type="dxa"/>
            <w:vAlign w:val="bottom"/>
            <w:tcBorders>
              <w:top w:val="single" w:sz="8" w:color="CCEEFF"/>
            </w:tcBorders>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10.00%</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3"/>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2"/>
        </w:trPr>
        <w:tc>
          <w:tcPr>
            <w:tcW w:w="418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Company</w:t>
            </w:r>
          </w:p>
        </w:tc>
        <w:tc>
          <w:tcPr>
            <w:tcW w:w="14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1,312,316</w:t>
            </w:r>
          </w:p>
        </w:tc>
        <w:tc>
          <w:tcPr>
            <w:tcW w:w="6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15.06%</w:t>
            </w: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522,944</w:t>
            </w:r>
          </w:p>
        </w:tc>
        <w:tc>
          <w:tcPr>
            <w:tcW w:w="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6.00%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6"/>
                <w:szCs w:val="16"/>
                <w:color w:val="auto"/>
              </w:rPr>
              <w:t>N/A</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Bank</w:t>
            </w:r>
          </w:p>
        </w:tc>
        <w:tc>
          <w:tcPr>
            <w:tcW w:w="142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1,269,492</w:t>
            </w: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14.57%</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522,636</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6.00%</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696,849</w:t>
            </w:r>
          </w:p>
        </w:tc>
        <w:tc>
          <w:tcPr>
            <w:tcW w:w="360" w:type="dxa"/>
            <w:vAlign w:val="bottom"/>
            <w:gridSpan w:val="3"/>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&gt;</w:t>
            </w:r>
          </w:p>
        </w:tc>
        <w:tc>
          <w:tcPr>
            <w:tcW w:w="6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8.00%</w:t>
            </w:r>
          </w:p>
        </w:tc>
      </w:tr>
      <w:tr>
        <w:trPr>
          <w:trHeight w:val="203"/>
        </w:trPr>
        <w:tc>
          <w:tcPr>
            <w:tcW w:w="418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188"/>
        </w:trPr>
        <w:tc>
          <w:tcPr>
            <w:tcW w:w="4180" w:type="dxa"/>
            <w:vAlign w:val="bottom"/>
            <w:tcBorders>
              <w:bottom w:val="single" w:sz="8" w:color="CCEEFF"/>
            </w:tcBorders>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Company</w:t>
            </w:r>
          </w:p>
        </w:tc>
        <w:tc>
          <w:tcPr>
            <w:tcW w:w="1420" w:type="dxa"/>
            <w:vAlign w:val="bottom"/>
            <w:tcBorders>
              <w:bottom w:val="single" w:sz="8" w:color="CCEEFF"/>
            </w:tcBorders>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1,287,316</w:t>
            </w:r>
          </w:p>
        </w:tc>
        <w:tc>
          <w:tcPr>
            <w:tcW w:w="660" w:type="dxa"/>
            <w:vAlign w:val="bottom"/>
            <w:tcBorders>
              <w:bottom w:val="single" w:sz="8" w:color="CCEEFF"/>
            </w:tcBorders>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14.77%</w:t>
            </w:r>
          </w:p>
        </w:tc>
        <w:tc>
          <w:tcPr>
            <w:tcW w:w="160" w:type="dxa"/>
            <w:vAlign w:val="bottom"/>
            <w:tcBorders>
              <w:bottom w:val="single" w:sz="8" w:color="CCEEFF"/>
            </w:tcBorders>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392,208</w:t>
            </w:r>
          </w:p>
        </w:tc>
        <w:tc>
          <w:tcPr>
            <w:tcW w:w="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4.50%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6"/>
                <w:szCs w:val="16"/>
                <w:color w:val="auto"/>
              </w:rPr>
              <w:t>N/A</w:t>
            </w:r>
          </w:p>
        </w:tc>
      </w:tr>
      <w:tr>
        <w:trPr>
          <w:trHeight w:val="162"/>
        </w:trPr>
        <w:tc>
          <w:tcPr>
            <w:tcW w:w="4180" w:type="dxa"/>
            <w:vAlign w:val="bottom"/>
            <w:tcBorders>
              <w:top w:val="single" w:sz="8" w:color="CCEEFF"/>
            </w:tcBorders>
          </w:tcPr>
          <w:p>
            <w:pPr>
              <w:ind w:left="480"/>
              <w:spacing w:after="0" w:line="162" w:lineRule="exact"/>
              <w:rPr>
                <w:sz w:val="20"/>
                <w:szCs w:val="20"/>
                <w:color w:val="auto"/>
              </w:rPr>
            </w:pPr>
            <w:r>
              <w:rPr>
                <w:rFonts w:ascii="Times New Roman" w:cs="Times New Roman" w:eastAsia="Times New Roman" w:hAnsi="Times New Roman"/>
                <w:sz w:val="16"/>
                <w:szCs w:val="16"/>
                <w:color w:val="auto"/>
              </w:rPr>
              <w:t>Bank</w:t>
            </w:r>
          </w:p>
        </w:tc>
        <w:tc>
          <w:tcPr>
            <w:tcW w:w="1420" w:type="dxa"/>
            <w:vAlign w:val="bottom"/>
            <w:tcBorders>
              <w:top w:val="single" w:sz="8" w:color="CCEEFF"/>
            </w:tcBorders>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CCEEFF"/>
            </w:tcBorders>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1,269,492</w:t>
            </w:r>
          </w:p>
        </w:tc>
        <w:tc>
          <w:tcPr>
            <w:tcW w:w="660" w:type="dxa"/>
            <w:vAlign w:val="bottom"/>
            <w:tcBorders>
              <w:top w:val="single" w:sz="8" w:color="CCEEFF"/>
            </w:tcBorders>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14.57%</w:t>
            </w:r>
          </w:p>
        </w:tc>
        <w:tc>
          <w:tcPr>
            <w:tcW w:w="160" w:type="dxa"/>
            <w:vAlign w:val="bottom"/>
            <w:tcBorders>
              <w:top w:val="single" w:sz="8" w:color="CCEEFF"/>
            </w:tcBorders>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CCEEFF"/>
            </w:tcBorders>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391,977</w:t>
            </w:r>
          </w:p>
        </w:tc>
        <w:tc>
          <w:tcPr>
            <w:tcW w:w="8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4.50%</w:t>
            </w:r>
          </w:p>
        </w:tc>
        <w:tc>
          <w:tcPr>
            <w:tcW w:w="160" w:type="dxa"/>
            <w:vAlign w:val="bottom"/>
            <w:tcBorders>
              <w:top w:val="single" w:sz="8" w:color="CCEEFF"/>
            </w:tcBorders>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CCEEFF"/>
            </w:tcBorders>
          </w:tcPr>
          <w:p>
            <w:pPr>
              <w:ind w:left="120"/>
              <w:spacing w:after="0" w:line="162" w:lineRule="exact"/>
              <w:rPr>
                <w:sz w:val="20"/>
                <w:szCs w:val="20"/>
                <w:color w:val="auto"/>
              </w:rPr>
            </w:pPr>
            <w:r>
              <w:rPr>
                <w:rFonts w:ascii="Times New Roman" w:cs="Times New Roman" w:eastAsia="Times New Roman" w:hAnsi="Times New Roman"/>
                <w:sz w:val="16"/>
                <w:szCs w:val="16"/>
                <w:color w:val="auto"/>
              </w:rPr>
              <w:t>566,189</w:t>
            </w:r>
          </w:p>
        </w:tc>
        <w:tc>
          <w:tcPr>
            <w:tcW w:w="360" w:type="dxa"/>
            <w:vAlign w:val="bottom"/>
            <w:tcBorders>
              <w:top w:val="single" w:sz="8" w:color="CCEEFF"/>
            </w:tcBorders>
            <w:gridSpan w:val="3"/>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&gt;</w:t>
            </w:r>
          </w:p>
        </w:tc>
        <w:tc>
          <w:tcPr>
            <w:tcW w:w="640" w:type="dxa"/>
            <w:vAlign w:val="bottom"/>
            <w:tcBorders>
              <w:top w:val="single" w:sz="8" w:color="CCEEFF"/>
            </w:tcBorders>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6.50%</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3"/>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Tier 1 Capital (to Average-Assets)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2"/>
        </w:trPr>
        <w:tc>
          <w:tcPr>
            <w:tcW w:w="418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Company</w:t>
            </w:r>
          </w:p>
        </w:tc>
        <w:tc>
          <w:tcPr>
            <w:tcW w:w="14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1,312,316</w:t>
            </w:r>
          </w:p>
        </w:tc>
        <w:tc>
          <w:tcPr>
            <w:tcW w:w="6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9.90%</w:t>
            </w: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530,424</w:t>
            </w:r>
          </w:p>
        </w:tc>
        <w:tc>
          <w:tcPr>
            <w:tcW w:w="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6"/>
                <w:szCs w:val="16"/>
                <w:color w:val="auto"/>
              </w:rPr>
              <w:t>N/A</w:t>
            </w:r>
          </w:p>
        </w:tc>
      </w:tr>
      <w:tr>
        <w:trPr>
          <w:trHeight w:val="21"/>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Bank</w:t>
            </w:r>
          </w:p>
        </w:tc>
        <w:tc>
          <w:tcPr>
            <w:tcW w:w="142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1,269,492</w:t>
            </w: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9.58%</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530,164</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4.00%</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662,705</w:t>
            </w:r>
          </w:p>
        </w:tc>
        <w:tc>
          <w:tcPr>
            <w:tcW w:w="360" w:type="dxa"/>
            <w:vAlign w:val="bottom"/>
            <w:gridSpan w:val="3"/>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&gt;</w:t>
            </w:r>
          </w:p>
        </w:tc>
        <w:tc>
          <w:tcPr>
            <w:tcW w:w="6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5.00%</w:t>
            </w:r>
          </w:p>
        </w:tc>
      </w:tr>
      <w:tr>
        <w:trPr>
          <w:trHeight w:val="203"/>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1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03"/>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2"/>
        </w:trPr>
        <w:tc>
          <w:tcPr>
            <w:tcW w:w="418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Company</w:t>
            </w:r>
          </w:p>
        </w:tc>
        <w:tc>
          <w:tcPr>
            <w:tcW w:w="14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1,391,771</w:t>
            </w:r>
          </w:p>
        </w:tc>
        <w:tc>
          <w:tcPr>
            <w:tcW w:w="6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16.01%</w:t>
            </w: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695,651</w:t>
            </w:r>
          </w:p>
        </w:tc>
        <w:tc>
          <w:tcPr>
            <w:tcW w:w="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8.00%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6"/>
                <w:szCs w:val="16"/>
                <w:color w:val="auto"/>
              </w:rPr>
              <w:t>N/A</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Bank</w:t>
            </w:r>
          </w:p>
        </w:tc>
        <w:tc>
          <w:tcPr>
            <w:tcW w:w="142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1,376,364</w:t>
            </w: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15.83%</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695,471</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8.00%</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869,339</w:t>
            </w:r>
          </w:p>
        </w:tc>
        <w:tc>
          <w:tcPr>
            <w:tcW w:w="360" w:type="dxa"/>
            <w:vAlign w:val="bottom"/>
            <w:gridSpan w:val="3"/>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&gt;</w:t>
            </w:r>
          </w:p>
        </w:tc>
        <w:tc>
          <w:tcPr>
            <w:tcW w:w="6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10.00%</w:t>
            </w:r>
          </w:p>
        </w:tc>
      </w:tr>
      <w:tr>
        <w:trPr>
          <w:trHeight w:val="203"/>
        </w:trPr>
        <w:tc>
          <w:tcPr>
            <w:tcW w:w="418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188"/>
        </w:trPr>
        <w:tc>
          <w:tcPr>
            <w:tcW w:w="4180" w:type="dxa"/>
            <w:vAlign w:val="bottom"/>
            <w:tcBorders>
              <w:bottom w:val="single" w:sz="8" w:color="CCEEFF"/>
            </w:tcBorders>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Company</w:t>
            </w:r>
          </w:p>
        </w:tc>
        <w:tc>
          <w:tcPr>
            <w:tcW w:w="1420" w:type="dxa"/>
            <w:vAlign w:val="bottom"/>
            <w:tcBorders>
              <w:bottom w:val="single" w:sz="8" w:color="CCEEFF"/>
            </w:tcBorders>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1,314,152</w:t>
            </w:r>
          </w:p>
        </w:tc>
        <w:tc>
          <w:tcPr>
            <w:tcW w:w="660" w:type="dxa"/>
            <w:vAlign w:val="bottom"/>
            <w:tcBorders>
              <w:bottom w:val="single" w:sz="8" w:color="CCEEFF"/>
            </w:tcBorders>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15.11%</w:t>
            </w:r>
          </w:p>
        </w:tc>
        <w:tc>
          <w:tcPr>
            <w:tcW w:w="160" w:type="dxa"/>
            <w:vAlign w:val="bottom"/>
            <w:tcBorders>
              <w:bottom w:val="single" w:sz="8" w:color="CCEEFF"/>
            </w:tcBorders>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521,738</w:t>
            </w:r>
          </w:p>
        </w:tc>
        <w:tc>
          <w:tcPr>
            <w:tcW w:w="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6.00%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6"/>
                <w:szCs w:val="16"/>
                <w:color w:val="auto"/>
              </w:rPr>
              <w:t>N/A</w:t>
            </w:r>
          </w:p>
        </w:tc>
      </w:tr>
      <w:tr>
        <w:trPr>
          <w:trHeight w:val="162"/>
        </w:trPr>
        <w:tc>
          <w:tcPr>
            <w:tcW w:w="4180" w:type="dxa"/>
            <w:vAlign w:val="bottom"/>
            <w:tcBorders>
              <w:top w:val="single" w:sz="8" w:color="CCEEFF"/>
            </w:tcBorders>
          </w:tcPr>
          <w:p>
            <w:pPr>
              <w:ind w:left="480"/>
              <w:spacing w:after="0" w:line="162" w:lineRule="exact"/>
              <w:rPr>
                <w:sz w:val="20"/>
                <w:szCs w:val="20"/>
                <w:color w:val="auto"/>
              </w:rPr>
            </w:pPr>
            <w:r>
              <w:rPr>
                <w:rFonts w:ascii="Times New Roman" w:cs="Times New Roman" w:eastAsia="Times New Roman" w:hAnsi="Times New Roman"/>
                <w:sz w:val="16"/>
                <w:szCs w:val="16"/>
                <w:color w:val="auto"/>
              </w:rPr>
              <w:t>Bank</w:t>
            </w:r>
          </w:p>
        </w:tc>
        <w:tc>
          <w:tcPr>
            <w:tcW w:w="1420" w:type="dxa"/>
            <w:vAlign w:val="bottom"/>
            <w:tcBorders>
              <w:top w:val="single" w:sz="8" w:color="CCEEFF"/>
            </w:tcBorders>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CCEEFF"/>
            </w:tcBorders>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1,298,745</w:t>
            </w:r>
          </w:p>
        </w:tc>
        <w:tc>
          <w:tcPr>
            <w:tcW w:w="660" w:type="dxa"/>
            <w:vAlign w:val="bottom"/>
            <w:tcBorders>
              <w:top w:val="single" w:sz="8" w:color="CCEEFF"/>
            </w:tcBorders>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14.94%</w:t>
            </w:r>
          </w:p>
        </w:tc>
        <w:tc>
          <w:tcPr>
            <w:tcW w:w="160" w:type="dxa"/>
            <w:vAlign w:val="bottom"/>
            <w:tcBorders>
              <w:top w:val="single" w:sz="8" w:color="CCEEFF"/>
            </w:tcBorders>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CCEEFF"/>
            </w:tcBorders>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521,604</w:t>
            </w:r>
          </w:p>
        </w:tc>
        <w:tc>
          <w:tcPr>
            <w:tcW w:w="8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6.00%</w:t>
            </w:r>
          </w:p>
        </w:tc>
        <w:tc>
          <w:tcPr>
            <w:tcW w:w="160" w:type="dxa"/>
            <w:vAlign w:val="bottom"/>
            <w:tcBorders>
              <w:top w:val="single" w:sz="8" w:color="CCEEFF"/>
            </w:tcBorders>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CCEEFF"/>
            </w:tcBorders>
          </w:tcPr>
          <w:p>
            <w:pPr>
              <w:ind w:left="120"/>
              <w:spacing w:after="0" w:line="162" w:lineRule="exact"/>
              <w:rPr>
                <w:sz w:val="20"/>
                <w:szCs w:val="20"/>
                <w:color w:val="auto"/>
              </w:rPr>
            </w:pPr>
            <w:r>
              <w:rPr>
                <w:rFonts w:ascii="Times New Roman" w:cs="Times New Roman" w:eastAsia="Times New Roman" w:hAnsi="Times New Roman"/>
                <w:sz w:val="16"/>
                <w:szCs w:val="16"/>
                <w:color w:val="auto"/>
              </w:rPr>
              <w:t>695,471</w:t>
            </w:r>
          </w:p>
        </w:tc>
        <w:tc>
          <w:tcPr>
            <w:tcW w:w="360" w:type="dxa"/>
            <w:vAlign w:val="bottom"/>
            <w:tcBorders>
              <w:top w:val="single" w:sz="8" w:color="CCEEFF"/>
            </w:tcBorders>
            <w:gridSpan w:val="3"/>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&gt;</w:t>
            </w:r>
          </w:p>
        </w:tc>
        <w:tc>
          <w:tcPr>
            <w:tcW w:w="640" w:type="dxa"/>
            <w:vAlign w:val="bottom"/>
            <w:tcBorders>
              <w:top w:val="single" w:sz="8" w:color="CCEEFF"/>
            </w:tcBorders>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8.00%</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3"/>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2"/>
        </w:trPr>
        <w:tc>
          <w:tcPr>
            <w:tcW w:w="418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Company</w:t>
            </w:r>
          </w:p>
        </w:tc>
        <w:tc>
          <w:tcPr>
            <w:tcW w:w="14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1,289,152</w:t>
            </w:r>
          </w:p>
        </w:tc>
        <w:tc>
          <w:tcPr>
            <w:tcW w:w="6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14.83%</w:t>
            </w: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391,304</w:t>
            </w:r>
          </w:p>
        </w:tc>
        <w:tc>
          <w:tcPr>
            <w:tcW w:w="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4.50%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6"/>
                <w:szCs w:val="16"/>
                <w:color w:val="auto"/>
              </w:rPr>
              <w:t>N/A</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Bank</w:t>
            </w:r>
          </w:p>
        </w:tc>
        <w:tc>
          <w:tcPr>
            <w:tcW w:w="142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1,298,745</w:t>
            </w: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14.94%</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391,203</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4.50%</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565,070</w:t>
            </w:r>
          </w:p>
        </w:tc>
        <w:tc>
          <w:tcPr>
            <w:tcW w:w="360" w:type="dxa"/>
            <w:vAlign w:val="bottom"/>
            <w:gridSpan w:val="3"/>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&gt;</w:t>
            </w:r>
          </w:p>
        </w:tc>
        <w:tc>
          <w:tcPr>
            <w:tcW w:w="6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6.50%</w:t>
            </w:r>
          </w:p>
        </w:tc>
      </w:tr>
      <w:tr>
        <w:trPr>
          <w:trHeight w:val="203"/>
        </w:trPr>
        <w:tc>
          <w:tcPr>
            <w:tcW w:w="418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Tier 1 Capital (to Average-Assets)</w:t>
            </w:r>
          </w:p>
        </w:tc>
        <w:tc>
          <w:tcPr>
            <w:tcW w:w="1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188"/>
        </w:trPr>
        <w:tc>
          <w:tcPr>
            <w:tcW w:w="4180" w:type="dxa"/>
            <w:vAlign w:val="bottom"/>
            <w:tcBorders>
              <w:bottom w:val="single" w:sz="8" w:color="CCEEFF"/>
            </w:tcBorders>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Company</w:t>
            </w:r>
          </w:p>
        </w:tc>
        <w:tc>
          <w:tcPr>
            <w:tcW w:w="1420" w:type="dxa"/>
            <w:vAlign w:val="bottom"/>
            <w:tcBorders>
              <w:bottom w:val="single" w:sz="8" w:color="CCEEFF"/>
            </w:tcBorders>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1,314,152</w:t>
            </w:r>
          </w:p>
        </w:tc>
        <w:tc>
          <w:tcPr>
            <w:tcW w:w="660" w:type="dxa"/>
            <w:vAlign w:val="bottom"/>
            <w:tcBorders>
              <w:bottom w:val="single" w:sz="8" w:color="CCEEFF"/>
            </w:tcBorders>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12.33%</w:t>
            </w:r>
          </w:p>
        </w:tc>
        <w:tc>
          <w:tcPr>
            <w:tcW w:w="160" w:type="dxa"/>
            <w:vAlign w:val="bottom"/>
            <w:tcBorders>
              <w:bottom w:val="single" w:sz="8" w:color="CCEEFF"/>
            </w:tcBorders>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426,497</w:t>
            </w:r>
          </w:p>
        </w:tc>
        <w:tc>
          <w:tcPr>
            <w:tcW w:w="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4.00%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6"/>
                <w:szCs w:val="16"/>
                <w:color w:val="auto"/>
              </w:rPr>
              <w:t>N/A</w:t>
            </w:r>
          </w:p>
        </w:tc>
      </w:tr>
      <w:tr>
        <w:trPr>
          <w:trHeight w:val="162"/>
        </w:trPr>
        <w:tc>
          <w:tcPr>
            <w:tcW w:w="4180" w:type="dxa"/>
            <w:vAlign w:val="bottom"/>
            <w:tcBorders>
              <w:top w:val="single" w:sz="8" w:color="CCEEFF"/>
            </w:tcBorders>
          </w:tcPr>
          <w:p>
            <w:pPr>
              <w:ind w:left="480"/>
              <w:spacing w:after="0" w:line="162" w:lineRule="exact"/>
              <w:rPr>
                <w:sz w:val="20"/>
                <w:szCs w:val="20"/>
                <w:color w:val="auto"/>
              </w:rPr>
            </w:pPr>
            <w:r>
              <w:rPr>
                <w:rFonts w:ascii="Times New Roman" w:cs="Times New Roman" w:eastAsia="Times New Roman" w:hAnsi="Times New Roman"/>
                <w:sz w:val="16"/>
                <w:szCs w:val="16"/>
                <w:color w:val="auto"/>
              </w:rPr>
              <w:t>Bank</w:t>
            </w:r>
          </w:p>
        </w:tc>
        <w:tc>
          <w:tcPr>
            <w:tcW w:w="1420" w:type="dxa"/>
            <w:vAlign w:val="bottom"/>
            <w:tcBorders>
              <w:top w:val="single" w:sz="8" w:color="CCEEFF"/>
            </w:tcBorders>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CCEEFF"/>
            </w:tcBorders>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1,298,745</w:t>
            </w:r>
          </w:p>
        </w:tc>
        <w:tc>
          <w:tcPr>
            <w:tcW w:w="660" w:type="dxa"/>
            <w:vAlign w:val="bottom"/>
            <w:tcBorders>
              <w:top w:val="single" w:sz="8" w:color="CCEEFF"/>
            </w:tcBorders>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12.19%</w:t>
            </w:r>
          </w:p>
        </w:tc>
        <w:tc>
          <w:tcPr>
            <w:tcW w:w="160" w:type="dxa"/>
            <w:vAlign w:val="bottom"/>
            <w:tcBorders>
              <w:top w:val="single" w:sz="8" w:color="CCEEFF"/>
            </w:tcBorders>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CCEEFF"/>
            </w:tcBorders>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426,328</w:t>
            </w:r>
          </w:p>
        </w:tc>
        <w:tc>
          <w:tcPr>
            <w:tcW w:w="80" w:type="dxa"/>
            <w:vAlign w:val="bottom"/>
            <w:tcBorders>
              <w:top w:val="single" w:sz="8" w:color="CCEEFF"/>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0"/>
              </w:rPr>
              <w:t>&gt;</w:t>
            </w:r>
          </w:p>
        </w:tc>
        <w:tc>
          <w:tcPr>
            <w:tcW w:w="16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gridSpan w:val="2"/>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4.00%</w:t>
            </w:r>
          </w:p>
        </w:tc>
        <w:tc>
          <w:tcPr>
            <w:tcW w:w="160" w:type="dxa"/>
            <w:vAlign w:val="bottom"/>
            <w:tcBorders>
              <w:top w:val="single" w:sz="8" w:color="CCEEFF"/>
            </w:tcBorders>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CCEEFF"/>
            </w:tcBorders>
          </w:tcPr>
          <w:p>
            <w:pPr>
              <w:ind w:left="120"/>
              <w:spacing w:after="0" w:line="162" w:lineRule="exact"/>
              <w:rPr>
                <w:sz w:val="20"/>
                <w:szCs w:val="20"/>
                <w:color w:val="auto"/>
              </w:rPr>
            </w:pPr>
            <w:r>
              <w:rPr>
                <w:rFonts w:ascii="Times New Roman" w:cs="Times New Roman" w:eastAsia="Times New Roman" w:hAnsi="Times New Roman"/>
                <w:sz w:val="16"/>
                <w:szCs w:val="16"/>
                <w:color w:val="auto"/>
              </w:rPr>
              <w:t>532,909</w:t>
            </w: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w w:val="88"/>
              </w:rPr>
              <w:t>&gt;</w:t>
            </w:r>
          </w:p>
        </w:tc>
        <w:tc>
          <w:tcPr>
            <w:tcW w:w="12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gridSpan w:val="2"/>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5.00%</w:t>
            </w: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82" w:right="4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California Financial Code limits the amount of dividends a bank can pay without obtaining prior approval from bank regulators.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this law, the Bank could, as of December 31, 2020, declare and pay additional dividends of approximately $150.9 million.</w:t>
      </w:r>
    </w:p>
    <w:p>
      <w:pPr>
        <w:spacing w:after="0" w:line="351" w:lineRule="exact"/>
        <w:rPr>
          <w:sz w:val="20"/>
          <w:szCs w:val="20"/>
          <w:color w:val="auto"/>
        </w:rPr>
      </w:pPr>
    </w:p>
    <w:p>
      <w:pPr>
        <w:ind w:left="660" w:hanging="544"/>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INFORMATION</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89" w:lineRule="exact"/>
        <w:rPr>
          <w:sz w:val="20"/>
          <w:szCs w:val="20"/>
          <w:color w:val="auto"/>
        </w:rPr>
      </w:pPr>
    </w:p>
    <w:p>
      <w:pPr>
        <w:ind w:left="120" w:right="1020" w:firstLine="551"/>
        <w:spacing w:after="0" w:line="282"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21" w:lineRule="exact"/>
        <w:rPr>
          <w:sz w:val="20"/>
          <w:szCs w:val="20"/>
          <w:color w:val="auto"/>
        </w:rPr>
      </w:pPr>
    </w:p>
    <w:p>
      <w:pPr>
        <w:ind w:left="120" w:right="40" w:firstLine="551"/>
        <w:spacing w:after="0" w:line="282" w:lineRule="auto"/>
        <w:rPr>
          <w:sz w:val="20"/>
          <w:szCs w:val="20"/>
          <w:color w:val="auto"/>
        </w:rPr>
      </w:pPr>
      <w:r>
        <w:rPr>
          <w:rFonts w:ascii="Times New Roman" w:cs="Times New Roman" w:eastAsia="Times New Roman" w:hAnsi="Times New Roman"/>
          <w:sz w:val="18"/>
          <w:szCs w:val="18"/>
          <w:color w:val="auto"/>
        </w:rPr>
        <w:t>The following disclosure provides the fair value information for financial assets and liabilities as of December 31, 2020. The fair value hierarchy prioritizes the inputs to valuation techniques used to measure fair value into three broad levels (Level 1, Level 2 and Level 3).</w:t>
      </w:r>
    </w:p>
    <w:p>
      <w:pPr>
        <w:spacing w:after="0" w:line="160" w:lineRule="exact"/>
        <w:rPr>
          <w:sz w:val="20"/>
          <w:szCs w:val="20"/>
          <w:color w:val="auto"/>
        </w:rPr>
      </w:pPr>
    </w:p>
    <w:p>
      <w:pPr>
        <w:ind w:left="1540" w:right="180" w:hanging="331"/>
        <w:spacing w:after="0" w:line="262" w:lineRule="auto"/>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 in active markets that are accessible at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ind w:left="1540" w:right="160" w:hanging="331"/>
        <w:spacing w:after="0" w:line="250" w:lineRule="auto"/>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including quoted prices for similar assets and liabilities in active markets,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less active markets, or other observable inputs or model-derived valuations that can be corroborated by observable market data, either directly or indirectly, for substantially the full term of the financial instrument.</w:t>
      </w:r>
    </w:p>
    <w:p>
      <w:pPr>
        <w:spacing w:after="0" w:line="1" w:lineRule="exact"/>
        <w:rPr>
          <w:rFonts w:ascii="Times New Roman" w:cs="Times New Roman" w:eastAsia="Times New Roman" w:hAnsi="Times New Roman"/>
          <w:sz w:val="18"/>
          <w:szCs w:val="18"/>
          <w:color w:val="auto"/>
        </w:rPr>
      </w:pPr>
    </w:p>
    <w:p>
      <w:pPr>
        <w:ind w:left="1540" w:hanging="331"/>
        <w:spacing w:after="0" w:line="255" w:lineRule="auto"/>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 techniques that require inputs that are both significant to the fair value measurement and unobservable.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valuation methodologies generally include pricing models, discounted cash flow models, or a determination of fair value that requires significant management judgment or estimation.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82" w:right="4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present the balances of assets and liabilities measured at fair value on a recurring basis for the dates presented.</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720" w:type="dxa"/>
            <w:vAlign w:val="bottom"/>
          </w:tcPr>
          <w:p>
            <w:pPr>
              <w:spacing w:after="0"/>
              <w:rPr>
                <w:sz w:val="13"/>
                <w:szCs w:val="13"/>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740" w:type="dxa"/>
            <w:vAlign w:val="bottom"/>
          </w:tcPr>
          <w:p>
            <w:pPr>
              <w:spacing w:after="0"/>
              <w:rPr>
                <w:sz w:val="12"/>
                <w:szCs w:val="12"/>
                <w:color w:val="auto"/>
              </w:rPr>
            </w:pPr>
          </w:p>
        </w:tc>
        <w:tc>
          <w:tcPr>
            <w:tcW w:w="12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7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7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Pr>
          <w:p>
            <w:pPr>
              <w:spacing w:after="0"/>
              <w:rPr>
                <w:sz w:val="15"/>
                <w:szCs w:val="15"/>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6"/>
          </w:tcPr>
          <w:p>
            <w:pPr>
              <w:jc w:val="right"/>
              <w:ind w:right="78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Description of assets</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Investment securities - AFS: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Mortgage-backed securities</w:t>
            </w:r>
          </w:p>
        </w:tc>
        <w:tc>
          <w:tcPr>
            <w:tcW w:w="1100" w:type="dxa"/>
            <w:vAlign w:val="bottom"/>
            <w:gridSpan w:val="3"/>
            <w:shd w:val="clear" w:color="auto" w:fill="CCEEFF"/>
          </w:tcPr>
          <w:p>
            <w:pPr>
              <w:jc w:val="right"/>
              <w:ind w:right="2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1,904,935</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1,904,935</w:t>
            </w:r>
          </w:p>
        </w:tc>
        <w:tc>
          <w:tcPr>
            <w:tcW w:w="92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CMO/REMIC</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462,814</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462,814</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Municipal bonds</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30,285</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30,285</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securities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080" w:type="dxa"/>
            <w:vAlign w:val="bottom"/>
            <w:tcBorders>
              <w:top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Total investment securities - AFS</w:t>
            </w:r>
          </w:p>
        </w:tc>
        <w:tc>
          <w:tcPr>
            <w:tcW w:w="7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2,398,923</w:t>
            </w:r>
          </w:p>
        </w:tc>
        <w:tc>
          <w:tcPr>
            <w:tcW w:w="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2,398,923</w:t>
            </w:r>
          </w:p>
        </w:tc>
        <w:tc>
          <w:tcPr>
            <w:tcW w:w="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Borders>
              <w:bottom w:val="single" w:sz="8" w:color="CCEEFF"/>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30,181</w:t>
            </w:r>
          </w:p>
        </w:tc>
        <w:tc>
          <w:tcPr>
            <w:tcW w:w="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30,181</w:t>
            </w:r>
          </w:p>
        </w:tc>
        <w:tc>
          <w:tcPr>
            <w:tcW w:w="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CCEEFF"/>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100" w:type="dxa"/>
            <w:vAlign w:val="bottom"/>
            <w:gridSpan w:val="3"/>
            <w:shd w:val="clear" w:color="auto" w:fill="CCEEFF"/>
          </w:tcPr>
          <w:p>
            <w:pPr>
              <w:jc w:val="right"/>
              <w:ind w:right="243"/>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2,429,104</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7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2,429,104</w:t>
            </w: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7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liability</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1100" w:type="dxa"/>
            <w:vAlign w:val="bottom"/>
            <w:gridSpan w:val="3"/>
            <w:shd w:val="clear" w:color="auto" w:fill="CCEEFF"/>
          </w:tcPr>
          <w:p>
            <w:pPr>
              <w:jc w:val="right"/>
              <w:ind w:right="2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30,181</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30,181</w:t>
            </w:r>
          </w:p>
        </w:tc>
        <w:tc>
          <w:tcPr>
            <w:tcW w:w="92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308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30,181</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30,181</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720" w:type="dxa"/>
            <w:vAlign w:val="bottom"/>
          </w:tcPr>
          <w:p>
            <w:pPr>
              <w:spacing w:after="0"/>
              <w:rPr>
                <w:sz w:val="24"/>
                <w:szCs w:val="24"/>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740" w:type="dxa"/>
            <w:vAlign w:val="bottom"/>
          </w:tcPr>
          <w:p>
            <w:pPr>
              <w:spacing w:after="0"/>
              <w:rPr>
                <w:sz w:val="12"/>
                <w:szCs w:val="12"/>
                <w:color w:val="auto"/>
              </w:rPr>
            </w:pPr>
          </w:p>
        </w:tc>
        <w:tc>
          <w:tcPr>
            <w:tcW w:w="12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7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7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Pr>
          <w:p>
            <w:pPr>
              <w:spacing w:after="0"/>
              <w:rPr>
                <w:sz w:val="15"/>
                <w:szCs w:val="15"/>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6"/>
          </w:tcPr>
          <w:p>
            <w:pPr>
              <w:jc w:val="right"/>
              <w:ind w:right="78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Description of assets</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Investment securities - AFS: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Mortgage-backed securities</w:t>
            </w:r>
          </w:p>
        </w:tc>
        <w:tc>
          <w:tcPr>
            <w:tcW w:w="1100" w:type="dxa"/>
            <w:vAlign w:val="bottom"/>
            <w:gridSpan w:val="3"/>
            <w:shd w:val="clear" w:color="auto" w:fill="CCEEFF"/>
          </w:tcPr>
          <w:p>
            <w:pPr>
              <w:jc w:val="right"/>
              <w:ind w:right="2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1,206,313</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1,206,313</w:t>
            </w:r>
          </w:p>
        </w:tc>
        <w:tc>
          <w:tcPr>
            <w:tcW w:w="92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CMO/REMIC</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493,710</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493,710</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Municipal bonds</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39,354</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39,354</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securities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investment securities - AFS</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1,740,257</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1,740,257</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11,502</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11,502</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100" w:type="dxa"/>
            <w:vAlign w:val="bottom"/>
            <w:gridSpan w:val="3"/>
            <w:shd w:val="clear" w:color="auto" w:fill="CCEEFF"/>
          </w:tcPr>
          <w:p>
            <w:pPr>
              <w:jc w:val="right"/>
              <w:ind w:right="2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1,751,759</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1,751,759</w:t>
            </w:r>
          </w:p>
        </w:tc>
        <w:tc>
          <w:tcPr>
            <w:tcW w:w="92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liability</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1100" w:type="dxa"/>
            <w:vAlign w:val="bottom"/>
            <w:gridSpan w:val="3"/>
            <w:shd w:val="clear" w:color="auto" w:fill="CCEEFF"/>
          </w:tcPr>
          <w:p>
            <w:pPr>
              <w:jc w:val="right"/>
              <w:ind w:right="2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11,502</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11,502</w:t>
            </w:r>
          </w:p>
        </w:tc>
        <w:tc>
          <w:tcPr>
            <w:tcW w:w="92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308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7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11,502</w:t>
            </w:r>
          </w:p>
        </w:tc>
        <w:tc>
          <w:tcPr>
            <w:tcW w:w="2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11,502</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82" w:right="4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02" w:lineRule="exact"/>
        <w:rPr>
          <w:sz w:val="20"/>
          <w:szCs w:val="20"/>
          <w:color w:val="auto"/>
        </w:rPr>
      </w:pPr>
    </w:p>
    <w:p>
      <w:pPr>
        <w:ind w:left="120" w:right="240" w:firstLine="551"/>
        <w:spacing w:after="0" w:line="282" w:lineRule="auto"/>
        <w:rPr>
          <w:sz w:val="20"/>
          <w:szCs w:val="20"/>
          <w:color w:val="auto"/>
        </w:rPr>
      </w:pPr>
      <w:r>
        <w:rPr>
          <w:rFonts w:ascii="Times New Roman" w:cs="Times New Roman" w:eastAsia="Times New Roman" w:hAnsi="Times New Roman"/>
          <w:sz w:val="18"/>
          <w:szCs w:val="18"/>
          <w:color w:val="auto"/>
        </w:rPr>
        <w:t>We may be required to measure certain assets at fair value on a non-recurring basis in accordance with GAAP. These adjustments to fair value usually result from application of lower of cost or fair value accounting or write-downs of individual assets.</w:t>
      </w:r>
    </w:p>
    <w:p>
      <w:pPr>
        <w:spacing w:after="0" w:line="94" w:lineRule="exact"/>
        <w:rPr>
          <w:sz w:val="20"/>
          <w:szCs w:val="20"/>
          <w:color w:val="auto"/>
        </w:rPr>
      </w:pPr>
    </w:p>
    <w:p>
      <w:pPr>
        <w:ind w:left="120" w:right="20" w:firstLine="551"/>
        <w:spacing w:after="0" w:line="266" w:lineRule="auto"/>
        <w:rPr>
          <w:sz w:val="20"/>
          <w:szCs w:val="20"/>
          <w:color w:val="auto"/>
        </w:rPr>
      </w:pPr>
      <w:r>
        <w:rPr>
          <w:rFonts w:ascii="Times New Roman" w:cs="Times New Roman" w:eastAsia="Times New Roman" w:hAnsi="Times New Roman"/>
          <w:sz w:val="18"/>
          <w:szCs w:val="18"/>
          <w:color w:val="auto"/>
        </w:rPr>
        <w:t>For assets measured at fair value on a non-recurring basis that were held on the balance sheet at December 31, 2020 and 2019, respectively,the following tables provide the level of valuation assumptions used to determine each adjustment and the carrying value of the related assets that had losses during the period.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Active Markets for</w:t>
            </w:r>
          </w:p>
        </w:tc>
        <w:tc>
          <w:tcPr>
            <w:tcW w:w="440" w:type="dxa"/>
            <w:vAlign w:val="bottom"/>
          </w:tcPr>
          <w:p>
            <w:pPr>
              <w:spacing w:after="0"/>
              <w:rPr>
                <w:sz w:val="12"/>
                <w:szCs w:val="12"/>
                <w:color w:val="auto"/>
              </w:rPr>
            </w:pPr>
          </w:p>
        </w:tc>
        <w:tc>
          <w:tcPr>
            <w:tcW w:w="156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8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Losses</w:t>
            </w:r>
          </w:p>
        </w:tc>
      </w:tr>
      <w:tr>
        <w:trPr>
          <w:trHeight w:val="148"/>
        </w:trPr>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Carrying Value at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Identical Assets</w:t>
            </w:r>
          </w:p>
        </w:tc>
        <w:tc>
          <w:tcPr>
            <w:tcW w:w="440" w:type="dxa"/>
            <w:vAlign w:val="bottom"/>
          </w:tcPr>
          <w:p>
            <w:pPr>
              <w:spacing w:after="0"/>
              <w:rPr>
                <w:sz w:val="12"/>
                <w:szCs w:val="12"/>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1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460" w:type="dxa"/>
            <w:vAlign w:val="bottom"/>
          </w:tcPr>
          <w:p>
            <w:pPr>
              <w:spacing w:after="0"/>
              <w:rPr>
                <w:sz w:val="12"/>
                <w:szCs w:val="12"/>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65"/>
        </w:trPr>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6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December 31, 2020</w:t>
            </w:r>
          </w:p>
        </w:tc>
      </w:tr>
      <w:tr>
        <w:trPr>
          <w:trHeight w:val="142"/>
        </w:trPr>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Description of assets</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Commercial real estate</w:t>
            </w:r>
          </w:p>
        </w:tc>
        <w:tc>
          <w:tcPr>
            <w:tcW w:w="8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Construction</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SBA</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49"/>
        </w:trPr>
        <w:tc>
          <w:tcPr>
            <w:tcW w:w="2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4,266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4,266</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2,316</w:t>
            </w:r>
          </w:p>
        </w:tc>
      </w:tr>
      <w:tr>
        <w:trPr>
          <w:trHeight w:val="148"/>
        </w:trPr>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SFR mortgage</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Consumer and other loans</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real estate owned</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2,275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2,275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700</w:t>
            </w:r>
          </w:p>
        </w:tc>
      </w:tr>
      <w:tr>
        <w:trPr>
          <w:trHeight w:val="148"/>
        </w:trPr>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Asset held-for-sale</w:t>
            </w:r>
          </w:p>
        </w:tc>
        <w:tc>
          <w:tcPr>
            <w:tcW w:w="4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r>
      <w:tr>
        <w:trPr>
          <w:trHeight w:val="155"/>
        </w:trPr>
        <w:tc>
          <w:tcPr>
            <w:tcW w:w="2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Total assets</w:t>
            </w:r>
          </w:p>
        </w:tc>
        <w:tc>
          <w:tcPr>
            <w:tcW w:w="4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6,617</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4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6,617</w:t>
            </w:r>
          </w:p>
        </w:tc>
        <w:tc>
          <w:tcPr>
            <w:tcW w:w="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46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3,040</w:t>
            </w:r>
          </w:p>
        </w:tc>
        <w:tc>
          <w:tcPr>
            <w:tcW w:w="40" w:type="dxa"/>
            <w:vAlign w:val="bottom"/>
            <w:shd w:val="clear" w:color="auto" w:fill="CCEEFF"/>
          </w:tcPr>
          <w:p>
            <w:pPr>
              <w:spacing w:after="0"/>
              <w:rPr>
                <w:sz w:val="13"/>
                <w:szCs w:val="13"/>
                <w:color w:val="auto"/>
              </w:rPr>
            </w:pPr>
          </w:p>
        </w:tc>
      </w:tr>
      <w:tr>
        <w:trPr>
          <w:trHeight w:val="20"/>
        </w:trPr>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2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8"/>
        </w:trPr>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Active Markets for</w:t>
            </w:r>
          </w:p>
        </w:tc>
        <w:tc>
          <w:tcPr>
            <w:tcW w:w="440" w:type="dxa"/>
            <w:vAlign w:val="bottom"/>
          </w:tcPr>
          <w:p>
            <w:pPr>
              <w:spacing w:after="0"/>
              <w:rPr>
                <w:sz w:val="12"/>
                <w:szCs w:val="12"/>
                <w:color w:val="auto"/>
              </w:rPr>
            </w:pPr>
          </w:p>
        </w:tc>
        <w:tc>
          <w:tcPr>
            <w:tcW w:w="156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8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Losses For</w:t>
            </w:r>
          </w:p>
        </w:tc>
      </w:tr>
      <w:tr>
        <w:trPr>
          <w:trHeight w:val="148"/>
        </w:trPr>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Carrying Value at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Identical Assets</w:t>
            </w:r>
          </w:p>
        </w:tc>
        <w:tc>
          <w:tcPr>
            <w:tcW w:w="440" w:type="dxa"/>
            <w:vAlign w:val="bottom"/>
          </w:tcPr>
          <w:p>
            <w:pPr>
              <w:spacing w:after="0"/>
              <w:rPr>
                <w:sz w:val="12"/>
                <w:szCs w:val="12"/>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1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the Year Ended</w:t>
            </w:r>
          </w:p>
        </w:tc>
      </w:tr>
      <w:tr>
        <w:trPr>
          <w:trHeight w:val="165"/>
        </w:trPr>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6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December 31, 2019</w:t>
            </w:r>
          </w:p>
        </w:tc>
      </w:tr>
      <w:tr>
        <w:trPr>
          <w:trHeight w:val="142"/>
        </w:trPr>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Description of assets</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Impaired loans:</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8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SBA</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513</w:t>
            </w:r>
          </w:p>
        </w:tc>
      </w:tr>
      <w:tr>
        <w:trPr>
          <w:trHeight w:val="149"/>
        </w:trPr>
        <w:tc>
          <w:tcPr>
            <w:tcW w:w="2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251</w:t>
            </w: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Dairy &amp; livestock and agribusiness</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Municipal lease finance receivables</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2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SFR mortgage</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Consumer and other loans</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9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real estate owned</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w:t>
            </w:r>
          </w:p>
        </w:tc>
      </w:tr>
      <w:tr>
        <w:trPr>
          <w:trHeight w:val="149"/>
        </w:trPr>
        <w:tc>
          <w:tcPr>
            <w:tcW w:w="2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Asset held-for-sale</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95"/>
        </w:trPr>
        <w:tc>
          <w:tcPr>
            <w:tcW w:w="2940" w:type="dxa"/>
            <w:vAlign w:val="bottom"/>
            <w:tcBorders>
              <w:top w:val="single" w:sz="8" w:color="CCEEFF"/>
              <w:bottom w:val="single" w:sz="8" w:color="CCEEFF"/>
            </w:tcBorders>
            <w:shd w:val="clear" w:color="auto" w:fill="CCEEFF"/>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1,056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1,056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828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82" w:right="4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jc w:val="both"/>
        <w:ind w:left="120" w:right="160" w:firstLine="551"/>
        <w:spacing w:after="0" w:line="258" w:lineRule="auto"/>
        <w:rPr>
          <w:sz w:val="20"/>
          <w:szCs w:val="20"/>
          <w:color w:val="auto"/>
        </w:rPr>
      </w:pPr>
      <w:r>
        <w:rPr>
          <w:rFonts w:ascii="Times New Roman" w:cs="Times New Roman" w:eastAsia="Times New Roman" w:hAnsi="Times New Roman"/>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December 31, 2020 and 2019, respectively. The use of different market assumptions and/or estimation methodologies may have a material effect on the estimated fair value amounts.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5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December 31, 2020</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restart"/>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444"/>
              <w:spacing w:after="0" w:line="169" w:lineRule="exact"/>
              <w:rPr>
                <w:sz w:val="20"/>
                <w:szCs w:val="20"/>
                <w:color w:val="auto"/>
              </w:rPr>
            </w:pPr>
            <w:r>
              <w:rPr>
                <w:rFonts w:ascii="Times New Roman" w:cs="Times New Roman" w:eastAsia="Times New Roman" w:hAnsi="Times New Roman"/>
                <w:sz w:val="15"/>
                <w:szCs w:val="15"/>
                <w:b w:val="1"/>
                <w:bCs w:val="1"/>
                <w:color w:val="auto"/>
              </w:rPr>
              <w:t>Estimated Fair Value</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w w:val="95"/>
              </w:rPr>
              <w:t>Level 1</w:t>
            </w:r>
          </w:p>
        </w:tc>
        <w:tc>
          <w:tcPr>
            <w:tcW w:w="460" w:type="dxa"/>
            <w:vAlign w:val="bottom"/>
          </w:tcPr>
          <w:p>
            <w:pPr>
              <w:spacing w:after="0"/>
              <w:rPr>
                <w:sz w:val="15"/>
                <w:szCs w:val="15"/>
                <w:color w:val="auto"/>
              </w:rPr>
            </w:pPr>
          </w:p>
        </w:tc>
        <w:tc>
          <w:tcPr>
            <w:tcW w:w="98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40" w:type="dxa"/>
            <w:vAlign w:val="bottom"/>
          </w:tcPr>
          <w:p>
            <w:pPr>
              <w:spacing w:after="0"/>
              <w:rPr>
                <w:sz w:val="15"/>
                <w:szCs w:val="15"/>
                <w:color w:val="auto"/>
              </w:rPr>
            </w:pPr>
          </w:p>
        </w:tc>
        <w:tc>
          <w:tcPr>
            <w:tcW w:w="84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6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6"/>
        </w:trPr>
        <w:tc>
          <w:tcPr>
            <w:tcW w:w="56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3"/>
          </w:tcPr>
          <w:p>
            <w:pPr>
              <w:jc w:val="right"/>
              <w:ind w:right="24"/>
              <w:spacing w:after="0" w:line="156"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Assets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Total cash and cash equivalents</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3"/>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1,958,160</w:t>
            </w:r>
          </w:p>
        </w:tc>
        <w:tc>
          <w:tcPr>
            <w:tcW w:w="22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1,958,160</w:t>
            </w:r>
          </w:p>
        </w:tc>
        <w:tc>
          <w:tcPr>
            <w:tcW w:w="4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w w:val="99"/>
              </w:rPr>
              <w:t>1,958,160</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Interest-earning balances due from depository institutions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43,563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43,600</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43,600</w:t>
            </w:r>
          </w:p>
        </w:tc>
        <w:tc>
          <w:tcPr>
            <w:tcW w:w="0" w:type="dxa"/>
            <w:vAlign w:val="bottom"/>
          </w:tcPr>
          <w:p>
            <w:pPr>
              <w:spacing w:after="0"/>
              <w:rPr>
                <w:sz w:val="1"/>
                <w:szCs w:val="1"/>
                <w:color w:val="auto"/>
              </w:rPr>
            </w:pPr>
          </w:p>
        </w:tc>
      </w:tr>
      <w:tr>
        <w:trPr>
          <w:trHeight w:val="162"/>
        </w:trPr>
        <w:tc>
          <w:tcPr>
            <w:tcW w:w="56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Investment securities available-for-sale</w:t>
            </w:r>
          </w:p>
        </w:tc>
        <w:tc>
          <w:tcPr>
            <w:tcW w:w="80" w:type="dxa"/>
            <w:vAlign w:val="bottom"/>
          </w:tcPr>
          <w:p>
            <w:pPr>
              <w:spacing w:after="0"/>
              <w:rPr>
                <w:sz w:val="14"/>
                <w:szCs w:val="14"/>
                <w:color w:val="auto"/>
              </w:rPr>
            </w:pPr>
          </w:p>
        </w:tc>
        <w:tc>
          <w:tcPr>
            <w:tcW w:w="940" w:type="dxa"/>
            <w:vAlign w:val="bottom"/>
            <w:gridSpan w:val="3"/>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2,398,923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4"/>
                <w:szCs w:val="14"/>
                <w:color w:val="auto"/>
              </w:rPr>
            </w:pPr>
          </w:p>
        </w:tc>
        <w:tc>
          <w:tcPr>
            <w:tcW w:w="98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2,398,923</w:t>
            </w:r>
          </w:p>
        </w:tc>
        <w:tc>
          <w:tcPr>
            <w:tcW w:w="140" w:type="dxa"/>
            <w:vAlign w:val="bottom"/>
          </w:tcPr>
          <w:p>
            <w:pPr>
              <w:spacing w:after="0"/>
              <w:rPr>
                <w:sz w:val="14"/>
                <w:szCs w:val="14"/>
                <w:color w:val="auto"/>
              </w:rPr>
            </w:pPr>
          </w:p>
        </w:tc>
        <w:tc>
          <w:tcPr>
            <w:tcW w:w="84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w w:val="99"/>
              </w:rPr>
              <w:t>2,398,923</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Investment securities held-to-maturity</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578,626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604,223</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604,223</w:t>
            </w:r>
          </w:p>
        </w:tc>
        <w:tc>
          <w:tcPr>
            <w:tcW w:w="0" w:type="dxa"/>
            <w:vAlign w:val="bottom"/>
          </w:tcPr>
          <w:p>
            <w:pPr>
              <w:spacing w:after="0"/>
              <w:rPr>
                <w:sz w:val="1"/>
                <w:szCs w:val="1"/>
                <w:color w:val="auto"/>
              </w:rPr>
            </w:pPr>
          </w:p>
        </w:tc>
      </w:tr>
      <w:tr>
        <w:trPr>
          <w:trHeight w:val="162"/>
        </w:trPr>
        <w:tc>
          <w:tcPr>
            <w:tcW w:w="56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Total loans, net of allowance for credit losses</w:t>
            </w:r>
          </w:p>
        </w:tc>
        <w:tc>
          <w:tcPr>
            <w:tcW w:w="80" w:type="dxa"/>
            <w:vAlign w:val="bottom"/>
          </w:tcPr>
          <w:p>
            <w:pPr>
              <w:spacing w:after="0"/>
              <w:rPr>
                <w:sz w:val="14"/>
                <w:szCs w:val="14"/>
                <w:color w:val="auto"/>
              </w:rPr>
            </w:pPr>
          </w:p>
        </w:tc>
        <w:tc>
          <w:tcPr>
            <w:tcW w:w="940" w:type="dxa"/>
            <w:vAlign w:val="bottom"/>
            <w:gridSpan w:val="3"/>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8,255,116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4"/>
                <w:szCs w:val="14"/>
                <w:color w:val="auto"/>
              </w:rPr>
            </w:pPr>
          </w:p>
        </w:tc>
        <w:tc>
          <w:tcPr>
            <w:tcW w:w="98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8,256,178</w:t>
            </w:r>
          </w:p>
        </w:tc>
        <w:tc>
          <w:tcPr>
            <w:tcW w:w="260" w:type="dxa"/>
            <w:vAlign w:val="bottom"/>
          </w:tcPr>
          <w:p>
            <w:pPr>
              <w:spacing w:after="0"/>
              <w:rPr>
                <w:sz w:val="14"/>
                <w:szCs w:val="14"/>
                <w:color w:val="auto"/>
              </w:rPr>
            </w:pP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w w:val="99"/>
              </w:rPr>
              <w:t>8,256,178</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Swaps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30,181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30,181</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30,181</w:t>
            </w: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Deposits: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Interest-bearing</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3"/>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4,281,114</w:t>
            </w:r>
          </w:p>
        </w:tc>
        <w:tc>
          <w:tcPr>
            <w:tcW w:w="22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4,281,952</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w w:val="99"/>
              </w:rPr>
              <w:t>4,281,952</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Borrowings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444,406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444,349</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444,349</w:t>
            </w:r>
          </w:p>
        </w:tc>
        <w:tc>
          <w:tcPr>
            <w:tcW w:w="0" w:type="dxa"/>
            <w:vAlign w:val="bottom"/>
          </w:tcPr>
          <w:p>
            <w:pPr>
              <w:spacing w:after="0"/>
              <w:rPr>
                <w:sz w:val="1"/>
                <w:szCs w:val="1"/>
                <w:color w:val="auto"/>
              </w:rPr>
            </w:pPr>
          </w:p>
        </w:tc>
      </w:tr>
      <w:tr>
        <w:trPr>
          <w:trHeight w:val="162"/>
        </w:trPr>
        <w:tc>
          <w:tcPr>
            <w:tcW w:w="56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Junior subordinated debentures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25,774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4"/>
                <w:szCs w:val="14"/>
                <w:color w:val="auto"/>
              </w:rPr>
            </w:pPr>
          </w:p>
        </w:tc>
        <w:tc>
          <w:tcPr>
            <w:tcW w:w="98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19,431</w:t>
            </w:r>
          </w:p>
        </w:tc>
        <w:tc>
          <w:tcPr>
            <w:tcW w:w="260" w:type="dxa"/>
            <w:vAlign w:val="bottom"/>
          </w:tcPr>
          <w:p>
            <w:pPr>
              <w:spacing w:after="0"/>
              <w:rPr>
                <w:sz w:val="14"/>
                <w:szCs w:val="14"/>
                <w:color w:val="auto"/>
              </w:rPr>
            </w:pP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19,431</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Swaps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30,181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30,181</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30,181</w:t>
            </w:r>
          </w:p>
        </w:tc>
        <w:tc>
          <w:tcPr>
            <w:tcW w:w="0" w:type="dxa"/>
            <w:vAlign w:val="bottom"/>
          </w:tcPr>
          <w:p>
            <w:pPr>
              <w:spacing w:after="0"/>
              <w:rPr>
                <w:sz w:val="1"/>
                <w:szCs w:val="1"/>
                <w:color w:val="auto"/>
              </w:rPr>
            </w:pPr>
          </w:p>
        </w:tc>
      </w:tr>
      <w:tr>
        <w:trPr>
          <w:trHeight w:val="418"/>
        </w:trPr>
        <w:tc>
          <w:tcPr>
            <w:tcW w:w="5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84"/>
              <w:spacing w:after="0" w:line="169" w:lineRule="exact"/>
              <w:rPr>
                <w:sz w:val="20"/>
                <w:szCs w:val="20"/>
                <w:color w:val="auto"/>
              </w:rPr>
            </w:pPr>
            <w:r>
              <w:rPr>
                <w:rFonts w:ascii="Times New Roman" w:cs="Times New Roman" w:eastAsia="Times New Roman" w:hAnsi="Times New Roman"/>
                <w:sz w:val="15"/>
                <w:szCs w:val="15"/>
                <w:b w:val="1"/>
                <w:bCs w:val="1"/>
                <w:color w:val="auto"/>
              </w:rPr>
              <w:t>Estimated Fair Value</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460" w:type="dxa"/>
            <w:vAlign w:val="bottom"/>
          </w:tcPr>
          <w:p>
            <w:pPr>
              <w:spacing w:after="0"/>
              <w:rPr>
                <w:sz w:val="15"/>
                <w:szCs w:val="15"/>
                <w:color w:val="auto"/>
              </w:rPr>
            </w:pPr>
          </w:p>
        </w:tc>
        <w:tc>
          <w:tcPr>
            <w:tcW w:w="98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40" w:type="dxa"/>
            <w:vAlign w:val="bottom"/>
          </w:tcPr>
          <w:p>
            <w:pPr>
              <w:spacing w:after="0"/>
              <w:rPr>
                <w:sz w:val="15"/>
                <w:szCs w:val="15"/>
                <w:color w:val="auto"/>
              </w:rPr>
            </w:pPr>
          </w:p>
        </w:tc>
        <w:tc>
          <w:tcPr>
            <w:tcW w:w="84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6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Assets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Total cash and cash equivalents</w:t>
            </w:r>
          </w:p>
        </w:tc>
        <w:tc>
          <w:tcPr>
            <w:tcW w:w="80" w:type="dxa"/>
            <w:vAlign w:val="bottom"/>
          </w:tcPr>
          <w:p>
            <w:pPr>
              <w:spacing w:after="0"/>
              <w:rPr>
                <w:sz w:val="14"/>
                <w:szCs w:val="14"/>
                <w:color w:val="auto"/>
              </w:rPr>
            </w:pPr>
          </w:p>
        </w:tc>
        <w:tc>
          <w:tcPr>
            <w:tcW w:w="1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185,518</w:t>
            </w:r>
          </w:p>
        </w:tc>
        <w:tc>
          <w:tcPr>
            <w:tcW w:w="320" w:type="dxa"/>
            <w:vAlign w:val="bottom"/>
            <w:gridSpan w:val="3"/>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185,518</w:t>
            </w:r>
          </w:p>
        </w:tc>
        <w:tc>
          <w:tcPr>
            <w:tcW w:w="4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185,518</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Interest-earning balances due from depository institutions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2,931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2,938</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2,938</w:t>
            </w:r>
          </w:p>
        </w:tc>
        <w:tc>
          <w:tcPr>
            <w:tcW w:w="0" w:type="dxa"/>
            <w:vAlign w:val="bottom"/>
          </w:tcPr>
          <w:p>
            <w:pPr>
              <w:spacing w:after="0"/>
              <w:rPr>
                <w:sz w:val="1"/>
                <w:szCs w:val="1"/>
                <w:color w:val="auto"/>
              </w:rPr>
            </w:pPr>
          </w:p>
        </w:tc>
      </w:tr>
      <w:tr>
        <w:trPr>
          <w:trHeight w:val="162"/>
        </w:trPr>
        <w:tc>
          <w:tcPr>
            <w:tcW w:w="56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Investment securities available-for-sale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1,740,257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4"/>
                <w:szCs w:val="14"/>
                <w:color w:val="auto"/>
              </w:rPr>
            </w:pPr>
          </w:p>
        </w:tc>
        <w:tc>
          <w:tcPr>
            <w:tcW w:w="98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1,740,257</w:t>
            </w:r>
          </w:p>
        </w:tc>
        <w:tc>
          <w:tcPr>
            <w:tcW w:w="140" w:type="dxa"/>
            <w:vAlign w:val="bottom"/>
          </w:tcPr>
          <w:p>
            <w:pPr>
              <w:spacing w:after="0"/>
              <w:rPr>
                <w:sz w:val="14"/>
                <w:szCs w:val="14"/>
                <w:color w:val="auto"/>
              </w:rPr>
            </w:pPr>
          </w:p>
        </w:tc>
        <w:tc>
          <w:tcPr>
            <w:tcW w:w="84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w w:val="99"/>
              </w:rPr>
              <w:t>1,740,257</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Investment securities held-to-maturity</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674,452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678,948</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678,948</w:t>
            </w:r>
          </w:p>
        </w:tc>
        <w:tc>
          <w:tcPr>
            <w:tcW w:w="0" w:type="dxa"/>
            <w:vAlign w:val="bottom"/>
          </w:tcPr>
          <w:p>
            <w:pPr>
              <w:spacing w:after="0"/>
              <w:rPr>
                <w:sz w:val="1"/>
                <w:szCs w:val="1"/>
                <w:color w:val="auto"/>
              </w:rPr>
            </w:pPr>
          </w:p>
        </w:tc>
      </w:tr>
      <w:tr>
        <w:trPr>
          <w:trHeight w:val="162"/>
        </w:trPr>
        <w:tc>
          <w:tcPr>
            <w:tcW w:w="56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Total loans, net of allowance for loan losses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7,495,917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4"/>
                <w:szCs w:val="14"/>
                <w:color w:val="auto"/>
              </w:rPr>
            </w:pPr>
          </w:p>
        </w:tc>
        <w:tc>
          <w:tcPr>
            <w:tcW w:w="98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7,343,167</w:t>
            </w:r>
          </w:p>
        </w:tc>
        <w:tc>
          <w:tcPr>
            <w:tcW w:w="260" w:type="dxa"/>
            <w:vAlign w:val="bottom"/>
          </w:tcPr>
          <w:p>
            <w:pPr>
              <w:spacing w:after="0"/>
              <w:rPr>
                <w:sz w:val="14"/>
                <w:szCs w:val="14"/>
                <w:color w:val="auto"/>
              </w:rPr>
            </w:pP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w w:val="99"/>
              </w:rPr>
              <w:t>7,343,167</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Swaps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11,502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11,502</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11,502</w:t>
            </w: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Deposits: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Interest-bearing</w:t>
            </w:r>
          </w:p>
        </w:tc>
        <w:tc>
          <w:tcPr>
            <w:tcW w:w="80" w:type="dxa"/>
            <w:vAlign w:val="bottom"/>
          </w:tcPr>
          <w:p>
            <w:pPr>
              <w:spacing w:after="0"/>
              <w:rPr>
                <w:sz w:val="14"/>
                <w:szCs w:val="14"/>
                <w:color w:val="auto"/>
              </w:rPr>
            </w:pPr>
          </w:p>
        </w:tc>
        <w:tc>
          <w:tcPr>
            <w:tcW w:w="1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3,459,411</w:t>
            </w:r>
          </w:p>
        </w:tc>
        <w:tc>
          <w:tcPr>
            <w:tcW w:w="320" w:type="dxa"/>
            <w:vAlign w:val="bottom"/>
            <w:gridSpan w:val="3"/>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3,457,922</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w w:val="99"/>
              </w:rPr>
              <w:t>3,457,922</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Borrowings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428,659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428,330</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428,330</w:t>
            </w:r>
          </w:p>
        </w:tc>
        <w:tc>
          <w:tcPr>
            <w:tcW w:w="0" w:type="dxa"/>
            <w:vAlign w:val="bottom"/>
          </w:tcPr>
          <w:p>
            <w:pPr>
              <w:spacing w:after="0"/>
              <w:rPr>
                <w:sz w:val="1"/>
                <w:szCs w:val="1"/>
                <w:color w:val="auto"/>
              </w:rPr>
            </w:pPr>
          </w:p>
        </w:tc>
      </w:tr>
      <w:tr>
        <w:trPr>
          <w:trHeight w:val="162"/>
        </w:trPr>
        <w:tc>
          <w:tcPr>
            <w:tcW w:w="56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Junior subordinated debentures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25,774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4"/>
                <w:szCs w:val="14"/>
                <w:color w:val="auto"/>
              </w:rPr>
            </w:pPr>
          </w:p>
        </w:tc>
        <w:tc>
          <w:tcPr>
            <w:tcW w:w="98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20,669</w:t>
            </w:r>
          </w:p>
        </w:tc>
        <w:tc>
          <w:tcPr>
            <w:tcW w:w="260" w:type="dxa"/>
            <w:vAlign w:val="bottom"/>
          </w:tcPr>
          <w:p>
            <w:pPr>
              <w:spacing w:after="0"/>
              <w:rPr>
                <w:sz w:val="14"/>
                <w:szCs w:val="14"/>
                <w:color w:val="auto"/>
              </w:rPr>
            </w:pP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20,669</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Swaps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11,502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11,502</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11,502</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20" w:right="560" w:firstLine="551"/>
        <w:spacing w:after="0" w:line="261"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December 31, 2020 and 2019.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ectPr>
          <w:pgSz w:w="11900" w:h="16838" w:orient="portrait"/>
          <w:cols w:equalWidth="0" w:num="1">
            <w:col w:w="11140"/>
          </w:cols>
          <w:pgMar w:left="320" w:top="482" w:right="43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9019"/>
          </w:cols>
          <w:pgMar w:left="1440" w:top="121" w:right="1440"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02" w:lineRule="exact"/>
        <w:rPr>
          <w:sz w:val="20"/>
          <w:szCs w:val="20"/>
          <w:color w:val="auto"/>
        </w:rPr>
      </w:pPr>
    </w:p>
    <w:p>
      <w:pPr>
        <w:ind w:left="120" w:right="60" w:firstLine="551"/>
        <w:spacing w:after="0" w:line="256" w:lineRule="auto"/>
        <w:rPr>
          <w:sz w:val="20"/>
          <w:szCs w:val="20"/>
          <w:color w:val="auto"/>
        </w:rPr>
      </w:pPr>
      <w:r>
        <w:rPr>
          <w:rFonts w:ascii="Times New Roman" w:cs="Times New Roman" w:eastAsia="Times New Roman" w:hAnsi="Times New Roman"/>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December 31, 2020, the Bank has entered into 147 interest-rate swap agreements with customers with a notional amount totaling $503.8 million. The Bank then entered into identical offsetting swaps with a counterparty.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47" w:lineRule="exact"/>
        <w:rPr>
          <w:sz w:val="20"/>
          <w:szCs w:val="20"/>
          <w:color w:val="auto"/>
        </w:rPr>
      </w:pPr>
    </w:p>
    <w:p>
      <w:pPr>
        <w:ind w:left="120" w:right="20" w:firstLine="551"/>
        <w:spacing w:after="0" w:line="253" w:lineRule="auto"/>
        <w:rPr>
          <w:sz w:val="20"/>
          <w:szCs w:val="20"/>
          <w:color w:val="auto"/>
        </w:rPr>
      </w:pPr>
      <w:r>
        <w:rPr>
          <w:rFonts w:ascii="Times New Roman" w:cs="Times New Roman" w:eastAsia="Times New Roman" w:hAnsi="Times New Roman"/>
          <w:sz w:val="18"/>
          <w:szCs w:val="18"/>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the counterparty bank in which the Bank pays the counterparty a fixed rate and the counterparty in return pays the Bank a variable rate. The net effect of the transaction allows the Bank to receive interest on the loan from the customer at a variable rate based on LIBOR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As a result of the Bank exceeding $10 billion in assets, federal regulations required the Bank, beginning in January 2019, to clear most interest rate swaps through a clearing house (“centrally cleared”).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51" w:lineRule="exact"/>
        <w:rPr>
          <w:sz w:val="20"/>
          <w:szCs w:val="20"/>
          <w:color w:val="auto"/>
        </w:rPr>
      </w:pPr>
    </w:p>
    <w:p>
      <w:pPr>
        <w:ind w:left="120" w:right="80" w:firstLine="551"/>
        <w:spacing w:after="0" w:line="266" w:lineRule="auto"/>
        <w:rPr>
          <w:sz w:val="20"/>
          <w:szCs w:val="20"/>
          <w:color w:val="auto"/>
        </w:rPr>
      </w:pPr>
      <w:r>
        <w:rPr>
          <w:rFonts w:ascii="Times New Roman" w:cs="Times New Roman" w:eastAsia="Times New Roman" w:hAnsi="Times New Roman"/>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 of Derivative Financial Instruments</w:t>
      </w:r>
    </w:p>
    <w:p>
      <w:pPr>
        <w:spacing w:after="0" w:line="162" w:lineRule="exact"/>
        <w:rPr>
          <w:sz w:val="20"/>
          <w:szCs w:val="20"/>
          <w:color w:val="auto"/>
        </w:rPr>
      </w:pPr>
    </w:p>
    <w:p>
      <w:pPr>
        <w:ind w:left="120" w:right="60" w:firstLine="551"/>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total notional amount of the Company’s swaps was $503.8 million and $260.0 million, respectively. The location of the asset and liability, and their respective fair values are summarized in the tables below.</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5700" w:type="dxa"/>
            <w:vAlign w:val="bottom"/>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5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60" w:type="dxa"/>
            <w:vAlign w:val="bottom"/>
          </w:tcPr>
          <w:p>
            <w:pPr>
              <w:spacing w:after="0"/>
              <w:rPr>
                <w:sz w:val="18"/>
                <w:szCs w:val="18"/>
                <w:color w:val="auto"/>
              </w:rPr>
            </w:pPr>
          </w:p>
        </w:tc>
      </w:tr>
      <w:tr>
        <w:trPr>
          <w:trHeight w:val="182"/>
        </w:trPr>
        <w:tc>
          <w:tcPr>
            <w:tcW w:w="5700" w:type="dxa"/>
            <w:vAlign w:val="bottom"/>
          </w:tcPr>
          <w:p>
            <w:pPr>
              <w:spacing w:after="0"/>
              <w:rPr>
                <w:sz w:val="15"/>
                <w:szCs w:val="15"/>
                <w:color w:val="auto"/>
              </w:rPr>
            </w:pPr>
          </w:p>
        </w:tc>
        <w:tc>
          <w:tcPr>
            <w:tcW w:w="1300" w:type="dxa"/>
            <w:vAlign w:val="bottom"/>
          </w:tcPr>
          <w:p>
            <w:pPr>
              <w:jc w:val="center"/>
              <w:ind w:right="59"/>
              <w:spacing w:after="0" w:line="182"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ind w:left="160"/>
              <w:spacing w:after="0" w:line="182"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5"/>
        </w:trPr>
        <w:tc>
          <w:tcPr>
            <w:tcW w:w="570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22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60" w:type="dxa"/>
            <w:vAlign w:val="bottom"/>
          </w:tcPr>
          <w:p>
            <w:pPr>
              <w:spacing w:after="0"/>
              <w:rPr>
                <w:sz w:val="18"/>
                <w:szCs w:val="18"/>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58"/>
        </w:trPr>
        <w:tc>
          <w:tcPr>
            <w:tcW w:w="57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3"/>
          </w:tcPr>
          <w:p>
            <w:pPr>
              <w:ind w:left="80"/>
              <w:spacing w:after="0" w:line="159"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rate swaps</w:t>
            </w:r>
          </w:p>
        </w:tc>
        <w:tc>
          <w:tcPr>
            <w:tcW w:w="1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5"/>
              </w:rPr>
              <w:t>30,181</w:t>
            </w:r>
          </w:p>
        </w:tc>
        <w:tc>
          <w:tcPr>
            <w:tcW w:w="360" w:type="dxa"/>
            <w:vAlign w:val="bottom"/>
          </w:tcPr>
          <w:p>
            <w:pPr>
              <w:spacing w:after="0"/>
              <w:rPr>
                <w:sz w:val="17"/>
                <w:szCs w:val="17"/>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30,181</w:t>
            </w:r>
          </w:p>
        </w:tc>
      </w:tr>
      <w:tr>
        <w:trPr>
          <w:trHeight w:val="27"/>
        </w:trPr>
        <w:tc>
          <w:tcPr>
            <w:tcW w:w="5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derivatives</w:t>
            </w:r>
          </w:p>
        </w:tc>
        <w:tc>
          <w:tcPr>
            <w:tcW w:w="13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5"/>
              </w:rPr>
              <w:t>30,181</w:t>
            </w:r>
          </w:p>
        </w:tc>
        <w:tc>
          <w:tcPr>
            <w:tcW w:w="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30,181</w:t>
            </w:r>
          </w:p>
        </w:tc>
      </w:tr>
      <w:tr>
        <w:trPr>
          <w:trHeight w:val="20"/>
        </w:trPr>
        <w:tc>
          <w:tcPr>
            <w:tcW w:w="5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82" w:right="4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5700" w:type="dxa"/>
            <w:vAlign w:val="bottom"/>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5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60" w:type="dxa"/>
            <w:vAlign w:val="bottom"/>
          </w:tcPr>
          <w:p>
            <w:pPr>
              <w:spacing w:after="0"/>
              <w:rPr>
                <w:sz w:val="18"/>
                <w:szCs w:val="18"/>
                <w:color w:val="auto"/>
              </w:rPr>
            </w:pPr>
          </w:p>
        </w:tc>
      </w:tr>
      <w:tr>
        <w:trPr>
          <w:trHeight w:val="182"/>
        </w:trPr>
        <w:tc>
          <w:tcPr>
            <w:tcW w:w="5700" w:type="dxa"/>
            <w:vAlign w:val="bottom"/>
          </w:tcPr>
          <w:p>
            <w:pPr>
              <w:spacing w:after="0"/>
              <w:rPr>
                <w:sz w:val="15"/>
                <w:szCs w:val="15"/>
                <w:color w:val="auto"/>
              </w:rPr>
            </w:pPr>
          </w:p>
        </w:tc>
        <w:tc>
          <w:tcPr>
            <w:tcW w:w="1300" w:type="dxa"/>
            <w:vAlign w:val="bottom"/>
          </w:tcPr>
          <w:p>
            <w:pPr>
              <w:jc w:val="center"/>
              <w:ind w:right="59"/>
              <w:spacing w:after="0" w:line="182"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ind w:left="160"/>
              <w:spacing w:after="0" w:line="182"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5"/>
        </w:trPr>
        <w:tc>
          <w:tcPr>
            <w:tcW w:w="570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22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58"/>
        </w:trPr>
        <w:tc>
          <w:tcPr>
            <w:tcW w:w="57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3"/>
          </w:tcPr>
          <w:p>
            <w:pPr>
              <w:ind w:left="80"/>
              <w:spacing w:after="0" w:line="159"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rate swaps</w:t>
            </w:r>
          </w:p>
        </w:tc>
        <w:tc>
          <w:tcPr>
            <w:tcW w:w="1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11,502</w:t>
            </w:r>
          </w:p>
        </w:tc>
        <w:tc>
          <w:tcPr>
            <w:tcW w:w="1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11,502</w:t>
            </w:r>
          </w:p>
        </w:tc>
      </w:tr>
      <w:tr>
        <w:trPr>
          <w:trHeight w:val="27"/>
        </w:trPr>
        <w:tc>
          <w:tcPr>
            <w:tcW w:w="5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derivatives</w:t>
            </w:r>
          </w:p>
        </w:tc>
        <w:tc>
          <w:tcPr>
            <w:tcW w:w="13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11,502</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11,502</w:t>
            </w:r>
          </w:p>
        </w:tc>
      </w:tr>
      <w:tr>
        <w:trPr>
          <w:trHeight w:val="20"/>
        </w:trPr>
        <w:tc>
          <w:tcPr>
            <w:tcW w:w="5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Effect of Derivative Financial Instruments on the Consolidated Statements of Earnings</w:t>
      </w:r>
    </w:p>
    <w:p>
      <w:pPr>
        <w:spacing w:after="0" w:line="202" w:lineRule="exact"/>
        <w:rPr>
          <w:sz w:val="20"/>
          <w:szCs w:val="20"/>
          <w:color w:val="auto"/>
        </w:rPr>
      </w:pPr>
    </w:p>
    <w:p>
      <w:pPr>
        <w:ind w:left="120" w:right="72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 financial instruments on the consolidated statements of earnings for the periods presented.</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38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Derivatives Not</w:t>
            </w:r>
          </w:p>
        </w:tc>
        <w:tc>
          <w:tcPr>
            <w:tcW w:w="3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8"/>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Amount of Gain Recognized</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8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Designated as Hedging</w:t>
            </w:r>
          </w:p>
        </w:tc>
        <w:tc>
          <w:tcPr>
            <w:tcW w:w="3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Recognized in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Income on Derivative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8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3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on Derivative Instruments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8"/>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19"/>
                <w:szCs w:val="19"/>
                <w:color w:val="auto"/>
              </w:rPr>
            </w:pPr>
          </w:p>
        </w:tc>
      </w:tr>
      <w:tr>
        <w:trPr>
          <w:trHeight w:val="196"/>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4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Other income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5,025</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1,806</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3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3"/>
              </w:rPr>
              <w:t>5,025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ind w:left="660" w:hanging="544"/>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tables below provide a summary of the components of OCI for the periods presented.</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bottom w:val="single" w:sz="8" w:color="auto"/>
            </w:tcBorders>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Before-tax</w:t>
            </w:r>
          </w:p>
        </w:tc>
        <w:tc>
          <w:tcPr>
            <w:tcW w:w="860" w:type="dxa"/>
            <w:vAlign w:val="bottom"/>
            <w:tcBorders>
              <w:bottom w:val="single" w:sz="8" w:color="auto"/>
            </w:tcBorders>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Tax effect</w:t>
            </w:r>
          </w:p>
        </w:tc>
        <w:tc>
          <w:tcPr>
            <w:tcW w:w="56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Before-tax</w:t>
            </w:r>
          </w:p>
        </w:tc>
        <w:tc>
          <w:tcPr>
            <w:tcW w:w="860" w:type="dxa"/>
            <w:vAlign w:val="bottom"/>
            <w:tcBorders>
              <w:bottom w:val="single" w:sz="8" w:color="auto"/>
            </w:tcBorders>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Tax effect</w:t>
            </w:r>
          </w:p>
        </w:tc>
        <w:tc>
          <w:tcPr>
            <w:tcW w:w="6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Before-tax</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Tax effect</w:t>
            </w:r>
          </w:p>
        </w:tc>
        <w:tc>
          <w:tcPr>
            <w:tcW w:w="6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6"/>
          </w:tcPr>
          <w:p>
            <w:pPr>
              <w:jc w:val="right"/>
              <w:ind w:right="460"/>
              <w:spacing w:after="0" w:line="142"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change in fair value recorded in accumulated</w:t>
            </w: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32,849</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(9,711)</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23,138</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45,486</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(13,447)</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32,039</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(26,435)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7,815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(18,620)</w:t>
            </w:r>
          </w:p>
        </w:tc>
        <w:tc>
          <w:tcPr>
            <w:tcW w:w="0" w:type="dxa"/>
            <w:vAlign w:val="bottom"/>
          </w:tcPr>
          <w:p>
            <w:pPr>
              <w:spacing w:after="0"/>
              <w:rPr>
                <w:sz w:val="1"/>
                <w:szCs w:val="1"/>
                <w:color w:val="auto"/>
              </w:rPr>
            </w:pPr>
          </w:p>
        </w:tc>
      </w:tr>
      <w:tr>
        <w:trPr>
          <w:trHeight w:val="171"/>
        </w:trPr>
        <w:tc>
          <w:tcPr>
            <w:tcW w:w="2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OCI</w:t>
            </w:r>
          </w:p>
        </w:tc>
        <w:tc>
          <w:tcPr>
            <w:tcW w:w="2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of unrealized (losses) gains on</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securities transferred from available-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477</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(1,137)</w:t>
            </w:r>
          </w:p>
        </w:tc>
        <w:tc>
          <w:tcPr>
            <w:tcW w:w="1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619</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for-sale to held-to-maturity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gain reclassified into earnings (1)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Net change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32,277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(9,542)</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22,735</w:t>
            </w:r>
          </w:p>
        </w:tc>
        <w:tc>
          <w:tcPr>
            <w:tcW w:w="3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43,867</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(12,969)</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30,898</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(28,526)</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8,434</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(20,092)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420" w:hanging="427"/>
        <w:spacing w:after="0"/>
        <w:tabs>
          <w:tab w:leader="none" w:pos="14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noninterest income.</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82" w:right="4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OFFSETTING</w:t>
      </w:r>
    </w:p>
    <w:p>
      <w:pPr>
        <w:spacing w:after="0" w:line="202" w:lineRule="exact"/>
        <w:rPr>
          <w:sz w:val="20"/>
          <w:szCs w:val="20"/>
          <w:color w:val="auto"/>
        </w:rPr>
      </w:pPr>
    </w:p>
    <w:p>
      <w:pPr>
        <w:ind w:left="120" w:right="100" w:firstLine="551"/>
        <w:spacing w:after="0" w:line="254" w:lineRule="auto"/>
        <w:rPr>
          <w:sz w:val="20"/>
          <w:szCs w:val="20"/>
          <w:color w:val="auto"/>
        </w:rPr>
      </w:pPr>
      <w:r>
        <w:rPr>
          <w:rFonts w:ascii="Times New Roman" w:cs="Times New Roman" w:eastAsia="Times New Roman" w:hAnsi="Times New Roman"/>
          <w:sz w:val="18"/>
          <w:szCs w:val="18"/>
          <w:color w:val="auto"/>
        </w:rPr>
        <w:t>Assets and liabilities relating to certain financial instruments, including, derivatives and securities sold under repurchase agreements (“repurchase agreements”), may be eligible for offset in the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consolidated balances.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34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6"/>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Offset in the</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Presented in the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the Consolidated</w:t>
            </w:r>
          </w:p>
        </w:tc>
        <w:tc>
          <w:tcPr>
            <w:tcW w:w="340" w:type="dxa"/>
            <w:vAlign w:val="bottom"/>
          </w:tcPr>
          <w:p>
            <w:pPr>
              <w:spacing w:after="0"/>
              <w:rPr>
                <w:sz w:val="10"/>
                <w:szCs w:val="10"/>
                <w:color w:val="auto"/>
              </w:rPr>
            </w:pPr>
          </w:p>
        </w:tc>
        <w:tc>
          <w:tcPr>
            <w:tcW w:w="13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0"/>
                <w:szCs w:val="10"/>
                <w:color w:val="auto"/>
              </w:rPr>
            </w:pPr>
          </w:p>
        </w:tc>
        <w:tc>
          <w:tcPr>
            <w:tcW w:w="11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34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8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6"/>
          </w:tcPr>
          <w:p>
            <w:pPr>
              <w:jc w:val="right"/>
              <w:ind w:right="1120"/>
              <w:spacing w:after="0" w:line="142"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Derivatives not designated as hedging</w:t>
            </w:r>
          </w:p>
        </w:tc>
        <w:tc>
          <w:tcPr>
            <w:tcW w:w="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30,181</w:t>
            </w:r>
          </w:p>
        </w:tc>
        <w:tc>
          <w:tcPr>
            <w:tcW w:w="4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30,181</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30,181</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instruments</w:t>
            </w:r>
          </w:p>
        </w:tc>
        <w:tc>
          <w:tcPr>
            <w:tcW w:w="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30,181</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30,181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30,181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Derivatives not designated as hedging</w:t>
            </w: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30,434</w:t>
            </w:r>
          </w:p>
        </w:tc>
        <w:tc>
          <w:tcPr>
            <w:tcW w:w="4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30,181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253</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(63,730)</w:t>
            </w:r>
          </w:p>
        </w:tc>
        <w:tc>
          <w:tcPr>
            <w:tcW w:w="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(33,296)</w:t>
            </w:r>
          </w:p>
        </w:tc>
        <w:tc>
          <w:tcPr>
            <w:tcW w:w="0" w:type="dxa"/>
            <w:vAlign w:val="bottom"/>
          </w:tcPr>
          <w:p>
            <w:pPr>
              <w:spacing w:after="0"/>
              <w:rPr>
                <w:sz w:val="1"/>
                <w:szCs w:val="1"/>
                <w:color w:val="auto"/>
              </w:rPr>
            </w:pPr>
          </w:p>
        </w:tc>
      </w:tr>
      <w:tr>
        <w:trPr>
          <w:trHeight w:val="171"/>
        </w:trPr>
        <w:tc>
          <w:tcPr>
            <w:tcW w:w="32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instruments</w:t>
            </w:r>
          </w:p>
        </w:tc>
        <w:tc>
          <w:tcPr>
            <w:tcW w:w="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agreements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439,406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439,406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(483,603)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(44,197)</w:t>
            </w:r>
          </w:p>
        </w:tc>
        <w:tc>
          <w:tcPr>
            <w:tcW w:w="0" w:type="dxa"/>
            <w:vAlign w:val="bottom"/>
          </w:tcPr>
          <w:p>
            <w:pPr>
              <w:spacing w:after="0"/>
              <w:rPr>
                <w:sz w:val="1"/>
                <w:szCs w:val="1"/>
                <w:color w:val="auto"/>
              </w:rPr>
            </w:pPr>
          </w:p>
        </w:tc>
      </w:tr>
      <w:tr>
        <w:trPr>
          <w:trHeight w:val="156"/>
        </w:trPr>
        <w:tc>
          <w:tcPr>
            <w:tcW w:w="322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469,840</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(253)</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469,587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(547,333</w:t>
            </w:r>
          </w:p>
        </w:tc>
        <w:tc>
          <w:tcPr>
            <w:tcW w:w="24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(77,493</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Derivatives not designated as hedging</w:t>
            </w:r>
          </w:p>
        </w:tc>
        <w:tc>
          <w:tcPr>
            <w:tcW w:w="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11,502</w:t>
            </w:r>
          </w:p>
        </w:tc>
        <w:tc>
          <w:tcPr>
            <w:tcW w:w="4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11,502</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11,502</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instruments</w:t>
            </w:r>
          </w:p>
        </w:tc>
        <w:tc>
          <w:tcPr>
            <w:tcW w:w="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11,502</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11,502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Derivatives not designated as hedging</w:t>
            </w: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11,619</w:t>
            </w:r>
          </w:p>
        </w:tc>
        <w:tc>
          <w:tcPr>
            <w:tcW w:w="4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11,502</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(23,312)</w:t>
            </w:r>
          </w:p>
        </w:tc>
        <w:tc>
          <w:tcPr>
            <w:tcW w:w="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(11,693)</w:t>
            </w:r>
          </w:p>
        </w:tc>
        <w:tc>
          <w:tcPr>
            <w:tcW w:w="0" w:type="dxa"/>
            <w:vAlign w:val="bottom"/>
          </w:tcPr>
          <w:p>
            <w:pPr>
              <w:spacing w:after="0"/>
              <w:rPr>
                <w:sz w:val="1"/>
                <w:szCs w:val="1"/>
                <w:color w:val="auto"/>
              </w:rPr>
            </w:pPr>
          </w:p>
        </w:tc>
      </w:tr>
      <w:tr>
        <w:trPr>
          <w:trHeight w:val="171"/>
        </w:trPr>
        <w:tc>
          <w:tcPr>
            <w:tcW w:w="32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instruments</w:t>
            </w:r>
          </w:p>
        </w:tc>
        <w:tc>
          <w:tcPr>
            <w:tcW w:w="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agreements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428,659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428,659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(510,138)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(81,479)</w:t>
            </w:r>
          </w:p>
        </w:tc>
        <w:tc>
          <w:tcPr>
            <w:tcW w:w="0" w:type="dxa"/>
            <w:vAlign w:val="bottom"/>
          </w:tcPr>
          <w:p>
            <w:pPr>
              <w:spacing w:after="0"/>
              <w:rPr>
                <w:sz w:val="1"/>
                <w:szCs w:val="1"/>
                <w:color w:val="auto"/>
              </w:rPr>
            </w:pPr>
          </w:p>
        </w:tc>
      </w:tr>
      <w:tr>
        <w:trPr>
          <w:trHeight w:val="155"/>
        </w:trPr>
        <w:tc>
          <w:tcPr>
            <w:tcW w:w="322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440,278</w:t>
            </w:r>
          </w:p>
        </w:tc>
        <w:tc>
          <w:tcPr>
            <w:tcW w:w="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(117)</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440,161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(533,450</w:t>
            </w:r>
          </w:p>
        </w:tc>
        <w:tc>
          <w:tcPr>
            <w:tcW w:w="24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(93,172</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660" w:hanging="544"/>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left="120" w:right="40" w:firstLine="551"/>
        <w:spacing w:after="0" w:line="261" w:lineRule="auto"/>
        <w:rPr>
          <w:sz w:val="20"/>
          <w:szCs w:val="20"/>
          <w:color w:val="auto"/>
        </w:rPr>
      </w:pPr>
      <w:r>
        <w:rPr>
          <w:rFonts w:ascii="Times New Roman" w:cs="Times New Roman" w:eastAsia="Times New Roman" w:hAnsi="Times New Roman"/>
          <w:sz w:val="18"/>
          <w:szCs w:val="18"/>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39" w:lineRule="exact"/>
        <w:rPr>
          <w:sz w:val="20"/>
          <w:szCs w:val="20"/>
          <w:color w:val="auto"/>
        </w:rPr>
      </w:pPr>
    </w:p>
    <w:p>
      <w:pPr>
        <w:ind w:left="120" w:right="480" w:firstLine="551"/>
        <w:spacing w:after="0" w:line="282" w:lineRule="auto"/>
        <w:rPr>
          <w:sz w:val="20"/>
          <w:szCs w:val="20"/>
          <w:color w:val="auto"/>
        </w:rPr>
      </w:pPr>
      <w:r>
        <w:rPr>
          <w:rFonts w:ascii="Times New Roman" w:cs="Times New Roman" w:eastAsia="Times New Roman" w:hAnsi="Times New Roman"/>
          <w:sz w:val="18"/>
          <w:szCs w:val="18"/>
          <w:color w:val="auto"/>
        </w:rPr>
        <w:t>While the Company has, as a lessor, certain equipment finance leases, such leases are not material to the Company’s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82" w:right="4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present the components of lease costs and supplemental information related to leases as of and for the periods presented.</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9"/>
                <w:szCs w:val="19"/>
                <w:color w:val="auto"/>
              </w:rPr>
            </w:pPr>
          </w:p>
        </w:tc>
      </w:tr>
      <w:tr>
        <w:trPr>
          <w:trHeight w:val="156"/>
        </w:trPr>
        <w:tc>
          <w:tcPr>
            <w:tcW w:w="4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100" w:type="dxa"/>
            <w:vAlign w:val="bottom"/>
            <w:gridSpan w:val="2"/>
          </w:tcPr>
          <w:p>
            <w:pPr>
              <w:jc w:val="center"/>
              <w:ind w:left="557"/>
              <w:spacing w:after="0" w:line="156"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Assets and Liabilities</w:t>
            </w:r>
          </w:p>
        </w:tc>
        <w:tc>
          <w:tcPr>
            <w:tcW w:w="2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19,112</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20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21,392</w:t>
            </w:r>
          </w:p>
        </w:tc>
        <w:tc>
          <w:tcPr>
            <w:tcW w:w="200" w:type="dxa"/>
            <w:vAlign w:val="bottom"/>
            <w:shd w:val="clear" w:color="auto" w:fill="CCEEFF"/>
          </w:tcPr>
          <w:p>
            <w:pPr>
              <w:spacing w:after="0"/>
              <w:rPr>
                <w:sz w:val="18"/>
                <w:szCs w:val="18"/>
                <w:color w:val="auto"/>
              </w:rPr>
            </w:pPr>
          </w:p>
        </w:tc>
      </w:tr>
    </w:tbl>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gridSpan w:val="8"/>
          </w:tcPr>
          <w:p>
            <w:pPr>
              <w:jc w:val="center"/>
              <w:ind w:right="240"/>
              <w:spacing w:after="0" w:line="156"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expense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Sublease income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expense</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(1)  Includes short-term leases and variable lease costs, which are immaterial.</w:t>
            </w: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Operating cash outflows from operating leases, net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4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5"/>
              </w:rPr>
              <w:t>4.18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0" w:firstLine="551"/>
        <w:spacing w:after="0" w:line="261" w:lineRule="auto"/>
        <w:rPr>
          <w:sz w:val="20"/>
          <w:szCs w:val="20"/>
          <w:color w:val="auto"/>
        </w:rPr>
      </w:pPr>
      <w:r>
        <w:rPr>
          <w:rFonts w:ascii="Times New Roman" w:cs="Times New Roman" w:eastAsia="Times New Roman" w:hAnsi="Times New Roman"/>
          <w:sz w:val="18"/>
          <w:szCs w:val="18"/>
          <w:color w:val="auto"/>
        </w:rPr>
        <w:t>The Company’s lease arrangements that have not yet commenced as of December 31, 2020 and the Company’s short-term lease costs and variable lease costs, for the year ended December 31, 2020 are not material to the consolidated financial statements. The future lease payments required for leases that have initial or remaining non-cancelable lease terms in excess of one year as of December 31, 2020, excluding property taxes and insurance,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 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31"/>
              <w:spacing w:after="0" w:line="156"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Year:</w:t>
            </w:r>
          </w:p>
        </w:tc>
        <w:tc>
          <w:tcPr>
            <w:tcW w:w="4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2021</w:t>
            </w:r>
          </w:p>
        </w:tc>
        <w:tc>
          <w:tcPr>
            <w:tcW w:w="296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9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9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9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9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23"/>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14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2" w:right="5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ind w:left="120" w:right="80" w:firstLine="551"/>
        <w:spacing w:after="0" w:line="258" w:lineRule="auto"/>
        <w:rPr>
          <w:sz w:val="20"/>
          <w:szCs w:val="20"/>
          <w:color w:val="auto"/>
        </w:rPr>
      </w:pPr>
      <w:r>
        <w:rPr>
          <w:rFonts w:ascii="Times New Roman" w:cs="Times New Roman" w:eastAsia="Times New Roman" w:hAnsi="Times New Roman"/>
          <w:sz w:val="18"/>
          <w:szCs w:val="18"/>
          <w:color w:val="auto"/>
        </w:rPr>
        <w:t xml:space="preserve">On January 1, 2018, the Company adopted ASU No. 2014-09 “Revenue from Contracts with Customers (Topic 606)” and all subsequent ASUs that modified Topic 606. As stated in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implementation of the new standard did not have a material impact on the measurement or recognition of revenue; as such, a cumulative effect adjustment to opening retained earnings was not deemed necessary. Results for reporting periods beginning after January 1, 2018 are presented under Topic 606, while prior period amounts were not adjusted and continue to be reported in accordance with our historic accounting under Topic 605.</w:t>
      </w:r>
    </w:p>
    <w:p>
      <w:pPr>
        <w:spacing w:after="0" w:line="143" w:lineRule="exact"/>
        <w:rPr>
          <w:sz w:val="20"/>
          <w:szCs w:val="20"/>
          <w:color w:val="auto"/>
        </w:rPr>
      </w:pPr>
    </w:p>
    <w:p>
      <w:pPr>
        <w:ind w:left="120" w:firstLine="551"/>
        <w:spacing w:after="0" w:line="270" w:lineRule="auto"/>
        <w:rPr>
          <w:sz w:val="20"/>
          <w:szCs w:val="20"/>
          <w:color w:val="auto"/>
        </w:rPr>
      </w:pPr>
      <w:r>
        <w:rPr>
          <w:rFonts w:ascii="Times New Roman" w:cs="Times New Roman" w:eastAsia="Times New Roman" w:hAnsi="Times New Roman"/>
          <w:sz w:val="17"/>
          <w:szCs w:val="17"/>
          <w:color w:val="auto"/>
        </w:rPr>
        <w:t>Topic 606 does not apply to revenue associated with financial instruments, including revenue from loans and securities. In addition, certain noninterest income streams such as fees associated with mortgage servicing rights, financial guarantees, derivatives, and certain credit card fees are also not in scope of the new guidance. Topic 606 is applicable to noninterest revenue streams such as trust and asset management income, deposit related fees, interchange fees, and merchant income. However, the recognition of these revenue streams did not change significantly upon adoption of Topic</w:t>
      </w:r>
    </w:p>
    <w:p>
      <w:pPr>
        <w:spacing w:after="0" w:line="3" w:lineRule="exact"/>
        <w:rPr>
          <w:sz w:val="20"/>
          <w:szCs w:val="20"/>
          <w:color w:val="auto"/>
        </w:rPr>
      </w:pPr>
    </w:p>
    <w:p>
      <w:pPr>
        <w:ind w:left="120" w:right="320" w:hanging="4"/>
        <w:spacing w:after="0" w:line="260" w:lineRule="auto"/>
        <w:tabs>
          <w:tab w:leader="none" w:pos="4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revenue is generated from contracts with customers. Noninterest revenue streams in-scope of Topic 606 are discussed below.</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Trust and Investment Services</w:t>
      </w:r>
    </w:p>
    <w:p>
      <w:pPr>
        <w:spacing w:after="0" w:line="187" w:lineRule="exact"/>
        <w:rPr>
          <w:sz w:val="20"/>
          <w:szCs w:val="20"/>
          <w:color w:val="auto"/>
        </w:rPr>
      </w:pPr>
    </w:p>
    <w:p>
      <w:pPr>
        <w:ind w:left="120" w:right="20" w:firstLine="551"/>
        <w:spacing w:after="0" w:line="274" w:lineRule="auto"/>
        <w:rPr>
          <w:sz w:val="20"/>
          <w:szCs w:val="20"/>
          <w:color w:val="auto"/>
        </w:rPr>
      </w:pPr>
      <w:r>
        <w:rPr>
          <w:rFonts w:ascii="Times New Roman" w:cs="Times New Roman" w:eastAsia="Times New Roman" w:hAnsi="Times New Roman"/>
          <w:sz w:val="17"/>
          <w:szCs w:val="17"/>
          <w:color w:val="auto"/>
        </w:rPr>
        <w:t>Trust and asset management income is primarily comprised of fees earned from the management and administration of trusts and customer assets. The Company’s performance obligation is generally satisfied over time and the resulting fees are recognized monthly, based upon the monthly market value of the assets under management and the applicable fee rate. Payment is generally received at month end through a direct charge to customers’ accounts. The Company does not earn performance-based incentives. Other services related to real estate and tax return preparation services are also provided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73" w:lineRule="exact"/>
        <w:rPr>
          <w:sz w:val="20"/>
          <w:szCs w:val="20"/>
          <w:color w:val="auto"/>
        </w:rPr>
      </w:pPr>
    </w:p>
    <w:p>
      <w:pPr>
        <w:ind w:left="120" w:right="100" w:firstLine="551"/>
        <w:spacing w:after="0" w:line="261" w:lineRule="auto"/>
        <w:rPr>
          <w:sz w:val="20"/>
          <w:szCs w:val="20"/>
          <w:color w:val="auto"/>
        </w:rPr>
      </w:pPr>
      <w:r>
        <w:rPr>
          <w:rFonts w:ascii="Times New Roman" w:cs="Times New Roman" w:eastAsia="Times New Roman" w:hAnsi="Times New Roman"/>
          <w:sz w:val="18"/>
          <w:szCs w:val="18"/>
          <w:color w:val="auto"/>
        </w:rPr>
        <w:t>Wealth Management contracts with customers have no clauses that would entitle customers to additional services. Fees are generally earned based on market value of assets under management (AUM) and miscellaneous fees are transaction driven and are charged based on an agreed upon fee schedule. Performance obligation is satisfied upon execution of the transaction and there is no need to allocate transaction price to the performance obligation(s) in the contract. Wealth Management customers can also terminate the contract at will.</w:t>
      </w:r>
    </w:p>
    <w:p>
      <w:pPr>
        <w:spacing w:after="0" w:line="112" w:lineRule="exact"/>
        <w:rPr>
          <w:sz w:val="20"/>
          <w:szCs w:val="20"/>
          <w:color w:val="auto"/>
        </w:rPr>
      </w:pPr>
    </w:p>
    <w:p>
      <w:pPr>
        <w:ind w:left="120" w:firstLine="551"/>
        <w:spacing w:after="0" w:line="266" w:lineRule="auto"/>
        <w:rPr>
          <w:sz w:val="20"/>
          <w:szCs w:val="20"/>
          <w:color w:val="auto"/>
        </w:rPr>
      </w:pPr>
      <w:r>
        <w:rPr>
          <w:rFonts w:ascii="Times New Roman" w:cs="Times New Roman" w:eastAsia="Times New Roman" w:hAnsi="Times New Roman"/>
          <w:sz w:val="18"/>
          <w:szCs w:val="18"/>
          <w:color w:val="auto"/>
        </w:rPr>
        <w:t>For Investment Services, the fees are earned based on services performed for customers as provided through an affiliated broker-dealer. Fees are earned from gross dealer commission based on trade date. Performance obligation is satisfied upon execution of the transaction and there is no need to allocate transaction price to the performance obligation(s) in the contract.</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Deposit-related Fees</w:t>
      </w:r>
    </w:p>
    <w:p>
      <w:pPr>
        <w:spacing w:after="0" w:line="200" w:lineRule="exact"/>
        <w:rPr>
          <w:sz w:val="20"/>
          <w:szCs w:val="20"/>
          <w:color w:val="auto"/>
        </w:rPr>
      </w:pPr>
    </w:p>
    <w:p>
      <w:pPr>
        <w:jc w:val="both"/>
        <w:ind w:left="120" w:right="40" w:firstLine="551"/>
        <w:spacing w:after="0" w:line="258" w:lineRule="auto"/>
        <w:rPr>
          <w:sz w:val="20"/>
          <w:szCs w:val="20"/>
          <w:color w:val="auto"/>
        </w:rPr>
      </w:pPr>
      <w:r>
        <w:rPr>
          <w:rFonts w:ascii="Times New Roman" w:cs="Times New Roman" w:eastAsia="Times New Roman" w:hAnsi="Times New Roman"/>
          <w:sz w:val="18"/>
          <w:szCs w:val="18"/>
          <w:color w:val="auto"/>
        </w:rPr>
        <w:t>Service charges on deposit accounts consist of account analysis fees earned on analyzed business checking accounts, monthly service fees, and other deposit account related fees. The Company’s performance obligation for account analysis fees and monthly service fees is generally satisfied, and the related revenue recognized, over the period in which the service is provided.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60"/>
          </w:cols>
          <w:pgMar w:left="320" w:top="482" w:right="51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Bankcard Services</w:t>
      </w:r>
    </w:p>
    <w:p>
      <w:pPr>
        <w:spacing w:after="0" w:line="200" w:lineRule="exact"/>
        <w:rPr>
          <w:sz w:val="20"/>
          <w:szCs w:val="20"/>
          <w:color w:val="auto"/>
        </w:rPr>
      </w:pPr>
    </w:p>
    <w:p>
      <w:pPr>
        <w:ind w:left="120" w:right="80" w:firstLine="551"/>
        <w:spacing w:after="0" w:line="258" w:lineRule="auto"/>
        <w:rPr>
          <w:sz w:val="20"/>
          <w:szCs w:val="20"/>
          <w:color w:val="auto"/>
        </w:rPr>
      </w:pPr>
      <w:r>
        <w:rPr>
          <w:rFonts w:ascii="Times New Roman" w:cs="Times New Roman" w:eastAsia="Times New Roman" w:hAnsi="Times New Roman"/>
          <w:sz w:val="18"/>
          <w:szCs w:val="18"/>
          <w:color w:val="auto"/>
        </w:rPr>
        <w:t>The Bank generates revenues from merchant servicing to its clients. A fee schedule is part of the contract and is calculated based on sales of merchants on a monthly basis. There is no future promise or claim to deliver services as merchant fees are based on monthly merchant transactions. The Company’s performance obligations are largely satisfied, and related revenue recognized, when the services are rendered or upon completion. Payment is typically received immediately or in the following month. Therefore, the new revenue standard has no impact on revenues generated from bankcard services.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noninterest income, segregated by revenue streams in-scope and out-of-scope of Topic 606, for the periods presented.</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19"/>
                <w:szCs w:val="19"/>
                <w:color w:val="auto"/>
              </w:rPr>
            </w:pPr>
          </w:p>
        </w:tc>
      </w:tr>
      <w:tr>
        <w:trPr>
          <w:trHeight w:val="196"/>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In-scope of Topic </w:t>
            </w:r>
            <w:r>
              <w:rPr>
                <w:rFonts w:ascii="Times New Roman" w:cs="Times New Roman" w:eastAsia="Times New Roman" w:hAnsi="Times New Roman"/>
                <w:sz w:val="18"/>
                <w:szCs w:val="18"/>
                <w:color w:val="auto"/>
              </w:rPr>
              <w:t>606:</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16,561</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20,010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17,070</w:t>
            </w:r>
          </w:p>
        </w:tc>
      </w:tr>
      <w:tr>
        <w:trPr>
          <w:trHeight w:val="216"/>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Trust and investment services</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9,978</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9,525</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8,774</w:t>
            </w:r>
          </w:p>
        </w:tc>
      </w:tr>
      <w:tr>
        <w:trPr>
          <w:trHeight w:val="216"/>
        </w:trPr>
        <w:tc>
          <w:tcPr>
            <w:tcW w:w="6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Bankcard services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1,886</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3,163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3,485</w:t>
            </w:r>
          </w:p>
        </w:tc>
      </w:tr>
      <w:tr>
        <w:trPr>
          <w:trHeight w:val="216"/>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Gain on OREO, net</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3,546</w:t>
            </w:r>
          </w:p>
        </w:tc>
      </w:tr>
      <w:tr>
        <w:trPr>
          <w:trHeight w:val="216"/>
        </w:trPr>
        <w:tc>
          <w:tcPr>
            <w:tcW w:w="6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11,277</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9,951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6,588</w:t>
            </w:r>
          </w:p>
        </w:tc>
      </w:tr>
      <w:tr>
        <w:trPr>
          <w:trHeight w:val="223"/>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Noninterest Income (in-scope of Topic 606)</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40,090</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42,778</w:t>
            </w:r>
          </w:p>
        </w:tc>
        <w:tc>
          <w:tcPr>
            <w:tcW w:w="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39,463</w:t>
            </w:r>
          </w:p>
        </w:tc>
        <w:tc>
          <w:tcPr>
            <w:tcW w:w="60" w:type="dxa"/>
            <w:vAlign w:val="bottom"/>
          </w:tcPr>
          <w:p>
            <w:pPr>
              <w:spacing w:after="0"/>
              <w:rPr>
                <w:sz w:val="19"/>
                <w:szCs w:val="19"/>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Noninterest Income (out-of-scope of Topic 606)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9,780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16,264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4,018</w:t>
            </w:r>
          </w:p>
        </w:tc>
      </w:tr>
      <w:tr>
        <w:trPr>
          <w:trHeight w:val="223"/>
        </w:trPr>
        <w:tc>
          <w:tcPr>
            <w:tcW w:w="60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49,870</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59,042</w:t>
            </w: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43,481</w:t>
            </w:r>
          </w:p>
        </w:tc>
        <w:tc>
          <w:tcPr>
            <w:tcW w:w="6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187" w:lineRule="exact"/>
        <w:rPr>
          <w:sz w:val="20"/>
          <w:szCs w:val="20"/>
          <w:color w:val="auto"/>
        </w:rPr>
      </w:pPr>
    </w:p>
    <w:p>
      <w:pPr>
        <w:ind w:left="120" w:right="100" w:firstLine="551"/>
        <w:spacing w:after="0" w:line="258" w:lineRule="auto"/>
        <w:rPr>
          <w:sz w:val="20"/>
          <w:szCs w:val="20"/>
          <w:color w:val="auto"/>
        </w:rPr>
      </w:pPr>
      <w:r>
        <w:rPr>
          <w:rFonts w:ascii="Times New Roman" w:cs="Times New Roman" w:eastAsia="Times New Roman" w:hAnsi="Times New Roman"/>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82" w:right="4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PARENT COMPANY</w:t>
      </w:r>
    </w:p>
    <w:p>
      <w:pPr>
        <w:spacing w:after="0" w:line="202" w:lineRule="exact"/>
        <w:rPr>
          <w:sz w:val="20"/>
          <w:szCs w:val="20"/>
          <w:color w:val="auto"/>
        </w:rPr>
      </w:pPr>
    </w:p>
    <w:p>
      <w:pPr>
        <w:ind w:left="120" w:right="6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parent company only condensed balance sheets, condensed statements of earnings and condensed statements of cash flows for the periods presented.</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CVB FINANCIAL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7"/>
          </w:tcPr>
          <w:p>
            <w:pPr>
              <w:ind w:left="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w w:val="99"/>
              </w:rPr>
              <w:t>1,990,166</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2,003,692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net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68,679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42,070</w:t>
            </w:r>
          </w:p>
        </w:tc>
        <w:tc>
          <w:tcPr>
            <w:tcW w:w="40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2,058,845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2,045,762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50,855</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51,664</w:t>
            </w:r>
          </w:p>
        </w:tc>
        <w:tc>
          <w:tcPr>
            <w:tcW w:w="40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w w:val="99"/>
              </w:rPr>
              <w:t>2,007,990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1,994,098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2,058,845</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2,045,762</w:t>
            </w:r>
          </w:p>
        </w:tc>
        <w:tc>
          <w:tcPr>
            <w:tcW w:w="40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520" w:type="dxa"/>
            <w:vAlign w:val="bottom"/>
            <w:vMerge w:val="restart"/>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8"/>
              </w:rPr>
              <w:t>CVB FINANCIAL CORP.</w:t>
            </w: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32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60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CONDENSED STATEMENTS OF EARNINGS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3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earnings of subsidiaries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(34,936)</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107,185</w:t>
            </w:r>
          </w:p>
        </w:tc>
        <w:tc>
          <w:tcPr>
            <w:tcW w:w="40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78,601</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from the Bank</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217,000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4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23"/>
        </w:trPr>
        <w:tc>
          <w:tcPr>
            <w:tcW w:w="6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177,159</w:t>
            </w:r>
          </w:p>
        </w:tc>
        <w:tc>
          <w:tcPr>
            <w:tcW w:w="14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207,827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jc w:val="center"/>
              <w:ind w:left="4070"/>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CVB FINANCIAL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r>
      <w:tr>
        <w:trPr>
          <w:trHeight w:val="142"/>
        </w:trPr>
        <w:tc>
          <w:tcPr>
            <w:tcW w:w="7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177,159</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207,827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152,003</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cash used in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Earnings of subsidiaries</w:t>
            </w: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(182,064)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9"/>
              </w:rPr>
              <w:t>(213,185)</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(156,401)</w:t>
            </w:r>
          </w:p>
        </w:tc>
      </w:tr>
      <w:tr>
        <w:trPr>
          <w:trHeight w:val="216"/>
        </w:trPr>
        <w:tc>
          <w:tcPr>
            <w:tcW w:w="7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Tax settlement received from the Bank</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3,508</w:t>
            </w:r>
          </w:p>
        </w:tc>
      </w:tr>
      <w:tr>
        <w:trPr>
          <w:trHeight w:val="216"/>
        </w:trPr>
        <w:tc>
          <w:tcPr>
            <w:tcW w:w="7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(2,052)</w:t>
            </w:r>
          </w:p>
        </w:tc>
      </w:tr>
      <w:tr>
        <w:trPr>
          <w:trHeight w:val="230"/>
        </w:trPr>
        <w:tc>
          <w:tcPr>
            <w:tcW w:w="7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adjustments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(178,553)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(209,046)</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(154,945)</w:t>
            </w:r>
          </w:p>
        </w:tc>
        <w:tc>
          <w:tcPr>
            <w:tcW w:w="120" w:type="dxa"/>
            <w:vAlign w:val="bottom"/>
          </w:tcPr>
          <w:p>
            <w:pPr>
              <w:spacing w:after="0"/>
              <w:rPr>
                <w:sz w:val="20"/>
                <w:szCs w:val="20"/>
                <w:color w:val="auto"/>
              </w:rPr>
            </w:pPr>
          </w:p>
        </w:tc>
      </w:tr>
      <w:tr>
        <w:trPr>
          <w:trHeight w:val="216"/>
        </w:trPr>
        <w:tc>
          <w:tcPr>
            <w:tcW w:w="7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(2,942)</w:t>
            </w: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received from the Bank</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217,000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106,000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77,800</w:t>
            </w:r>
          </w:p>
        </w:tc>
      </w:tr>
      <w:tr>
        <w:trPr>
          <w:trHeight w:val="230"/>
        </w:trPr>
        <w:tc>
          <w:tcPr>
            <w:tcW w:w="7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77,800</w:t>
            </w:r>
          </w:p>
        </w:tc>
        <w:tc>
          <w:tcPr>
            <w:tcW w:w="12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(98,475)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(95,352)</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(65,966)</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(92,772)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(7,760)</w:t>
            </w:r>
          </w:p>
        </w:tc>
      </w:tr>
      <w:tr>
        <w:trPr>
          <w:trHeight w:val="27"/>
        </w:trPr>
        <w:tc>
          <w:tcPr>
            <w:tcW w:w="7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(191,016)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(95,777)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(72,025)</w:t>
            </w: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31,054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22,050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19,217</w:t>
            </w: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31,054</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2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6" w:lineRule="exact"/>
        <w:rPr>
          <w:sz w:val="20"/>
          <w:szCs w:val="20"/>
          <w:color w:val="auto"/>
        </w:rPr>
      </w:pPr>
    </w:p>
    <w:p>
      <w:pPr>
        <w:ind w:left="660" w:hanging="544"/>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w:t>
      </w:r>
    </w:p>
    <w:p>
      <w:pPr>
        <w:spacing w:after="0" w:line="20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our unaudited, quarterly results for the periods indicated.</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9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40" w:type="dxa"/>
            <w:vAlign w:val="bottom"/>
          </w:tcPr>
          <w:p>
            <w:pPr>
              <w:spacing w:after="0"/>
              <w:rPr>
                <w:sz w:val="19"/>
                <w:szCs w:val="19"/>
                <w:color w:val="auto"/>
              </w:rPr>
            </w:pPr>
          </w:p>
        </w:tc>
      </w:tr>
      <w:tr>
        <w:trPr>
          <w:trHeight w:val="196"/>
        </w:trPr>
        <w:tc>
          <w:tcPr>
            <w:tcW w:w="3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80" w:type="dxa"/>
            <w:vAlign w:val="bottom"/>
            <w:gridSpan w:val="4"/>
          </w:tcPr>
          <w:p>
            <w:pPr>
              <w:jc w:val="right"/>
              <w:ind w:right="11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105,853</w:t>
            </w: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103,325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104,569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102,306</w:t>
            </w: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50,056</w:t>
            </w:r>
          </w:p>
        </w:tc>
        <w:tc>
          <w:tcPr>
            <w:tcW w:w="72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47,492</w:t>
            </w:r>
          </w:p>
        </w:tc>
        <w:tc>
          <w:tcPr>
            <w:tcW w:w="40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41,631</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37,980</w:t>
            </w: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0.35</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0.31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72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0.35</w:t>
            </w:r>
          </w:p>
        </w:tc>
        <w:tc>
          <w:tcPr>
            <w:tcW w:w="40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0.31</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107,020</w:t>
            </w: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108,159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111,057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109,536</w:t>
            </w: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1,500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51,281</w:t>
            </w:r>
          </w:p>
        </w:tc>
        <w:tc>
          <w:tcPr>
            <w:tcW w:w="72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50,423</w:t>
            </w:r>
          </w:p>
        </w:tc>
        <w:tc>
          <w:tcPr>
            <w:tcW w:w="40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54,481</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51,642</w:t>
            </w: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0.36</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0.39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r>
      <w:tr>
        <w:trPr>
          <w:trHeight w:val="234"/>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72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0.36</w:t>
            </w:r>
          </w:p>
        </w:tc>
        <w:tc>
          <w:tcPr>
            <w:tcW w:w="40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0.39</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r>
      <w:tr>
        <w:trPr>
          <w:trHeight w:val="346"/>
        </w:trPr>
        <w:tc>
          <w:tcPr>
            <w:tcW w:w="3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155</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CVB Financial Corp. and subsidiaries (the Company) as of December 31, 2020 and 2019, the related consolidated statements of earnings and comprehensive income, stockholders’ equity,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160"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Times New Roman" w:cs="Times New Roman" w:eastAsia="Times New Roman" w:hAnsi="Times New Roman"/>
          <w:sz w:val="17"/>
          <w:szCs w:val="17"/>
          <w:i w:val="1"/>
          <w:iCs w:val="1"/>
          <w:color w:val="auto"/>
        </w:rPr>
        <w:t>Internal Control – Integrated Framework</w:t>
      </w:r>
    </w:p>
    <w:p>
      <w:pPr>
        <w:spacing w:after="0" w:line="1" w:lineRule="exact"/>
        <w:rPr>
          <w:sz w:val="20"/>
          <w:szCs w:val="20"/>
          <w:color w:val="auto"/>
        </w:rPr>
      </w:pPr>
    </w:p>
    <w:p>
      <w:pPr>
        <w:ind w:left="120" w:right="74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and our report dated March 1, 2021 expressed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unqualified opinion on the effectiveness of the Company’s internal control over financial reporting.</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has changed its method of accounting for the recognition and measurement of credit losses as of January 1, 2020 due to the adoption of ASU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60"/>
          </w:cols>
          <w:pgMar w:left="320" w:top="482" w:right="51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ind w:left="560" w:right="80"/>
        <w:spacing w:after="0" w:line="284" w:lineRule="auto"/>
        <w:rPr>
          <w:sz w:val="20"/>
          <w:szCs w:val="20"/>
          <w:color w:val="auto"/>
        </w:rPr>
      </w:pPr>
      <w:r>
        <w:rPr>
          <w:rFonts w:ascii="Times New Roman" w:cs="Times New Roman" w:eastAsia="Times New Roman" w:hAnsi="Times New Roman"/>
          <w:sz w:val="18"/>
          <w:szCs w:val="18"/>
          <w:i w:val="1"/>
          <w:iCs w:val="1"/>
          <w:color w:val="auto"/>
        </w:rPr>
        <w:t>Assessment of the allowance for credit losses for loans evaluated on a collective basis using the Commercial and Industrial and Commercial Real Estate methodologies</w:t>
      </w:r>
    </w:p>
    <w:p>
      <w:pPr>
        <w:spacing w:after="0" w:line="52" w:lineRule="exact"/>
        <w:rPr>
          <w:sz w:val="20"/>
          <w:szCs w:val="20"/>
          <w:color w:val="auto"/>
        </w:rPr>
      </w:pPr>
    </w:p>
    <w:p>
      <w:pPr>
        <w:ind w:left="560" w:right="80"/>
        <w:spacing w:after="0" w:line="268" w:lineRule="auto"/>
        <w:rPr>
          <w:sz w:val="20"/>
          <w:szCs w:val="20"/>
          <w:color w:val="auto"/>
        </w:rPr>
      </w:pPr>
      <w:r>
        <w:rPr>
          <w:rFonts w:ascii="Times New Roman" w:cs="Times New Roman" w:eastAsia="Times New Roman" w:hAnsi="Times New Roman"/>
          <w:sz w:val="17"/>
          <w:szCs w:val="17"/>
          <w:color w:val="auto"/>
        </w:rPr>
        <w:t>As discussed in Note 3 and Note 6 to the consolidated financial statements, the Company adopted ASU No. 2016-13, Financial Instruments – Credit Losses (ASC Topic 326), as of January 1, 2020. The total allowance for credit losses as of January 1, 2020 and December 31, 2020 was $70.5 million and $93.7 million, respectively, a substantial portion of both which relates to the allowance for credit losses on loans evaluated on a collective basis using both the commercial and industrial and commercial real estate methodologies (the January 1, 2020 commercial collective ACL and the December 31, 2020 commercial collective ACL, respectively, together the commercial collective ACL). The commercial collective ACL includes the measure of expected credit losses on a collective basis by pooling those loans that share similar risk characteristics into segments. The commercial collective ACL methodologies include an estimation framework that uses loss experiences of data sets of unique loans to derive lifetime loss rates at the pool level during the average life, inclusive of prepayments. The methodologies to estimate the commercial collective ACL is largely driven by portfolio characteristics, including loss history, original loan-to-value ratios, risk grading, and macroeconomic variables and the associated economic outlook. The commercial collective ACL incorporates a reasonable and supportable forecast of various macro-economic variables over the remaining average life of the loan. The forecast incorporates an assumption that each macro-economic variable will revert to a long-term expectation, starting in years 2-3, of the reasonable and supportable forecast period, with the reversion largely completed within the first five years of the forecast. The commercial collective ACL methodologies incorporate unique macroeconomic variables based on risk drivers to the underlying portfolios. The Company reviews current conditions and forecasts to determine whether adjustments are needed to ensure that the life of loan loss rates reflect both the current state of the portfolio, and expectations for macroeconomic changes.</w:t>
      </w:r>
    </w:p>
    <w:p>
      <w:pPr>
        <w:spacing w:after="0" w:line="74"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We identified the assessment of the January 1, 2020 commercial collective ACL and the December 31, 2020 commercial collective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commercial collective ACL methodologies, including the methods used to estimate lifetime loss rates and their key assumptions: portfolio segmentation, prepayments, the economic forecast scenarios and their weightings and macroeconomic variables, the length of the reasonable and supportable forecast periods, and risk grading (for the commercial and industrial methodology). The assessment also included the evaluation of the adjustments performed to align the life of loan loss rates with the current state of the portfolio. In addition, auditor judgment was required to evaluate the sufficiency of audit evidence obtained.</w:t>
      </w:r>
    </w:p>
    <w:p>
      <w:pPr>
        <w:spacing w:after="0" w:line="84" w:lineRule="exact"/>
        <w:rPr>
          <w:sz w:val="20"/>
          <w:szCs w:val="20"/>
          <w:color w:val="auto"/>
        </w:rPr>
      </w:pPr>
    </w:p>
    <w:p>
      <w:pPr>
        <w:ind w:left="560" w:right="24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measurement of the commercial collective ACL estimates, including controls over the:</w:t>
      </w:r>
    </w:p>
    <w:p>
      <w:pPr>
        <w:spacing w:after="0" w:line="81" w:lineRule="exact"/>
        <w:rPr>
          <w:sz w:val="20"/>
          <w:szCs w:val="20"/>
          <w:color w:val="auto"/>
        </w:rPr>
      </w:pPr>
    </w:p>
    <w:p>
      <w:pPr>
        <w:ind w:left="1540" w:hanging="439"/>
        <w:spacing w:after="0"/>
        <w:tabs>
          <w:tab w:leader="none" w:pos="1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the commercial collective ACL methodologies</w:t>
      </w:r>
    </w:p>
    <w:p>
      <w:pPr>
        <w:spacing w:after="0" w:line="2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the lifetime loss rate methodologies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monitoring of the lifetime loss rate methodologies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determination of the key assumptions used in the lifetime loss rate methodologies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82"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the adjustments performed to align the life of loan loss rates with the current state of the portfolio</w:t>
      </w:r>
    </w:p>
    <w:p>
      <w:pPr>
        <w:spacing w:after="0" w:line="2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the commercial collective ACL results, trends, and ratios.</w:t>
      </w:r>
    </w:p>
    <w:p>
      <w:pPr>
        <w:spacing w:after="0" w:line="99" w:lineRule="exact"/>
        <w:rPr>
          <w:sz w:val="20"/>
          <w:szCs w:val="20"/>
          <w:color w:val="auto"/>
        </w:rPr>
      </w:pPr>
    </w:p>
    <w:p>
      <w:pPr>
        <w:jc w:val="both"/>
        <w:ind w:left="560" w:right="680"/>
        <w:spacing w:after="0" w:line="266" w:lineRule="auto"/>
        <w:rPr>
          <w:sz w:val="20"/>
          <w:szCs w:val="20"/>
          <w:color w:val="auto"/>
        </w:rPr>
      </w:pPr>
      <w:r>
        <w:rPr>
          <w:rFonts w:ascii="Times New Roman" w:cs="Times New Roman" w:eastAsia="Times New Roman" w:hAnsi="Times New Roman"/>
          <w:sz w:val="18"/>
          <w:szCs w:val="18"/>
          <w:color w:val="auto"/>
        </w:rPr>
        <w:t>We evaluated the Company’s process to develop the commercial collective ACL estimates by testing certain sources of data, factors, and assumptions used, and considered the relevance and reliability of such data, factors, and assumptions. In addition, we involved credit risk professionals with specialized skills and knowledge, who assisted in:</w:t>
      </w:r>
    </w:p>
    <w:p>
      <w:pPr>
        <w:spacing w:after="0" w:line="81" w:lineRule="exact"/>
        <w:rPr>
          <w:sz w:val="20"/>
          <w:szCs w:val="20"/>
          <w:color w:val="auto"/>
        </w:rPr>
      </w:pPr>
    </w:p>
    <w:p>
      <w:pPr>
        <w:ind w:left="1540" w:hanging="439"/>
        <w:spacing w:after="0"/>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commercial collective ACL methodologies for compliance with U.S. generally accepted accounting principles</w:t>
      </w:r>
    </w:p>
    <w:p>
      <w:pPr>
        <w:spacing w:after="0" w:line="27" w:lineRule="exact"/>
        <w:rPr>
          <w:rFonts w:ascii="Times New Roman" w:cs="Times New Roman" w:eastAsia="Times New Roman" w:hAnsi="Times New Roman"/>
          <w:sz w:val="18"/>
          <w:szCs w:val="18"/>
          <w:color w:val="auto"/>
        </w:rPr>
      </w:pPr>
    </w:p>
    <w:p>
      <w:pPr>
        <w:ind w:left="1540" w:right="460" w:hanging="439"/>
        <w:spacing w:after="0" w:line="250"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judgments made relative to the development and performance monitoring of the lifetime loss rate methodologies, including prepayments, by comparing them to Company-specific metrics and trends and the applicable industry and regulatory guidance</w:t>
      </w:r>
    </w:p>
    <w:p>
      <w:pPr>
        <w:spacing w:after="0" w:line="1" w:lineRule="exact"/>
        <w:rPr>
          <w:rFonts w:ascii="Times New Roman" w:cs="Times New Roman" w:eastAsia="Times New Roman" w:hAnsi="Times New Roman"/>
          <w:sz w:val="18"/>
          <w:szCs w:val="18"/>
          <w:color w:val="auto"/>
        </w:rPr>
      </w:pPr>
    </w:p>
    <w:p>
      <w:pPr>
        <w:ind w:left="1540" w:right="360" w:hanging="439"/>
        <w:spacing w:after="0" w:line="250"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conceptual soundness and performance of the lifetime loss rate methodologies, including their key assumptions, to determine whether the methodologies were suitable for their intended use</w:t>
      </w:r>
    </w:p>
    <w:p>
      <w:pPr>
        <w:ind w:left="1540" w:hanging="439"/>
        <w:spacing w:after="0" w:line="250"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weighted economic forecast scenarios and underlying assumptions driving the macroeconomic variable changes, including the determination of the reasonable and supportable forecast period and weightings used by comparing it to the Company’s business environment and relevant industry practice</w:t>
      </w:r>
    </w:p>
    <w:p>
      <w:pPr>
        <w:spacing w:after="0" w:line="1" w:lineRule="exact"/>
        <w:rPr>
          <w:rFonts w:ascii="Times New Roman" w:cs="Times New Roman" w:eastAsia="Times New Roman" w:hAnsi="Times New Roman"/>
          <w:sz w:val="18"/>
          <w:szCs w:val="18"/>
          <w:color w:val="auto"/>
        </w:rPr>
      </w:pPr>
    </w:p>
    <w:p>
      <w:pPr>
        <w:ind w:left="1540" w:right="840" w:hanging="439"/>
        <w:spacing w:after="0" w:line="250"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 loan portfolio is segmented by similar risk characteristics by comparing to specific portfolio risk characteristics and trends</w:t>
      </w:r>
    </w:p>
    <w:p>
      <w:pPr>
        <w:ind w:left="1540" w:right="460" w:hanging="439"/>
        <w:spacing w:after="0" w:line="250"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individual credit risk ratings for a selection of loans by evaluating the financial performance of the borrower, sources of repayment, and any relevant guarantees or underlying collateral</w:t>
      </w:r>
    </w:p>
    <w:p>
      <w:pPr>
        <w:jc w:val="both"/>
        <w:ind w:left="1540" w:right="160" w:hanging="439"/>
        <w:spacing w:after="0" w:line="255"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methodology used to develop the adjustments and the effect of those adjustments on the commercial collective ACL compared with relevant credit risk factors and consistency with credit trends and identified limitations of the underlying pool level metrics.</w:t>
      </w:r>
    </w:p>
    <w:p>
      <w:pPr>
        <w:spacing w:after="0" w:line="78"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We also assessed the sufficiency of audit evidence obtained related to the January 1, 2020 commercial collective ACL and the December 31, 2020 commercial collective ACL by evaluating the:</w:t>
      </w:r>
    </w:p>
    <w:p>
      <w:pPr>
        <w:spacing w:after="0" w:line="67" w:lineRule="exact"/>
        <w:rPr>
          <w:sz w:val="20"/>
          <w:szCs w:val="20"/>
          <w:color w:val="auto"/>
        </w:rPr>
      </w:pPr>
    </w:p>
    <w:p>
      <w:pPr>
        <w:ind w:left="1540" w:hanging="439"/>
        <w:spacing w:after="0"/>
        <w:tabs>
          <w:tab w:leader="none" w:pos="1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results of the audit procedures</w:t>
      </w:r>
    </w:p>
    <w:p>
      <w:pPr>
        <w:spacing w:after="0" w:line="2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qualitative aspects of the Company’s accounting practices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bias in the accounting estimates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 2021</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82" w:right="45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10.5(b)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7003415" cy="63950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7003415" cy="6395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CVB 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EFERRED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OMPENSATION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Effective Date</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December 1, 2020</w:t>
      </w:r>
    </w:p>
    <w:p>
      <w:pPr>
        <w:sectPr>
          <w:pgSz w:w="11900" w:h="16838" w:orient="portrait"/>
          <w:cols w:equalWidth="0" w:num="1">
            <w:col w:w="10020"/>
          </w:cols>
          <w:pgMar w:left="1440" w:top="117"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w:t>
            </w:r>
          </w:p>
        </w:tc>
        <w:tc>
          <w:tcPr>
            <w:tcW w:w="3800" w:type="dxa"/>
            <w:vAlign w:val="bottom"/>
          </w:tcPr>
          <w:p>
            <w:pPr>
              <w:spacing w:after="0"/>
              <w:rPr>
                <w:sz w:val="19"/>
                <w:szCs w:val="19"/>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Establishment and Purpose</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w:t>
            </w:r>
          </w:p>
        </w:tc>
        <w:tc>
          <w:tcPr>
            <w:tcW w:w="3800" w:type="dxa"/>
            <w:vAlign w:val="bottom"/>
          </w:tcPr>
          <w:p>
            <w:pPr>
              <w:spacing w:after="0"/>
              <w:rPr>
                <w:sz w:val="24"/>
                <w:szCs w:val="24"/>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Definitions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III</w:t>
            </w:r>
          </w:p>
        </w:tc>
        <w:tc>
          <w:tcPr>
            <w:tcW w:w="3800" w:type="dxa"/>
            <w:vAlign w:val="bottom"/>
          </w:tcPr>
          <w:p>
            <w:pPr>
              <w:spacing w:after="0"/>
              <w:rPr>
                <w:sz w:val="24"/>
                <w:szCs w:val="24"/>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Eligibility and Participation</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IV</w:t>
            </w:r>
          </w:p>
        </w:tc>
        <w:tc>
          <w:tcPr>
            <w:tcW w:w="3800" w:type="dxa"/>
            <w:vAlign w:val="bottom"/>
          </w:tcPr>
          <w:p>
            <w:pPr>
              <w:spacing w:after="0"/>
              <w:rPr>
                <w:sz w:val="24"/>
                <w:szCs w:val="24"/>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Deferrals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w:t>
            </w:r>
          </w:p>
        </w:tc>
        <w:tc>
          <w:tcPr>
            <w:tcW w:w="3800" w:type="dxa"/>
            <w:vAlign w:val="bottom"/>
          </w:tcPr>
          <w:p>
            <w:pPr>
              <w:spacing w:after="0"/>
              <w:rPr>
                <w:sz w:val="24"/>
                <w:szCs w:val="24"/>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Contributions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w:t>
            </w:r>
          </w:p>
        </w:tc>
        <w:tc>
          <w:tcPr>
            <w:tcW w:w="3800" w:type="dxa"/>
            <w:vAlign w:val="bottom"/>
          </w:tcPr>
          <w:p>
            <w:pPr>
              <w:spacing w:after="0"/>
              <w:rPr>
                <w:sz w:val="24"/>
                <w:szCs w:val="24"/>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from Accounts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w:t>
            </w:r>
          </w:p>
        </w:tc>
        <w:tc>
          <w:tcPr>
            <w:tcW w:w="3800" w:type="dxa"/>
            <w:vAlign w:val="bottom"/>
          </w:tcPr>
          <w:p>
            <w:pPr>
              <w:spacing w:after="0"/>
              <w:rPr>
                <w:sz w:val="24"/>
                <w:szCs w:val="24"/>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of Account Balances; Investments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VIII</w:t>
            </w:r>
          </w:p>
        </w:tc>
        <w:tc>
          <w:tcPr>
            <w:tcW w:w="3800" w:type="dxa"/>
            <w:vAlign w:val="bottom"/>
          </w:tcPr>
          <w:p>
            <w:pPr>
              <w:spacing w:after="0"/>
              <w:rPr>
                <w:sz w:val="24"/>
                <w:szCs w:val="24"/>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Administration</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IX</w:t>
            </w:r>
          </w:p>
        </w:tc>
        <w:tc>
          <w:tcPr>
            <w:tcW w:w="3800" w:type="dxa"/>
            <w:vAlign w:val="bottom"/>
          </w:tcPr>
          <w:p>
            <w:pPr>
              <w:spacing w:after="0"/>
              <w:rPr>
                <w:sz w:val="24"/>
                <w:szCs w:val="24"/>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and Termination</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w:t>
            </w:r>
          </w:p>
        </w:tc>
        <w:tc>
          <w:tcPr>
            <w:tcW w:w="3800" w:type="dxa"/>
            <w:vAlign w:val="bottom"/>
          </w:tcPr>
          <w:p>
            <w:pPr>
              <w:spacing w:after="0"/>
              <w:rPr>
                <w:sz w:val="24"/>
                <w:szCs w:val="24"/>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Informal Funding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w:t>
            </w:r>
          </w:p>
        </w:tc>
        <w:tc>
          <w:tcPr>
            <w:tcW w:w="3800" w:type="dxa"/>
            <w:vAlign w:val="bottom"/>
          </w:tcPr>
          <w:p>
            <w:pPr>
              <w:spacing w:after="0"/>
              <w:rPr>
                <w:sz w:val="24"/>
                <w:szCs w:val="24"/>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Claims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XII</w:t>
            </w:r>
          </w:p>
        </w:tc>
        <w:tc>
          <w:tcPr>
            <w:tcW w:w="3800" w:type="dxa"/>
            <w:vAlign w:val="bottom"/>
          </w:tcPr>
          <w:p>
            <w:pPr>
              <w:spacing w:after="0"/>
              <w:rPr>
                <w:sz w:val="24"/>
                <w:szCs w:val="24"/>
                <w:color w:val="auto"/>
              </w:rPr>
            </w:pPr>
          </w:p>
        </w:tc>
      </w:tr>
      <w:tr>
        <w:trPr>
          <w:trHeight w:val="234"/>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Provisions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 of 28</w:t>
      </w:r>
    </w:p>
    <w:p>
      <w:pPr>
        <w:sectPr>
          <w:pgSz w:w="11900" w:h="16838" w:orient="portrait"/>
          <w:cols w:equalWidth="0" w:num="1">
            <w:col w:w="11020"/>
          </w:cols>
          <w:pgMar w:left="440" w:top="266"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Establishment and Purpose</w:t>
      </w:r>
    </w:p>
    <w:p>
      <w:pPr>
        <w:spacing w:after="0" w:line="11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CVB Financial Corp. (the “Company”) has adopted this CVB Financial Corp. Deferred Compensation Plan, applicable to Compensation deferred under Compensation Deferral Agreements submitted on and after the Effective Date and Company Contributions credited on or after the Effective Date.</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purpose of the Plan is to attract and retain key employees and non-employee members of the Board of Directors of the Company by providing them with an opportunity to defer receipt of a portion of their salary, bonus, and other specified compensation. The Plan is not intended to meet the qualification requirements of Code Section 401(a), but is intended to meet the requirements of Code Section 409A, and shall be operated and interpreted consistent with that intent.</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Plan constitutes an unsecured promise by a Participating Employer to pay benefits in the future. Participants in the Plan shall have the status of general unsecured creditors of the Company or the Participating Employer, as applicable. Each Participating Employer shall be solely responsible for payment of the benefits attributable to services performed for it. The Plan is unfunded for Federal tax purposes and is intended to be an unfunded arrangement for eligible employees who are part of a select group of management or highly compensated employees of the Employer within the meaning of Sections 201(2), 301(a)(3) and 401(a)(1) of ERISA and independent contractors. Any amounts set aside to defray the liabilities assumed by the Company or a Participating Employer will remain the general assets of the Company or the Participating Employer and shall remain subject to the claims of the Company’s or the Participating Employer’s creditors until such amounts are distributed to the Participants.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33" w:lineRule="exact"/>
        <w:rPr>
          <w:sz w:val="20"/>
          <w:szCs w:val="20"/>
          <w:color w:val="auto"/>
        </w:rPr>
      </w:pPr>
    </w:p>
    <w:p>
      <w:pPr>
        <w:ind w:left="420" w:right="120" w:hanging="431"/>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 xml:space="preserve">Account. </w:t>
      </w:r>
      <w:r>
        <w:rPr>
          <w:rFonts w:ascii="Times New Roman" w:cs="Times New Roman" w:eastAsia="Times New Roman" w:hAnsi="Times New Roman"/>
          <w:sz w:val="18"/>
          <w:szCs w:val="18"/>
          <w:color w:val="auto"/>
        </w:rPr>
        <w:t>Account means a bookkeeping account maintained by the Committee to record the payment obligation of a Participating Employer to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Participant as determined under the terms of the Plan. The Committee may maintain an Account to record the total obligation to a Participant and component Accounts to reflect amounts payable at different times and in different forms. Reference to an Account means any such Account established by the Committee, as the context requires. Accounts are intended to constitute unfunded obligations within the meaning of Sections 201(2), 301(a)(3) and 401(a)(1) of ERISA.</w:t>
      </w:r>
    </w:p>
    <w:p>
      <w:pPr>
        <w:spacing w:after="0" w:line="89" w:lineRule="exact"/>
        <w:rPr>
          <w:sz w:val="20"/>
          <w:szCs w:val="20"/>
          <w:color w:val="auto"/>
        </w:rPr>
      </w:pPr>
    </w:p>
    <w:p>
      <w:pPr>
        <w:ind w:left="420" w:right="1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 xml:space="preserve">Account Balance. </w:t>
      </w:r>
      <w:r>
        <w:rPr>
          <w:rFonts w:ascii="Times New Roman" w:cs="Times New Roman" w:eastAsia="Times New Roman" w:hAnsi="Times New Roman"/>
          <w:sz w:val="18"/>
          <w:szCs w:val="18"/>
          <w:color w:val="auto"/>
        </w:rPr>
        <w:t>Account Balance means, with respect to any Account, the total payment obligation owed to a Participant from such Account as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the most recent Valuation Date.</w:t>
      </w:r>
    </w:p>
    <w:p>
      <w:pPr>
        <w:spacing w:after="0" w:line="67" w:lineRule="exact"/>
        <w:rPr>
          <w:sz w:val="20"/>
          <w:szCs w:val="20"/>
          <w:color w:val="auto"/>
        </w:rPr>
      </w:pPr>
    </w:p>
    <w:p>
      <w:pPr>
        <w:ind w:left="420" w:right="98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 xml:space="preserve">Affiliate. </w:t>
      </w:r>
      <w:r>
        <w:rPr>
          <w:rFonts w:ascii="Times New Roman" w:cs="Times New Roman" w:eastAsia="Times New Roman" w:hAnsi="Times New Roman"/>
          <w:sz w:val="18"/>
          <w:szCs w:val="18"/>
          <w:color w:val="auto"/>
        </w:rPr>
        <w:t>Affiliate means a corporation, trade or business that, together with the Company, is treated as a single employer under Code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Section 414(b) or (c).</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 of 28</w:t>
      </w:r>
    </w:p>
    <w:p>
      <w:pPr>
        <w:sectPr>
          <w:pgSz w:w="11900" w:h="16838" w:orient="portrait"/>
          <w:cols w:equalWidth="0" w:num="1">
            <w:col w:w="11020"/>
          </w:cols>
          <w:pgMar w:left="440" w:top="266"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20" w:right="54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 xml:space="preserve">Beneficiary. </w:t>
      </w:r>
      <w:r>
        <w:rPr>
          <w:rFonts w:ascii="Times New Roman" w:cs="Times New Roman" w:eastAsia="Times New Roman" w:hAnsi="Times New Roman"/>
          <w:sz w:val="18"/>
          <w:szCs w:val="18"/>
          <w:color w:val="auto"/>
        </w:rPr>
        <w:t>Beneficiary means a natural person, estate, or trust designated by a Participant in accordance with Section 6.5 hereof to receive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payments to which a Beneficiary is entitled in accordance with provisions of the Plan.</w:t>
      </w:r>
    </w:p>
    <w:p>
      <w:pPr>
        <w:spacing w:after="0" w:line="67" w:lineRule="exact"/>
        <w:rPr>
          <w:sz w:val="20"/>
          <w:szCs w:val="20"/>
          <w:color w:val="auto"/>
        </w:rPr>
      </w:pPr>
    </w:p>
    <w:p>
      <w:pPr>
        <w:ind w:left="420" w:right="94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Board of Directors means, for a Participating Employer organized as a corporation, its board of directors and for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Participating Employer organized as a limited liability company, its board of managers.</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Business Day means each day on which the New York Stock Exchange is open for business.</w:t>
      </w:r>
    </w:p>
    <w:p>
      <w:pPr>
        <w:spacing w:after="0" w:line="131" w:lineRule="exact"/>
        <w:rPr>
          <w:sz w:val="20"/>
          <w:szCs w:val="20"/>
          <w:color w:val="auto"/>
        </w:rPr>
      </w:pPr>
    </w:p>
    <w:p>
      <w:pPr>
        <w:ind w:left="420" w:right="26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Change in Control means, with respect to a Participating Employer that is organized as a corporation, any of the following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events: (i) a change in the ownership of the Participating Employer, (ii) a change in the effective control of the Participating Employer, or (iii) a change in the ownership of a substantial portion of the assets of the Participating Employer.</w:t>
      </w:r>
    </w:p>
    <w:p>
      <w:pPr>
        <w:spacing w:after="0" w:line="66"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 in Ownership. </w:t>
      </w:r>
      <w:r>
        <w:rPr>
          <w:rFonts w:ascii="Times New Roman" w:cs="Times New Roman" w:eastAsia="Times New Roman" w:hAnsi="Times New Roman"/>
          <w:sz w:val="18"/>
          <w:szCs w:val="18"/>
          <w:color w:val="auto"/>
        </w:rPr>
        <w:t>For purposes of this Section, a change in the ownership of the Participating Employer occurs on the date on which any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more than one person acting as a group, acquires ownership of stock of the Participating Employer that, together with stock held by such person or group constitutes more than 50% of the total fair market value or total voting power of the stock of the Participating Employer. The acquisition by a person or group owning more than 50% of the total fair market value or total voting power of the stock of such Participating Employer of additional shares of such Participating Employer shall not constitute a “change of the ownership” of such Participating Employer.</w:t>
      </w:r>
    </w:p>
    <w:p>
      <w:pPr>
        <w:spacing w:after="0" w:line="75" w:lineRule="exact"/>
        <w:rPr>
          <w:sz w:val="20"/>
          <w:szCs w:val="20"/>
          <w:color w:val="auto"/>
        </w:rPr>
      </w:pPr>
    </w:p>
    <w:p>
      <w:pPr>
        <w:ind w:left="440"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Change in Effective Control. </w:t>
      </w:r>
      <w:r>
        <w:rPr>
          <w:rFonts w:ascii="Times New Roman" w:cs="Times New Roman" w:eastAsia="Times New Roman" w:hAnsi="Times New Roman"/>
          <w:sz w:val="18"/>
          <w:szCs w:val="18"/>
          <w:color w:val="auto"/>
        </w:rPr>
        <w:t>A change in the effective control of the Participating Employer occurs on the date on which either: (i) a person,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one person acting as a group, acquires ownership of stock of the Participating Employer possessing 30% or more of the total voting power of the stock of the Participating Employer, taking into account all such stock acquired during the 12-month period ending on the date of the most recent acquisition, provided that the acquisition by a person or group owning more than 30% of the total fair market value or total voting power of the stock of such Participating Employer of additional shares of such Participating Employer shall not constitute a “change of effective control” of such Participating Employer, or (ii) a majority of the members of the Participating Employer’s Board of Directors is replaced during any 12-month period by directors whose appointment or election is not endorsed by a majority of the members of such Board of Directors prior to the date of the appointment or election, but only if no other corporation is a majority shareholder of the Participating Employer.</w:t>
      </w:r>
    </w:p>
    <w:p>
      <w:pPr>
        <w:spacing w:after="0" w:line="77" w:lineRule="exact"/>
        <w:rPr>
          <w:sz w:val="20"/>
          <w:szCs w:val="20"/>
          <w:color w:val="auto"/>
        </w:rPr>
      </w:pPr>
    </w:p>
    <w:p>
      <w:pPr>
        <w:jc w:val="both"/>
        <w:ind w:left="440"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Ownership of Substantial Portion of Assets. </w:t>
      </w:r>
      <w:r>
        <w:rPr>
          <w:rFonts w:ascii="Times New Roman" w:cs="Times New Roman" w:eastAsia="Times New Roman" w:hAnsi="Times New Roman"/>
          <w:sz w:val="18"/>
          <w:szCs w:val="18"/>
          <w:color w:val="auto"/>
        </w:rPr>
        <w:t>A change in the ownership of a substantial portion of assets occurs on the date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one person, or more than one person acting as a group, other than a person or group of persons that is related to the Participating Employer, acquires assets from the Participating Employer that have a total</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2 of 28</w:t>
      </w:r>
    </w:p>
    <w:p>
      <w:pPr>
        <w:sectPr>
          <w:pgSz w:w="11900" w:h="16838" w:orient="portrait"/>
          <w:cols w:equalWidth="0" w:num="1">
            <w:col w:w="11020"/>
          </w:cols>
          <w:pgMar w:left="440" w:top="266"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40" w:right="200"/>
        <w:spacing w:after="0" w:line="258" w:lineRule="auto"/>
        <w:rPr>
          <w:sz w:val="20"/>
          <w:szCs w:val="20"/>
          <w:color w:val="auto"/>
        </w:rPr>
      </w:pPr>
      <w:r>
        <w:rPr>
          <w:rFonts w:ascii="Times New Roman" w:cs="Times New Roman" w:eastAsia="Times New Roman" w:hAnsi="Times New Roman"/>
          <w:sz w:val="18"/>
          <w:szCs w:val="18"/>
          <w:color w:val="auto"/>
        </w:rPr>
        <w:t>gross fair market value equal to or more than 40% of the total gross fair market value of all of the assets of the Participating Employer immediately prior to such acquisition or acquisitions, taking into account all such assets acquired during the 12-month period ending on the date of the most recent acquisition. A transfer of assets shall not be treated as a “change in the ownership of a substantial portion of the assets” when such transfer is made to an entity that is controlled by the shareholders of the transferor corporation as determined under Treas. Reg. section 1.409A-3(i)(5)(vii)(B).</w:t>
      </w:r>
    </w:p>
    <w:p>
      <w:pPr>
        <w:spacing w:after="0" w:line="75" w:lineRule="exact"/>
        <w:rPr>
          <w:sz w:val="20"/>
          <w:szCs w:val="20"/>
          <w:color w:val="auto"/>
        </w:rPr>
      </w:pPr>
    </w:p>
    <w:p>
      <w:pPr>
        <w:jc w:val="both"/>
        <w:ind w:left="440" w:right="40"/>
        <w:spacing w:after="0" w:line="266" w:lineRule="auto"/>
        <w:rPr>
          <w:sz w:val="20"/>
          <w:szCs w:val="20"/>
          <w:color w:val="auto"/>
        </w:rPr>
      </w:pPr>
      <w:r>
        <w:rPr>
          <w:rFonts w:ascii="Times New Roman" w:cs="Times New Roman" w:eastAsia="Times New Roman" w:hAnsi="Times New Roman"/>
          <w:sz w:val="18"/>
          <w:szCs w:val="18"/>
          <w:color w:val="auto"/>
        </w:rPr>
        <w:t>An event constitutes a Change in Control with respect to a Participant only if the Participant performs services for the Participating Employer that has experienced the Change in Control, or the Participant’s relationship to the affected Participating Employer otherwise satisfies the requirements of Treasury Regulation Section 1.409A-3(i)(5)(ii).</w:t>
      </w:r>
    </w:p>
    <w:p>
      <w:pPr>
        <w:spacing w:after="0" w:line="68"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with respect to a Participating Employer that is a partnership or limited liability company, Change in Control means only a change in the ownership of such entity or a change in the ownership of a substantial portion of the assets of such entity, and the provisions set forth above respecting such changes relative to a corporation shall be applied by analogy. Any reference to a “majority shareholder” shall be treated as referring to a partner or member that (a) owns more than 50% of the capital and profits interest of such entity, and (b) alone or together with others is vested with the continuing exclusive authority to make management decisions necessary to conduct the business for which the partnership or limited liability company was formed.</w:t>
      </w:r>
    </w:p>
    <w:p>
      <w:pPr>
        <w:spacing w:after="0" w:line="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 xml:space="preserve">Claimant. </w:t>
      </w:r>
      <w:r>
        <w:rPr>
          <w:rFonts w:ascii="Times New Roman" w:cs="Times New Roman" w:eastAsia="Times New Roman" w:hAnsi="Times New Roman"/>
          <w:sz w:val="18"/>
          <w:szCs w:val="18"/>
          <w:color w:val="auto"/>
        </w:rPr>
        <w:t>Claimant means a Participant or Beneficiary filing a claim under Article XI of this Plan.</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u w:val="single" w:color="auto"/>
          <w:color w:val="auto"/>
        </w:rPr>
        <w:t xml:space="preserve">Code. </w:t>
      </w:r>
      <w:r>
        <w:rPr>
          <w:rFonts w:ascii="Times New Roman" w:cs="Times New Roman" w:eastAsia="Times New Roman" w:hAnsi="Times New Roman"/>
          <w:sz w:val="18"/>
          <w:szCs w:val="18"/>
          <w:color w:val="auto"/>
        </w:rPr>
        <w:t>Code means the Internal Revenue Code of 1986, as amended from time to time.</w:t>
      </w:r>
    </w:p>
    <w:p>
      <w:pPr>
        <w:spacing w:after="0" w:line="131" w:lineRule="exact"/>
        <w:rPr>
          <w:sz w:val="20"/>
          <w:szCs w:val="20"/>
          <w:color w:val="auto"/>
        </w:rPr>
      </w:pPr>
    </w:p>
    <w:p>
      <w:pPr>
        <w:ind w:left="420" w:right="120" w:hanging="431"/>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xml:space="preserve"> Code Section 409A means section 409A of the Code, and regulations and other guidance issued by the Treasury Department and Internal Revenue Service thereunder.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Committee means the Company or a committee appointed by the Company to administer the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Company means CVB Financial Corp.</w:t>
      </w:r>
    </w:p>
    <w:p>
      <w:pPr>
        <w:spacing w:after="0" w:line="131" w:lineRule="exact"/>
        <w:rPr>
          <w:sz w:val="20"/>
          <w:szCs w:val="20"/>
          <w:color w:val="auto"/>
        </w:rPr>
      </w:pPr>
    </w:p>
    <w:p>
      <w:pPr>
        <w:jc w:val="both"/>
        <w:ind w:left="420" w:right="260" w:hanging="431"/>
        <w:spacing w:after="0" w:line="26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Company Contribution.</w:t>
      </w:r>
      <w:r>
        <w:rPr>
          <w:rFonts w:ascii="Times New Roman" w:cs="Times New Roman" w:eastAsia="Times New Roman" w:hAnsi="Times New Roman"/>
          <w:sz w:val="18"/>
          <w:szCs w:val="18"/>
          <w:color w:val="auto"/>
        </w:rPr>
        <w:t xml:space="preserve"> Company Contribution means a credit by a Participating Employer to a Participant’s Account(s) in accordance with the provisions of Article V of the Plan. Unless the context clearly indicates otherwise, a reference to Company Contribution shall include Earnings attributable to such contribution.</w:t>
      </w:r>
    </w:p>
    <w:p>
      <w:pPr>
        <w:spacing w:after="0" w:line="81" w:lineRule="exact"/>
        <w:rPr>
          <w:sz w:val="20"/>
          <w:szCs w:val="20"/>
          <w:color w:val="auto"/>
        </w:rPr>
      </w:pPr>
    </w:p>
    <w:p>
      <w:pPr>
        <w:jc w:val="both"/>
        <w:ind w:left="420" w:right="180" w:hanging="431"/>
        <w:spacing w:after="0" w:line="266"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Compensation means a Participant’s salary, bonus, commission, retainer, fees and such other cash compensation approved by the Committee as Compensation that may be deferred under Section 4.2 of this Plan, excluding any compensation that has been previously deferred under this Plan or any other arrangement subject to Code Section 409A and excluding any compensation that is not U.S. source income.</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3 of 28</w:t>
      </w:r>
    </w:p>
    <w:p>
      <w:pPr>
        <w:sectPr>
          <w:pgSz w:w="11900" w:h="16838" w:orient="portrait"/>
          <w:cols w:equalWidth="0" w:num="1">
            <w:col w:w="11020"/>
          </w:cols>
          <w:pgMar w:left="440" w:top="266"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20" w:right="180" w:hanging="431"/>
        <w:spacing w:after="0" w:line="26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Compensation Deferral Agreement.</w:t>
      </w:r>
      <w:r>
        <w:rPr>
          <w:rFonts w:ascii="Times New Roman" w:cs="Times New Roman" w:eastAsia="Times New Roman" w:hAnsi="Times New Roman"/>
          <w:sz w:val="18"/>
          <w:szCs w:val="18"/>
          <w:color w:val="auto"/>
        </w:rPr>
        <w:t xml:space="preserve"> Compensation Deferral Agreement means an agreement between a Participant and a Participating Employer that specifies: (i) the amount of each component of Compensation that the Participant has elected to defer to the Plan in accordance with the provisions of Article IV, and (ii) the Payment Schedule applicable to one or more Accounts.</w:t>
      </w:r>
    </w:p>
    <w:p>
      <w:pPr>
        <w:spacing w:after="0" w:line="81" w:lineRule="exact"/>
        <w:rPr>
          <w:sz w:val="20"/>
          <w:szCs w:val="20"/>
          <w:color w:val="auto"/>
        </w:rPr>
      </w:pPr>
    </w:p>
    <w:p>
      <w:pPr>
        <w:jc w:val="both"/>
        <w:ind w:left="420" w:right="160" w:hanging="431"/>
        <w:spacing w:after="0" w:line="266"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Deferral.</w:t>
      </w:r>
      <w:r>
        <w:rPr>
          <w:rFonts w:ascii="Times New Roman" w:cs="Times New Roman" w:eastAsia="Times New Roman" w:hAnsi="Times New Roman"/>
          <w:sz w:val="18"/>
          <w:szCs w:val="18"/>
          <w:color w:val="auto"/>
        </w:rPr>
        <w:t xml:space="preserve"> Deferral means a credit to a Participant’s Account(s) that records that portion of the Participant’s Compensation that the Participant has elected to defer to the Plan in accordance with the provisions of Article IV. Unless the context of the Plan clearly indicates otherwise, a reference to Deferrals includes Earnings attributable to such Deferrals.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Director means a non-employee member of the Board of Directors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Earnings.</w:t>
      </w:r>
      <w:r>
        <w:rPr>
          <w:rFonts w:ascii="Times New Roman" w:cs="Times New Roman" w:eastAsia="Times New Roman" w:hAnsi="Times New Roman"/>
          <w:sz w:val="18"/>
          <w:szCs w:val="18"/>
          <w:color w:val="auto"/>
        </w:rPr>
        <w:t xml:space="preserve"> Earnings means an adjustment to the value of an Account in accordance with Article VII.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Effective Date means December 1, 2020.</w:t>
      </w:r>
    </w:p>
    <w:p>
      <w:pPr>
        <w:spacing w:after="0" w:line="131" w:lineRule="exact"/>
        <w:rPr>
          <w:sz w:val="20"/>
          <w:szCs w:val="20"/>
          <w:color w:val="auto"/>
        </w:rPr>
      </w:pPr>
    </w:p>
    <w:p>
      <w:pPr>
        <w:jc w:val="both"/>
        <w:ind w:left="420" w:right="140" w:hanging="431"/>
        <w:spacing w:after="0" w:line="266"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Eligible Employee means an Employee who is a member of a select group of management or highly compensated employees or an independent contractor who has been notified during an applicable enrollment of his or her status as an Eligible Employee. The Committee has the discretion to determine which Employees and independent contractors are Eligible Employees for each enrollment.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Employee means a common-law employee of an Employer.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xml:space="preserve"> Employer means the Company and each Affiliate.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ERISA means the Employee Retirement Income Security Act of 1974, as amended from time to time.</w:t>
      </w:r>
    </w:p>
    <w:p>
      <w:pPr>
        <w:spacing w:after="0" w:line="131" w:lineRule="exact"/>
        <w:rPr>
          <w:sz w:val="20"/>
          <w:szCs w:val="20"/>
          <w:color w:val="auto"/>
        </w:rPr>
      </w:pPr>
    </w:p>
    <w:p>
      <w:pPr>
        <w:jc w:val="both"/>
        <w:ind w:left="420" w:right="140" w:hanging="431"/>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Flex Account</w:t>
      </w:r>
      <w:r>
        <w:rPr>
          <w:rFonts w:ascii="Times New Roman" w:cs="Times New Roman" w:eastAsia="Times New Roman" w:hAnsi="Times New Roman"/>
          <w:sz w:val="18"/>
          <w:szCs w:val="18"/>
          <w:color w:val="auto"/>
        </w:rPr>
        <w:t>. Flex Account means a Separation Account or Specified Date Account established under the terms of a Participant’s Compensation Deferral Agreement. Unless the Committee specifies otherwise, a Participant may maintain no more than six (6) Flex Accounts at any one time.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Participant means an individual described in Article III.</w:t>
      </w:r>
    </w:p>
    <w:p>
      <w:pPr>
        <w:spacing w:after="0" w:line="131" w:lineRule="exact"/>
        <w:rPr>
          <w:sz w:val="20"/>
          <w:szCs w:val="20"/>
          <w:color w:val="auto"/>
        </w:rPr>
      </w:pPr>
    </w:p>
    <w:p>
      <w:pPr>
        <w:ind w:left="420" w:right="760" w:hanging="431"/>
        <w:spacing w:after="0" w:line="282"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Participating Employer.</w:t>
      </w:r>
      <w:r>
        <w:rPr>
          <w:rFonts w:ascii="Times New Roman" w:cs="Times New Roman" w:eastAsia="Times New Roman" w:hAnsi="Times New Roman"/>
          <w:sz w:val="18"/>
          <w:szCs w:val="18"/>
          <w:color w:val="auto"/>
        </w:rPr>
        <w:t xml:space="preserve"> Participating Employer means the Company and each Affiliate who has adopted the Plan with the consent of the Company. Each Participating Employer shall be identified on Schedule A attached hereto.</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4 of 28</w:t>
      </w:r>
    </w:p>
    <w:p>
      <w:pPr>
        <w:sectPr>
          <w:pgSz w:w="11900" w:h="16838" w:orient="portrait"/>
          <w:cols w:equalWidth="0" w:num="1">
            <w:col w:w="11020"/>
          </w:cols>
          <w:pgMar w:left="440" w:top="266"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20" w:right="100" w:hanging="431"/>
        <w:spacing w:after="0" w:line="282"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Payment Schedule.</w:t>
      </w:r>
      <w:r>
        <w:rPr>
          <w:rFonts w:ascii="Times New Roman" w:cs="Times New Roman" w:eastAsia="Times New Roman" w:hAnsi="Times New Roman"/>
          <w:sz w:val="18"/>
          <w:szCs w:val="18"/>
          <w:color w:val="auto"/>
        </w:rPr>
        <w:t xml:space="preserve"> Payment Schedule means the date as of which payment of an Account will commence and the form in which payment of such Account will be made under the terms of a payment election in effect for such Account under the terms of this Plan.</w:t>
      </w:r>
    </w:p>
    <w:p>
      <w:pPr>
        <w:spacing w:after="0" w:line="67" w:lineRule="exact"/>
        <w:rPr>
          <w:sz w:val="20"/>
          <w:szCs w:val="20"/>
          <w:color w:val="auto"/>
        </w:rPr>
      </w:pPr>
    </w:p>
    <w:p>
      <w:pPr>
        <w:ind w:left="420" w:right="80" w:hanging="431"/>
        <w:spacing w:after="0" w:line="256" w:lineRule="auto"/>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Performance-Based Compensation.</w:t>
      </w:r>
      <w:r>
        <w:rPr>
          <w:rFonts w:ascii="Times New Roman" w:cs="Times New Roman" w:eastAsia="Times New Roman" w:hAnsi="Times New Roman"/>
          <w:sz w:val="18"/>
          <w:szCs w:val="18"/>
          <w:color w:val="auto"/>
        </w:rPr>
        <w:t xml:space="preserve"> Performance-Based Compensation means Compensation where the amount of, or entitlement to, the Compensation is contingent on the satisfaction of pre-established organizational or individual performance criteria relating to a performance period of at least 12 consecutive months. Organizational or individual performance criteria are considered pre-established if established in writing by not later than 90 days after the commencement of the period of service to which the criteria relate, provided that the outcome is substantially uncertain at the time the criteria are established. Performance-Based Compensation shall not include any Compensation payable upon the Participant’s death or disability (as defined in Treas. Section 1.409A-1(e)) without regard to the satisfaction of the performance criteria.</w:t>
      </w:r>
    </w:p>
    <w:p>
      <w:pPr>
        <w:spacing w:after="0" w:line="93" w:lineRule="exact"/>
        <w:rPr>
          <w:sz w:val="20"/>
          <w:szCs w:val="20"/>
          <w:color w:val="auto"/>
        </w:rPr>
      </w:pPr>
    </w:p>
    <w:p>
      <w:pPr>
        <w:ind w:left="420" w:right="200" w:hanging="431"/>
        <w:spacing w:after="0" w:line="261" w:lineRule="auto"/>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Plan means “CVB Financial Corp. Deferred Compensation” as documented herein and as may be amended from time to time hereafter. However, to the extent permitted or required under Code Section 409A, the term Plan may in the appropriate context also means a portion of the Plan that is treated as a single plan under Treas. Reg. Section 1.409A-1(c), or the Plan or portion of the Plan and any other nonqualified deferred compensation plan or portion thereof that is treated as a single plan under such section.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Plan Year.</w:t>
      </w:r>
      <w:r>
        <w:rPr>
          <w:rFonts w:ascii="Times New Roman" w:cs="Times New Roman" w:eastAsia="Times New Roman" w:hAnsi="Times New Roman"/>
          <w:sz w:val="18"/>
          <w:szCs w:val="18"/>
          <w:color w:val="auto"/>
        </w:rPr>
        <w:t xml:space="preserve"> Plan Year means January 1 through December 31.</w:t>
      </w:r>
    </w:p>
    <w:p>
      <w:pPr>
        <w:spacing w:after="0" w:line="131" w:lineRule="exact"/>
        <w:rPr>
          <w:sz w:val="20"/>
          <w:szCs w:val="20"/>
          <w:color w:val="auto"/>
        </w:rPr>
      </w:pPr>
    </w:p>
    <w:p>
      <w:pPr>
        <w:ind w:left="420" w:right="20" w:hanging="431"/>
        <w:spacing w:after="0" w:line="282"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xml:space="preserve"> Retirement means when an Employee attains age 60 or age 55 with ten years of service based on each 12 month period of service with an Employer commencing on the Employee’s hire date and each anniversary thereof.</w:t>
      </w:r>
    </w:p>
    <w:p>
      <w:pPr>
        <w:spacing w:after="0" w:line="67" w:lineRule="exact"/>
        <w:rPr>
          <w:sz w:val="20"/>
          <w:szCs w:val="20"/>
          <w:color w:val="auto"/>
        </w:rPr>
      </w:pPr>
    </w:p>
    <w:p>
      <w:pPr>
        <w:ind w:left="420" w:right="40" w:hanging="431"/>
        <w:spacing w:after="0" w:line="261"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Separation Account</w:t>
      </w:r>
      <w:r>
        <w:rPr>
          <w:rFonts w:ascii="Times New Roman" w:cs="Times New Roman" w:eastAsia="Times New Roman" w:hAnsi="Times New Roman"/>
          <w:sz w:val="18"/>
          <w:szCs w:val="18"/>
          <w:color w:val="auto"/>
        </w:rPr>
        <w:t>. Separation Account means an Account established by the Committee in accordance with a Participant’s Compensation Deferral Agreement to record Deferrals allocated to such Account by the Participant and which are payable upon the Participant’s Separation from Service as set forth in Section 6.3. The Committee may limit the number of Separation Accounts that may be maintained at any one time by a Participant, as set forth in the Plan’s enrollment materials.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xml:space="preserve"> Separation from Service means an Employee’s termination of employment with the Employer and all Affiliates.</w:t>
      </w:r>
    </w:p>
    <w:p>
      <w:pPr>
        <w:spacing w:after="0" w:line="117" w:lineRule="exact"/>
        <w:rPr>
          <w:sz w:val="20"/>
          <w:szCs w:val="20"/>
          <w:color w:val="auto"/>
        </w:rPr>
      </w:pPr>
    </w:p>
    <w:p>
      <w:pPr>
        <w:ind w:left="440" w:right="80"/>
        <w:spacing w:after="0" w:line="261" w:lineRule="auto"/>
        <w:rPr>
          <w:sz w:val="20"/>
          <w:szCs w:val="20"/>
          <w:color w:val="auto"/>
        </w:rPr>
      </w:pPr>
      <w:r>
        <w:rPr>
          <w:rFonts w:ascii="Times New Roman" w:cs="Times New Roman" w:eastAsia="Times New Roman" w:hAnsi="Times New Roman"/>
          <w:sz w:val="18"/>
          <w:szCs w:val="18"/>
          <w:color w:val="auto"/>
        </w:rPr>
        <w:t>Except in the case of an Employee on a bona fide leave of absence as provided below, an Employee is deemed to have incurred a Separation from Service if the Employer and the Employee reasonably anticipated that the level of services to be performed by the Employee after a date certain would be reduced to 20% or less of the average services rendered by the Employee during the immediately preceding 36-month period (or the total period of employment, if less than 36 months), disregarding periods during which the Employee was on a bona fide leave of absence.</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5 of 28</w:t>
      </w:r>
    </w:p>
    <w:p>
      <w:pPr>
        <w:sectPr>
          <w:pgSz w:w="11900" w:h="16838" w:orient="portrait"/>
          <w:cols w:equalWidth="0" w:num="1">
            <w:col w:w="11020"/>
          </w:cols>
          <w:pgMar w:left="440" w:top="266"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40" w:right="100"/>
        <w:spacing w:after="0" w:line="266" w:lineRule="auto"/>
        <w:rPr>
          <w:sz w:val="20"/>
          <w:szCs w:val="20"/>
          <w:color w:val="auto"/>
        </w:rPr>
      </w:pPr>
      <w:r>
        <w:rPr>
          <w:rFonts w:ascii="Times New Roman" w:cs="Times New Roman" w:eastAsia="Times New Roman" w:hAnsi="Times New Roman"/>
          <w:sz w:val="18"/>
          <w:szCs w:val="18"/>
          <w:color w:val="auto"/>
        </w:rPr>
        <w:t>An Employee who is absent from work due to military leave, sick leave, or other bona fide leave of absence shall incur a Separation from Service on the first date immediately following the later of: (i) the six month anniversary of the commencement of the leave, or (ii) the expiration of the Employee’s right, if any, to reemployment under statute or contract.</w:t>
      </w:r>
    </w:p>
    <w:p>
      <w:pPr>
        <w:spacing w:after="0" w:line="68" w:lineRule="exact"/>
        <w:rPr>
          <w:sz w:val="20"/>
          <w:szCs w:val="20"/>
          <w:color w:val="auto"/>
        </w:rPr>
      </w:pPr>
    </w:p>
    <w:p>
      <w:pPr>
        <w:ind w:left="440" w:right="20"/>
        <w:spacing w:after="0" w:line="256" w:lineRule="auto"/>
        <w:rPr>
          <w:sz w:val="20"/>
          <w:szCs w:val="20"/>
          <w:color w:val="auto"/>
        </w:rPr>
      </w:pPr>
      <w:r>
        <w:rPr>
          <w:rFonts w:ascii="Times New Roman" w:cs="Times New Roman" w:eastAsia="Times New Roman" w:hAnsi="Times New Roman"/>
          <w:sz w:val="18"/>
          <w:szCs w:val="18"/>
          <w:color w:val="auto"/>
        </w:rPr>
        <w:t>If a Participant ceases to provide services as an Employee and begins providing services as an independent contractor for the Employer, a Separation from Service shall occur only if the parties anticipate that the level of services to be provided as an independent contractor are such that a Separation from Service would have occurred if the Employee had continued to provide services at that level as an Employee. If, in accordance with the preceding sentence, no Separation from Service occurs as of the date the individual’s employment status changes, a Separation from Service shall occur thereafter only upon the 12-month anniversary of the date all contracts with the Employer have expired, provided the Participant does not perform services for the Employer during that time.</w:t>
      </w:r>
    </w:p>
    <w:p>
      <w:pPr>
        <w:spacing w:after="0" w:line="79" w:lineRule="exact"/>
        <w:rPr>
          <w:sz w:val="20"/>
          <w:szCs w:val="20"/>
          <w:color w:val="auto"/>
        </w:rPr>
      </w:pPr>
    </w:p>
    <w:p>
      <w:pPr>
        <w:ind w:left="440" w:right="80"/>
        <w:spacing w:after="0" w:line="258" w:lineRule="auto"/>
        <w:rPr>
          <w:sz w:val="20"/>
          <w:szCs w:val="20"/>
          <w:color w:val="auto"/>
        </w:rPr>
      </w:pPr>
      <w:r>
        <w:rPr>
          <w:rFonts w:ascii="Times New Roman" w:cs="Times New Roman" w:eastAsia="Times New Roman" w:hAnsi="Times New Roman"/>
          <w:sz w:val="18"/>
          <w:szCs w:val="18"/>
          <w:color w:val="auto"/>
        </w:rPr>
        <w:t>For purposes of determining whether a Separation from Service has occurred, the Employer means the Employer as defined in Section 2.22 of the Plan, except that in applying Code sections 1563(a)(1), (2) and (3) for purposes of determining whether another organization is an Affiliate of the Company under Code Section 414(b), and in applying Treasury Regulation Section 1.414(c)-2 for purposes of determining whether another organization is an Affiliate of the Company under Code Section 414(c), “at least 50 percent” shall be used instead of “at least 80 percent” each place it appears in those sections.</w:t>
      </w:r>
    </w:p>
    <w:p>
      <w:pPr>
        <w:spacing w:after="0" w:line="75" w:lineRule="exact"/>
        <w:rPr>
          <w:sz w:val="20"/>
          <w:szCs w:val="20"/>
          <w:color w:val="auto"/>
        </w:rPr>
      </w:pPr>
    </w:p>
    <w:p>
      <w:pPr>
        <w:jc w:val="both"/>
        <w:ind w:left="440" w:right="20"/>
        <w:spacing w:after="0" w:line="266" w:lineRule="auto"/>
        <w:rPr>
          <w:sz w:val="20"/>
          <w:szCs w:val="20"/>
          <w:color w:val="auto"/>
        </w:rPr>
      </w:pPr>
      <w:r>
        <w:rPr>
          <w:rFonts w:ascii="Times New Roman" w:cs="Times New Roman" w:eastAsia="Times New Roman" w:hAnsi="Times New Roman"/>
          <w:sz w:val="18"/>
          <w:szCs w:val="18"/>
          <w:color w:val="auto"/>
        </w:rPr>
        <w:t>The Committee specifically reserves the right to determine whether a sale or other disposition of substantial assets to an unrelated party constitutes a Separation from Service with respect to a Participant providing services to the seller immediately prior to the transaction and providing services to the buyer after the transaction.</w:t>
      </w:r>
    </w:p>
    <w:p>
      <w:pPr>
        <w:spacing w:after="0" w:line="81" w:lineRule="exact"/>
        <w:rPr>
          <w:sz w:val="20"/>
          <w:szCs w:val="20"/>
          <w:color w:val="auto"/>
        </w:rPr>
      </w:pPr>
    </w:p>
    <w:p>
      <w:pPr>
        <w:ind w:left="420" w:right="60" w:hanging="431"/>
        <w:spacing w:after="0" w:line="266"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Specified Date Account.</w:t>
      </w:r>
      <w:r>
        <w:rPr>
          <w:rFonts w:ascii="Times New Roman" w:cs="Times New Roman" w:eastAsia="Times New Roman" w:hAnsi="Times New Roman"/>
          <w:sz w:val="18"/>
          <w:szCs w:val="18"/>
          <w:color w:val="auto"/>
        </w:rPr>
        <w:t xml:space="preserve"> Specified Date Account means an Account established by the Committee to record the amounts payable in a future year as specified in the Participant’s Compensation Deferral Agreement. The Committee may limit the number of Specified Date Accounts that may be maintained at any one time by a Participant, as set forth in the Plan’s enrollment materials.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Substantial Risk of Forfeiture.</w:t>
      </w:r>
      <w:r>
        <w:rPr>
          <w:rFonts w:ascii="Times New Roman" w:cs="Times New Roman" w:eastAsia="Times New Roman" w:hAnsi="Times New Roman"/>
          <w:sz w:val="18"/>
          <w:szCs w:val="18"/>
          <w:color w:val="auto"/>
        </w:rPr>
        <w:t xml:space="preserve"> Substantial Risk of Forfeiture has the meaning specified in Treas. Reg. Section 1.409A-1(d).</w:t>
      </w:r>
    </w:p>
    <w:p>
      <w:pPr>
        <w:spacing w:after="0" w:line="131" w:lineRule="exact"/>
        <w:rPr>
          <w:sz w:val="20"/>
          <w:szCs w:val="20"/>
          <w:color w:val="auto"/>
        </w:rPr>
      </w:pPr>
    </w:p>
    <w:p>
      <w:pPr>
        <w:ind w:left="420" w:right="20" w:hanging="431"/>
        <w:spacing w:after="0" w:line="266"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Termination Account</w:t>
      </w:r>
      <w:r>
        <w:rPr>
          <w:rFonts w:ascii="Times New Roman" w:cs="Times New Roman" w:eastAsia="Times New Roman" w:hAnsi="Times New Roman"/>
          <w:sz w:val="18"/>
          <w:szCs w:val="18"/>
          <w:color w:val="auto"/>
        </w:rPr>
        <w:t>. Termination Account means an Account established by the Committee to record Company Contributions and Deferrals allocated to the Termination Account pursuant to a Participant’s Compensation Deferral Agreement, payable to a Participant upon Separation from Service in accordance with Section 6.3.</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6 of 28</w:t>
      </w:r>
    </w:p>
    <w:p>
      <w:pPr>
        <w:sectPr>
          <w:pgSz w:w="11900" w:h="16838" w:orient="portrait"/>
          <w:cols w:equalWidth="0" w:num="1">
            <w:col w:w="11020"/>
          </w:cols>
          <w:pgMar w:left="440" w:top="266"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20" w:right="140" w:hanging="431"/>
        <w:spacing w:after="0" w:line="256" w:lineRule="auto"/>
        <w:rPr>
          <w:sz w:val="20"/>
          <w:szCs w:val="20"/>
          <w:color w:val="auto"/>
        </w:rPr>
      </w:pPr>
      <w:r>
        <w:rPr>
          <w:rFonts w:ascii="Times New Roman" w:cs="Times New Roman" w:eastAsia="Times New Roman" w:hAnsi="Times New Roman"/>
          <w:sz w:val="18"/>
          <w:szCs w:val="18"/>
          <w:color w:val="auto"/>
        </w:rPr>
        <w:t xml:space="preserve">2.37 </w:t>
      </w:r>
      <w:r>
        <w:rPr>
          <w:rFonts w:ascii="Times New Roman" w:cs="Times New Roman" w:eastAsia="Times New Roman" w:hAnsi="Times New Roman"/>
          <w:sz w:val="18"/>
          <w:szCs w:val="18"/>
          <w:u w:val="single" w:color="auto"/>
          <w:color w:val="auto"/>
        </w:rPr>
        <w:t>Unforeseeable Emergency.</w:t>
      </w:r>
      <w:r>
        <w:rPr>
          <w:rFonts w:ascii="Times New Roman" w:cs="Times New Roman" w:eastAsia="Times New Roman" w:hAnsi="Times New Roman"/>
          <w:sz w:val="18"/>
          <w:szCs w:val="18"/>
          <w:color w:val="auto"/>
        </w:rPr>
        <w:t xml:space="preserve"> Unforeseeable Emergency means a severe financial hardship to the Participant resulting from an illness or accident of the Participant, the Participant’s spouse, the Participant’s dependent (as defined in Code section 152, without regard to section 152(b)(1), (b)(2), and (d)(1)(B)), or a Beneficiary;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The types of events which may qualify as an Unforeseeable Emergency may be limited by the Committee.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2.38 </w:t>
      </w:r>
      <w:r>
        <w:rPr>
          <w:rFonts w:ascii="Times New Roman" w:cs="Times New Roman" w:eastAsia="Times New Roman" w:hAnsi="Times New Roman"/>
          <w:sz w:val="18"/>
          <w:szCs w:val="18"/>
          <w:u w:val="single" w:color="auto"/>
          <w:color w:val="auto"/>
        </w:rPr>
        <w:t>Valuation Date.</w:t>
      </w:r>
      <w:r>
        <w:rPr>
          <w:rFonts w:ascii="Times New Roman" w:cs="Times New Roman" w:eastAsia="Times New Roman" w:hAnsi="Times New Roman"/>
          <w:sz w:val="18"/>
          <w:szCs w:val="18"/>
          <w:color w:val="auto"/>
        </w:rPr>
        <w:t xml:space="preserve"> Valuation Date means each Business Day.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 and Participation</w:t>
      </w:r>
    </w:p>
    <w:p>
      <w:pPr>
        <w:spacing w:after="0" w:line="133" w:lineRule="exact"/>
        <w:rPr>
          <w:sz w:val="20"/>
          <w:szCs w:val="20"/>
          <w:color w:val="auto"/>
        </w:rPr>
      </w:pPr>
    </w:p>
    <w:p>
      <w:pPr>
        <w:jc w:val="both"/>
        <w:ind w:left="420" w:right="14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 xml:space="preserve">Eligibility and Participation. </w:t>
      </w:r>
      <w:r>
        <w:rPr>
          <w:rFonts w:ascii="Times New Roman" w:cs="Times New Roman" w:eastAsia="Times New Roman" w:hAnsi="Times New Roman"/>
          <w:sz w:val="18"/>
          <w:szCs w:val="18"/>
          <w:color w:val="auto"/>
        </w:rPr>
        <w:t>All Eligible Employees and Directors may enroll in the Plan. Eligible Employees and Directors become Participants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on the first to occur of (i) the date on which the first Compensation Deferral Agreement becomes irrevocable under Article IV, or (ii) for Eligible Employees, the date Company Contributions are credited to an Account on behalf of such Eligible Employee.</w:t>
      </w:r>
    </w:p>
    <w:p>
      <w:pPr>
        <w:spacing w:after="0" w:line="81" w:lineRule="exact"/>
        <w:rPr>
          <w:sz w:val="20"/>
          <w:szCs w:val="20"/>
          <w:color w:val="auto"/>
        </w:rPr>
      </w:pPr>
    </w:p>
    <w:p>
      <w:pPr>
        <w:ind w:left="420" w:right="140" w:hanging="431"/>
        <w:spacing w:after="0" w:line="255" w:lineRule="auto"/>
        <w:tabs>
          <w:tab w:leader="none" w:pos="4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 xml:space="preserve">Duration. </w:t>
      </w:r>
      <w:r>
        <w:rPr>
          <w:rFonts w:ascii="Times New Roman" w:cs="Times New Roman" w:eastAsia="Times New Roman" w:hAnsi="Times New Roman"/>
          <w:sz w:val="18"/>
          <w:szCs w:val="18"/>
          <w:color w:val="auto"/>
        </w:rPr>
        <w:t>Only Eligible Employees and Directors may submit Compensation Deferral Agreements during an enrollment and receive Company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Contributions during the Plan Year. A Participant who is no longer an Eligible Employee but has not incurred a Separation from Service will not be allowed to submit Compensation Deferral Agreements but may otherwise exercise all of the rights of a Participant under the Plan with respect to his or her Account(s). On and after a Separation from Service, a Participant shall remain a Participant as long as his or her Account Balance is greater than zero (0). All Participants, regardless of employment status, will continue to be credited with Earnings and during such time may continue to make allocation elections as provided in Section 7.4. An individual shall cease being a Participant in the Plan when his Account has been reduced to zero (0).</w:t>
      </w:r>
    </w:p>
    <w:p>
      <w:pPr>
        <w:spacing w:after="0" w:line="94" w:lineRule="exact"/>
        <w:rPr>
          <w:sz w:val="20"/>
          <w:szCs w:val="20"/>
          <w:color w:val="auto"/>
        </w:rPr>
      </w:pPr>
    </w:p>
    <w:p>
      <w:pPr>
        <w:jc w:val="both"/>
        <w:ind w:left="420" w:right="42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Rehires</w:t>
      </w:r>
      <w:r>
        <w:rPr>
          <w:rFonts w:ascii="Times New Roman" w:cs="Times New Roman" w:eastAsia="Times New Roman" w:hAnsi="Times New Roman"/>
          <w:sz w:val="18"/>
          <w:szCs w:val="18"/>
          <w:color w:val="auto"/>
        </w:rPr>
        <w:t>. An Eligible Employee who Separates from Service and who subsequently resumes performing services for an Employer in the same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calendar year (regardless of eligibility) will have his or her Compensation Deferral Agreement for such year, if any, reinstated, but his or her eligibility to participate in the Plan in years subsequent to the year of rehire shall be governed by the provisions of Section 3.1.</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7 of 28</w:t>
      </w:r>
    </w:p>
    <w:p>
      <w:pPr>
        <w:sectPr>
          <w:pgSz w:w="11900" w:h="16838" w:orient="portrait"/>
          <w:cols w:equalWidth="0" w:num="1">
            <w:col w:w="11020"/>
          </w:cols>
          <w:pgMar w:left="440" w:top="266"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IV</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Deferrals</w:t>
      </w:r>
    </w:p>
    <w:p>
      <w:pPr>
        <w:spacing w:after="0" w:line="1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Deferral Elections, Generally.</w:t>
      </w:r>
    </w:p>
    <w:p>
      <w:pPr>
        <w:spacing w:after="0" w:line="131" w:lineRule="exact"/>
        <w:rPr>
          <w:sz w:val="20"/>
          <w:szCs w:val="20"/>
          <w:color w:val="auto"/>
        </w:rPr>
      </w:pPr>
    </w:p>
    <w:p>
      <w:pPr>
        <w:ind w:left="960" w:right="40" w:hanging="532"/>
        <w:spacing w:after="0" w:line="258"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or Director may make an initial election to defer Compensation by submitting a Compensation Deferral Agreement during the enrollment periods established by the Committee and in the manner specified by the Committee, but in any event, in accordance with Section 4.2. Unless an earlier date is specified in the Compensation Deferral Agreement, deferral elections with respect to a Compensation source (such as salary, bonus, or other Compensation) become irrevocable on the latest date applicable to such Compensation source under Section 4.2.</w:t>
      </w:r>
    </w:p>
    <w:p>
      <w:pPr>
        <w:spacing w:after="0" w:line="88" w:lineRule="exact"/>
        <w:rPr>
          <w:rFonts w:ascii="Times New Roman" w:cs="Times New Roman" w:eastAsia="Times New Roman" w:hAnsi="Times New Roman"/>
          <w:sz w:val="18"/>
          <w:szCs w:val="18"/>
          <w:color w:val="auto"/>
        </w:rPr>
      </w:pPr>
    </w:p>
    <w:p>
      <w:pPr>
        <w:ind w:left="960" w:right="120" w:hanging="532"/>
        <w:spacing w:after="0" w:line="261"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Deferral Agreement that is not timely filed with respect to a service period or component of Compensation, or that is submitted by a Participant who Separates from Service prior to the latest date such agreement would become irrevocable under Section 409A, shall be considered null and void and shall not take effect with respect to such item of Compensation. The Committee may modify or revoke any Compensation Deferral Agreement prior to the date the election becomes irrevocable under the rules of Section 4.2.</w:t>
      </w:r>
    </w:p>
    <w:p>
      <w:pPr>
        <w:spacing w:after="0" w:line="85" w:lineRule="exact"/>
        <w:rPr>
          <w:rFonts w:ascii="Times New Roman" w:cs="Times New Roman" w:eastAsia="Times New Roman" w:hAnsi="Times New Roman"/>
          <w:sz w:val="18"/>
          <w:szCs w:val="18"/>
          <w:color w:val="auto"/>
        </w:rPr>
      </w:pPr>
    </w:p>
    <w:p>
      <w:pPr>
        <w:ind w:left="960" w:right="220" w:hanging="532"/>
        <w:spacing w:after="0" w:line="261"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permit different deferral amounts for each component of Compensation and may establish a minimum or maximum deferral amount for each such component. Unless otherwise specified by the Committee in the Compensation Deferral Agreement, Participants may defer up to (75%) of their base compensation and up to (100%) of bonus, commissions, or other Compensation earned during a Plan Year.</w:t>
      </w:r>
    </w:p>
    <w:p>
      <w:pPr>
        <w:spacing w:after="0" w:line="85"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Deferrals of cash Compensation shall be calculated with respect to the gross cash Compensation payable to the Participant prior to any deductions or withholdings, but shall be reduced by the Committee as necessary so as not to exceed 100% of the cash Compensation of the Participant remaining after deduction of all required income and employment taxes, required employee benefit deductions, deferrals to 401(k) plans and other deductions required by law. Changes to payroll withholdings that affect the amount of Compensation being deferred to the Plan shall be allowed only to the extent permissible under Code Section 409A.</w:t>
      </w:r>
    </w:p>
    <w:p>
      <w:pPr>
        <w:spacing w:after="0" w:line="88" w:lineRule="exact"/>
        <w:rPr>
          <w:rFonts w:ascii="Times New Roman" w:cs="Times New Roman" w:eastAsia="Times New Roman" w:hAnsi="Times New Roman"/>
          <w:sz w:val="18"/>
          <w:szCs w:val="18"/>
          <w:color w:val="auto"/>
        </w:rPr>
      </w:pPr>
    </w:p>
    <w:p>
      <w:pPr>
        <w:jc w:val="both"/>
        <w:ind w:left="960" w:right="200" w:hanging="532"/>
        <w:spacing w:after="0" w:line="266"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Employee or Director shall specify on his or her Compensation Deferral Agreement the amount of Deferrals and whether to allocate Deferrals to the Termination Account or to one or more Flex Accounts. If no designation is made, Deferrals shall be allocated to the Termination Account.</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Timing Requirements for Compensation Deferral Agreements.</w:t>
      </w:r>
    </w:p>
    <w:p>
      <w:pPr>
        <w:spacing w:after="0" w:line="129" w:lineRule="exact"/>
        <w:rPr>
          <w:sz w:val="20"/>
          <w:szCs w:val="20"/>
          <w:color w:val="auto"/>
        </w:rPr>
      </w:pPr>
    </w:p>
    <w:p>
      <w:pPr>
        <w:ind w:left="960" w:right="20" w:hanging="532"/>
        <w:spacing w:after="0" w:line="267"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Initial Eligibility. </w:t>
      </w:r>
      <w:r>
        <w:rPr>
          <w:rFonts w:ascii="Times New Roman" w:cs="Times New Roman" w:eastAsia="Times New Roman" w:hAnsi="Times New Roman"/>
          <w:sz w:val="18"/>
          <w:szCs w:val="18"/>
          <w:color w:val="auto"/>
        </w:rPr>
        <w:t>The Committee may permit an Eligible Employee or Director to defer Compensation earned in the first year of eligibility.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Deferral Agreement must be filed within 30 days after attaining Eligible Employee status (or, for Directors, within 30 days of being seated as a member of the Board of Directors) and becomes irrevocable not later than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w:t>
      </w:r>
    </w:p>
    <w:p>
      <w:pPr>
        <w:spacing w:after="0" w:line="67" w:lineRule="exact"/>
        <w:rPr>
          <w:rFonts w:ascii="Times New Roman" w:cs="Times New Roman" w:eastAsia="Times New Roman" w:hAnsi="Times New Roman"/>
          <w:sz w:val="18"/>
          <w:szCs w:val="18"/>
          <w:color w:val="auto"/>
        </w:rPr>
      </w:pPr>
    </w:p>
    <w:p>
      <w:pPr>
        <w:ind w:left="98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Deferral Agreement filed under this paragraph applies to Compensation earned after the date that the Compensation Deferral Agreement becomes irrevocable.</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8 of 28</w:t>
      </w:r>
    </w:p>
    <w:p>
      <w:pPr>
        <w:sectPr>
          <w:pgSz w:w="11900" w:h="16838" w:orient="portrait"/>
          <w:cols w:equalWidth="0" w:num="1">
            <w:col w:w="11020"/>
          </w:cols>
          <w:pgMar w:left="440" w:top="266"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60" w:lineRule="exact"/>
        <w:rPr>
          <w:sz w:val="20"/>
          <w:szCs w:val="20"/>
          <w:color w:val="auto"/>
        </w:rPr>
      </w:pPr>
    </w:p>
    <w:p>
      <w:pPr>
        <w:ind w:left="960" w:right="20" w:hanging="532"/>
        <w:spacing w:after="0" w:line="261"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 Year Election. </w:t>
      </w:r>
      <w:r>
        <w:rPr>
          <w:rFonts w:ascii="Times New Roman" w:cs="Times New Roman" w:eastAsia="Times New Roman" w:hAnsi="Times New Roman"/>
          <w:sz w:val="18"/>
          <w:szCs w:val="18"/>
          <w:color w:val="auto"/>
        </w:rPr>
        <w:t>Except as otherwise provided in this Section 4.2, the Committee may permit an Eligible Employee or Director to defer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by filing a Compensation Deferral Agreement no later than December 31 of the year prior to the year in which the Compensation to be deferred is earned. A Compensation Deferral Agreement filed under this paragraph shall become irrevocable with respect to such Compensation not later than the December 31 filing deadline.</w:t>
      </w:r>
    </w:p>
    <w:p>
      <w:pPr>
        <w:spacing w:after="0" w:line="85" w:lineRule="exact"/>
        <w:rPr>
          <w:rFonts w:ascii="Times New Roman" w:cs="Times New Roman" w:eastAsia="Times New Roman" w:hAnsi="Times New Roman"/>
          <w:sz w:val="18"/>
          <w:szCs w:val="18"/>
          <w:color w:val="auto"/>
        </w:rPr>
      </w:pPr>
    </w:p>
    <w:p>
      <w:pPr>
        <w:ind w:left="960" w:right="60" w:hanging="532"/>
        <w:spacing w:after="0" w:line="267"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Performance-Based Compensation. </w:t>
      </w:r>
      <w:r>
        <w:rPr>
          <w:rFonts w:ascii="Times New Roman" w:cs="Times New Roman" w:eastAsia="Times New Roman" w:hAnsi="Times New Roman"/>
          <w:sz w:val="18"/>
          <w:szCs w:val="18"/>
          <w:color w:val="auto"/>
        </w:rPr>
        <w:t>The Committee may permit an Eligible Employee or Director to defer Compensation which qualifies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Performance-Based Compensation by filing a Compensation Deferral Agreement no later than the date that is six months before the end of the applicable performance period, provided that:</w:t>
      </w:r>
    </w:p>
    <w:p>
      <w:pPr>
        <w:spacing w:after="0" w:line="80"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performs services continuously from the later of the beginning of the performance period or the date the performance criteria are established through the date the Compensation Deferral Agreement is submitted;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is not readily ascertainable as of the date the Compensation Deferral Agreement is filed.</w:t>
      </w:r>
    </w:p>
    <w:p>
      <w:pPr>
        <w:spacing w:after="0" w:line="117" w:lineRule="exact"/>
        <w:rPr>
          <w:sz w:val="20"/>
          <w:szCs w:val="20"/>
          <w:color w:val="auto"/>
        </w:rPr>
      </w:pPr>
    </w:p>
    <w:p>
      <w:pPr>
        <w:ind w:left="980" w:right="160"/>
        <w:spacing w:after="0" w:line="261" w:lineRule="auto"/>
        <w:rPr>
          <w:sz w:val="20"/>
          <w:szCs w:val="20"/>
          <w:color w:val="auto"/>
        </w:rPr>
      </w:pPr>
      <w:r>
        <w:rPr>
          <w:rFonts w:ascii="Times New Roman" w:cs="Times New Roman" w:eastAsia="Times New Roman" w:hAnsi="Times New Roman"/>
          <w:sz w:val="18"/>
          <w:szCs w:val="18"/>
          <w:color w:val="auto"/>
        </w:rPr>
        <w:t>Any election to defer Performance-Based Compensation that is made in accordance with this paragraph and that becomes payable as a result of the Participant’s death or disability (as defined in Treas. Reg. Section 1.409A-1(e)) or upon a change in control (as defined in Treas. Reg. Section 1.409A-3(i)(5)) prior to the satisfaction of the performance criteria, will be void unless it would be considered timely under another rule described in this Section.</w:t>
      </w:r>
    </w:p>
    <w:p>
      <w:pPr>
        <w:spacing w:after="0" w:line="83" w:lineRule="exact"/>
        <w:rPr>
          <w:sz w:val="20"/>
          <w:szCs w:val="20"/>
          <w:color w:val="auto"/>
        </w:rPr>
      </w:pPr>
    </w:p>
    <w:p>
      <w:pPr>
        <w:ind w:left="960" w:right="60" w:hanging="532"/>
        <w:spacing w:after="0" w:line="277" w:lineRule="auto"/>
        <w:tabs>
          <w:tab w:leader="none" w:pos="9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Short-Term Deferrals. </w:t>
      </w:r>
      <w:r>
        <w:rPr>
          <w:rFonts w:ascii="Times New Roman" w:cs="Times New Roman" w:eastAsia="Times New Roman" w:hAnsi="Times New Roman"/>
          <w:sz w:val="17"/>
          <w:szCs w:val="17"/>
          <w:color w:val="auto"/>
        </w:rPr>
        <w:t>The Committee may permit Compensation that meets the definition of a “short-term deferral” described in Treas.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 Section 1.409A-1(b)(4) to be deferred in accordance with the rules of Section 6.10, applied as if the date the Substantial Risk of Forfeiture lapses is the date payments were originally scheduled to commence, provided, however, that the provisions of Section 6.10 shall not apply to payments attributable to a change in control (as defined in Treas. Reg. Section 1.409A-3(i)(5)). A Compensation Deferral Agreement submitted in accordance with this paragraph becomes irrevocable on the latest date it could be submitted under Section 6.10.</w:t>
      </w:r>
    </w:p>
    <w:p>
      <w:pPr>
        <w:spacing w:after="0" w:line="73" w:lineRule="exact"/>
        <w:rPr>
          <w:rFonts w:ascii="Times New Roman" w:cs="Times New Roman" w:eastAsia="Times New Roman" w:hAnsi="Times New Roman"/>
          <w:sz w:val="17"/>
          <w:szCs w:val="17"/>
          <w:color w:val="auto"/>
        </w:rPr>
      </w:pPr>
    </w:p>
    <w:p>
      <w:pPr>
        <w:ind w:left="960" w:right="40" w:hanging="532"/>
        <w:spacing w:after="0" w:line="267"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Forfeitable Rights. </w:t>
      </w:r>
      <w:r>
        <w:rPr>
          <w:rFonts w:ascii="Times New Roman" w:cs="Times New Roman" w:eastAsia="Times New Roman" w:hAnsi="Times New Roman"/>
          <w:sz w:val="18"/>
          <w:szCs w:val="18"/>
          <w:color w:val="auto"/>
        </w:rPr>
        <w:t>With respect to a legally binding right to a payment in a subsequent year that is subject to a forfeiture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requiring the Participant’s continued services for a period of at least 12 months from the date the Participant obtains the legally binding right, the Committee may permit an Eligible Employee or Director to defer such Compensation by filing a</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9 of 28</w:t>
      </w:r>
    </w:p>
    <w:p>
      <w:pPr>
        <w:sectPr>
          <w:pgSz w:w="11900" w:h="16838" w:orient="portrait"/>
          <w:cols w:equalWidth="0" w:num="1">
            <w:col w:w="11020"/>
          </w:cols>
          <w:pgMar w:left="440" w:top="266"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980" w:right="20"/>
        <w:spacing w:after="0" w:line="231" w:lineRule="auto"/>
        <w:rPr>
          <w:sz w:val="20"/>
          <w:szCs w:val="20"/>
          <w:color w:val="auto"/>
        </w:rPr>
      </w:pPr>
      <w:r>
        <w:rPr>
          <w:rFonts w:ascii="Times New Roman" w:cs="Times New Roman" w:eastAsia="Times New Roman" w:hAnsi="Times New Roman"/>
          <w:sz w:val="18"/>
          <w:szCs w:val="18"/>
          <w:color w:val="auto"/>
        </w:rPr>
        <w:t>Compensation Deferral Agreement on or before the 30</w:t>
      </w:r>
      <w:r>
        <w:rPr>
          <w:rFonts w:ascii="Times New Roman" w:cs="Times New Roman" w:eastAsia="Times New Roman" w:hAnsi="Times New Roman"/>
          <w:sz w:val="15"/>
          <w:szCs w:val="15"/>
          <w:color w:val="auto"/>
        </w:rPr>
        <w:t>th day after the legally binding right to the Compensation accrues, provided that the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Deferral Agreement is submitted at least 12 months in advance of the earliest date on which the forfeiture condition could lapse. The Compensation Deferral Agreement described in this paragraph becomes irrevocable not later than such 30th day. If the forfeiture condition applicable to the payment lapses before the end of such 12-month period as a result of the Participant’s death or disability (as defined in Treas. Reg. Section 1.409A-3(i)(4)) or upon a change in control (as defined in Treas. Reg. Section 1.409A-3(i)(5)), the Compensation Deferral Agreement will be void unless it would be considered timely under another rule described in this Section.</w:t>
      </w:r>
    </w:p>
    <w:p>
      <w:pPr>
        <w:spacing w:after="0" w:line="83" w:lineRule="exact"/>
        <w:rPr>
          <w:sz w:val="20"/>
          <w:szCs w:val="20"/>
          <w:color w:val="auto"/>
        </w:rPr>
      </w:pPr>
    </w:p>
    <w:p>
      <w:pPr>
        <w:ind w:left="960" w:right="180" w:hanging="532"/>
        <w:spacing w:after="0" w:line="258" w:lineRule="auto"/>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“Evergreen” Deferral Elections. </w:t>
      </w:r>
      <w:r>
        <w:rPr>
          <w:rFonts w:ascii="Times New Roman" w:cs="Times New Roman" w:eastAsia="Times New Roman" w:hAnsi="Times New Roman"/>
          <w:sz w:val="18"/>
          <w:szCs w:val="18"/>
          <w:color w:val="auto"/>
        </w:rPr>
        <w:t>The Committee, in its discretion, may provide that Compensation Deferral Agreements will continue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for subsequent years or performance periods by communicating that intention to Participants in writing prior to the date Compensation Deferral Agreements become irrevocable under this Section 4.2. An evergreen Compensation Deferral Agreement may be revoked or modified in writing prospectively by the Participant or the Committee with respect to Compensation for which such election remains revocable under this Section 4.2.</w:t>
      </w:r>
    </w:p>
    <w:p>
      <w:pPr>
        <w:spacing w:after="0" w:line="77" w:lineRule="exact"/>
        <w:rPr>
          <w:rFonts w:ascii="Times New Roman" w:cs="Times New Roman" w:eastAsia="Times New Roman" w:hAnsi="Times New Roman"/>
          <w:sz w:val="18"/>
          <w:szCs w:val="18"/>
          <w:color w:val="auto"/>
        </w:rPr>
      </w:pPr>
    </w:p>
    <w:p>
      <w:pPr>
        <w:ind w:left="98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Deferral Agreement is deemed to be revoked for subsequent years if the Participant is not an Eligible Employee or Director as of the last permissible date for making elections under this Section 4.2 or if the Compensation Deferral Agreement is cancelled in accordance with Section 4.6.</w:t>
      </w:r>
    </w:p>
    <w:p>
      <w:pPr>
        <w:spacing w:after="0" w:line="81" w:lineRule="exact"/>
        <w:rPr>
          <w:sz w:val="20"/>
          <w:szCs w:val="20"/>
          <w:color w:val="auto"/>
        </w:rPr>
      </w:pPr>
    </w:p>
    <w:p>
      <w:pPr>
        <w:ind w:left="420" w:right="20" w:hanging="431"/>
        <w:spacing w:after="0" w:line="255" w:lineRule="auto"/>
        <w:tabs>
          <w:tab w:leader="none" w:pos="4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 xml:space="preserve">Allocation of Deferrals. </w:t>
      </w:r>
      <w:r>
        <w:rPr>
          <w:rFonts w:ascii="Times New Roman" w:cs="Times New Roman" w:eastAsia="Times New Roman" w:hAnsi="Times New Roman"/>
          <w:sz w:val="18"/>
          <w:szCs w:val="18"/>
          <w:color w:val="auto"/>
        </w:rPr>
        <w:t>A Compensation Deferral Agreement may allocate Deferrals to the Termination Account or to one or more Flex Accounts.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Committee may, in its discretion, establish in a written communication during enrollment a minimum deferral period for the establishment of a Specified Date Account (for example, the second Plan Year following the year Compensation is first allocated to such Accounts). In the event a Participant’s Compensation Deferral Agreement allocates a component of Compensation to a Specified Date Account that commences payment in the year such Compensation is earned, the Compensation Deferral Agreement shall be deemed to allocate the Deferral to the Participant’s Specified Date Account having the next earliest payment year. If the Participant has no other Specified Date Accounts, the Committee will allocate the Deferral to the Termination Account.</w:t>
      </w:r>
    </w:p>
    <w:p>
      <w:pPr>
        <w:spacing w:after="0" w:line="94" w:lineRule="exact"/>
        <w:rPr>
          <w:sz w:val="20"/>
          <w:szCs w:val="20"/>
          <w:color w:val="auto"/>
        </w:rPr>
      </w:pPr>
    </w:p>
    <w:p>
      <w:pPr>
        <w:ind w:left="420" w:right="6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 xml:space="preserve">Deductions from Pay. </w:t>
      </w:r>
      <w:r>
        <w:rPr>
          <w:rFonts w:ascii="Times New Roman" w:cs="Times New Roman" w:eastAsia="Times New Roman" w:hAnsi="Times New Roman"/>
          <w:sz w:val="18"/>
          <w:szCs w:val="18"/>
          <w:color w:val="auto"/>
        </w:rPr>
        <w:t>The Committee has the authority to determine the payroll practices under which any component of Compensation subject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 Compensation Deferral Agreement will be deducted from a Participant’s Compensation.</w:t>
      </w:r>
    </w:p>
    <w:p>
      <w:pPr>
        <w:spacing w:after="0" w:line="67" w:lineRule="exact"/>
        <w:rPr>
          <w:sz w:val="20"/>
          <w:szCs w:val="20"/>
          <w:color w:val="auto"/>
        </w:rPr>
      </w:pPr>
    </w:p>
    <w:p>
      <w:pPr>
        <w:ind w:left="420" w:right="8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 xml:space="preserve">Vesting. </w:t>
      </w:r>
      <w:r>
        <w:rPr>
          <w:rFonts w:ascii="Times New Roman" w:cs="Times New Roman" w:eastAsia="Times New Roman" w:hAnsi="Times New Roman"/>
          <w:sz w:val="18"/>
          <w:szCs w:val="18"/>
          <w:color w:val="auto"/>
        </w:rPr>
        <w:t>Participant Deferrals of cash Compensation shall be 100% vested at all times. Deferrals of vesting awards of Compensation shall become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vested in accordance with the provisions of the underlying award.</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10 of 28</w:t>
      </w:r>
    </w:p>
    <w:p>
      <w:pPr>
        <w:sectPr>
          <w:pgSz w:w="11900" w:h="16838" w:orient="portrait"/>
          <w:cols w:equalWidth="0" w:num="1">
            <w:col w:w="11020"/>
          </w:cols>
          <w:pgMar w:left="440" w:top="266"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20" w:right="20" w:hanging="431"/>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 xml:space="preserve">Cancellation of Deferrals. </w:t>
      </w:r>
      <w:r>
        <w:rPr>
          <w:rFonts w:ascii="Times New Roman" w:cs="Times New Roman" w:eastAsia="Times New Roman" w:hAnsi="Times New Roman"/>
          <w:sz w:val="18"/>
          <w:szCs w:val="18"/>
          <w:color w:val="auto"/>
        </w:rPr>
        <w:t>The Committee may cancel a Participant’s Deferrals: (i) for the balance of the Plan Year in which an Unforeseeable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Emergency occurs, and (ii) during periods in which the Participant is unable to perform the duties of his or her position or any substantially similar position due to a mental or physical impairment that can be expected to result in death or last for a continuous period of at least six months, provided cancellation occurs by the later of the end of the taxable year of the Participant or the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the third month following the date the Participant incurs the disability (as defined in this paragraph (ii)).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Contributions</w:t>
      </w:r>
    </w:p>
    <w:p>
      <w:pPr>
        <w:spacing w:after="0" w:line="1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 xml:space="preserve">Discretionary Company Contributions. </w:t>
      </w:r>
      <w:r>
        <w:rPr>
          <w:rFonts w:ascii="Times New Roman" w:cs="Times New Roman" w:eastAsia="Times New Roman" w:hAnsi="Times New Roman"/>
          <w:sz w:val="17"/>
          <w:szCs w:val="17"/>
          <w:color w:val="auto"/>
        </w:rPr>
        <w:t>A Participating Employer may, from time to time in its sole and absolute discretion, credit discretionary</w:t>
      </w:r>
    </w:p>
    <w:p>
      <w:pPr>
        <w:spacing w:after="0" w:line="27" w:lineRule="exact"/>
        <w:rPr>
          <w:sz w:val="20"/>
          <w:szCs w:val="20"/>
          <w:color w:val="auto"/>
        </w:rPr>
      </w:pPr>
    </w:p>
    <w:p>
      <w:pPr>
        <w:ind w:left="420" w:right="700"/>
        <w:spacing w:after="0" w:line="260" w:lineRule="auto"/>
        <w:rPr>
          <w:sz w:val="20"/>
          <w:szCs w:val="20"/>
          <w:color w:val="auto"/>
        </w:rPr>
      </w:pPr>
      <w:r>
        <w:rPr>
          <w:rFonts w:ascii="Times New Roman" w:cs="Times New Roman" w:eastAsia="Times New Roman" w:hAnsi="Times New Roman"/>
          <w:sz w:val="18"/>
          <w:szCs w:val="18"/>
          <w:color w:val="auto"/>
        </w:rPr>
        <w:t>Company Contributions in the form of matching, profit sharing or other contributions to any Participant in any amount determined by the Participating Employer. Company Contributions are credited to the Participant’s Termination Account.</w:t>
      </w:r>
    </w:p>
    <w:p>
      <w:pPr>
        <w:spacing w:after="0" w:line="71" w:lineRule="exact"/>
        <w:rPr>
          <w:sz w:val="20"/>
          <w:szCs w:val="20"/>
          <w:color w:val="auto"/>
        </w:rPr>
      </w:pPr>
    </w:p>
    <w:p>
      <w:pPr>
        <w:ind w:left="44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Make-Up Matching Contribution. </w:t>
      </w:r>
      <w:r>
        <w:rPr>
          <w:rFonts w:ascii="Times New Roman" w:cs="Times New Roman" w:eastAsia="Times New Roman" w:hAnsi="Times New Roman"/>
          <w:sz w:val="18"/>
          <w:szCs w:val="18"/>
          <w:color w:val="auto"/>
        </w:rPr>
        <w:t>Company Contributions may take the form of “make-up” matching contributions, at the same matching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 rate provided under the Company 401(k) plan with respect to Deferrals that reduce 401(k) plan compensation below the limitation set forth in Code Section 401(a)(17).</w:t>
      </w:r>
    </w:p>
    <w:p>
      <w:pPr>
        <w:spacing w:after="0" w:line="65" w:lineRule="exact"/>
        <w:rPr>
          <w:sz w:val="20"/>
          <w:szCs w:val="20"/>
          <w:color w:val="auto"/>
        </w:rPr>
      </w:pPr>
    </w:p>
    <w:p>
      <w:pPr>
        <w:ind w:left="44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Supplemental Matching Contribution. </w:t>
      </w:r>
      <w:r>
        <w:rPr>
          <w:rFonts w:ascii="Times New Roman" w:cs="Times New Roman" w:eastAsia="Times New Roman" w:hAnsi="Times New Roman"/>
          <w:sz w:val="18"/>
          <w:szCs w:val="18"/>
          <w:color w:val="auto"/>
        </w:rPr>
        <w:t>Company Contributions may take the form of “supplemental” matching contributions, at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 rate provided under the Company 401(k) plan with respect to compensation deferred above the compensation limit set forth in Code Section 401(a)(17).</w:t>
      </w:r>
    </w:p>
    <w:p>
      <w:pPr>
        <w:spacing w:after="0" w:line="65" w:lineRule="exact"/>
        <w:rPr>
          <w:sz w:val="20"/>
          <w:szCs w:val="20"/>
          <w:color w:val="auto"/>
        </w:rPr>
      </w:pPr>
    </w:p>
    <w:p>
      <w:pPr>
        <w:jc w:val="both"/>
        <w:ind w:left="44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Discretionary Company Contribution. </w:t>
      </w:r>
      <w:r>
        <w:rPr>
          <w:rFonts w:ascii="Times New Roman" w:cs="Times New Roman" w:eastAsia="Times New Roman" w:hAnsi="Times New Roman"/>
          <w:sz w:val="18"/>
          <w:szCs w:val="18"/>
          <w:color w:val="auto"/>
        </w:rPr>
        <w:t>Discretionary Company Contributions are credited at the sole discretion of the Participating Employer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fact that a discretionary Company Contribution is credited in one year shall not obligate the Participating Employer to continue to make such Company Contributions in subsequent years.</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 xml:space="preserve">Vesting. </w:t>
      </w:r>
      <w:r>
        <w:rPr>
          <w:rFonts w:ascii="Times New Roman" w:cs="Times New Roman" w:eastAsia="Times New Roman" w:hAnsi="Times New Roman"/>
          <w:sz w:val="17"/>
          <w:szCs w:val="17"/>
          <w:color w:val="auto"/>
        </w:rPr>
        <w:t>Company Contributions vest according the schedule specified by the Committee on or before the time the contributions are made.</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Make-up and supplemental matching contributions vest at the same rate as matching contributions under the Company 401(k) plan.</w:t>
      </w:r>
    </w:p>
    <w:p>
      <w:pPr>
        <w:spacing w:after="0" w:line="207" w:lineRule="exact"/>
        <w:rPr>
          <w:sz w:val="20"/>
          <w:szCs w:val="20"/>
          <w:color w:val="auto"/>
        </w:rPr>
      </w:pPr>
    </w:p>
    <w:p>
      <w:pPr>
        <w:jc w:val="both"/>
        <w:ind w:left="440" w:right="140"/>
        <w:spacing w:after="0" w:line="266" w:lineRule="auto"/>
        <w:rPr>
          <w:sz w:val="20"/>
          <w:szCs w:val="20"/>
          <w:color w:val="auto"/>
        </w:rPr>
      </w:pPr>
      <w:r>
        <w:rPr>
          <w:rFonts w:ascii="Times New Roman" w:cs="Times New Roman" w:eastAsia="Times New Roman" w:hAnsi="Times New Roman"/>
          <w:sz w:val="18"/>
          <w:szCs w:val="18"/>
          <w:color w:val="auto"/>
        </w:rPr>
        <w:t>All Company Contributions become 100% vested, if while employed by an Employer, a Participant dies, becomes disabled, his or her Employer experiences a change in control as determined by the Company or the Participant attains age 60 or age 55 with ten years of service based on each 12 month period of service with an Employer commencing on the Employee’s hire date and each anniversary thereof.</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11 of 28</w:t>
      </w:r>
    </w:p>
    <w:p>
      <w:pPr>
        <w:sectPr>
          <w:pgSz w:w="11900" w:h="16838" w:orient="portrait"/>
          <w:cols w:equalWidth="0" w:num="1">
            <w:col w:w="11020"/>
          </w:cols>
          <w:pgMar w:left="440" w:top="266"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from Accounts</w:t>
      </w:r>
    </w:p>
    <w:p>
      <w:pPr>
        <w:spacing w:after="0" w:line="1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General Rules</w:t>
      </w:r>
      <w:r>
        <w:rPr>
          <w:rFonts w:ascii="Times New Roman" w:cs="Times New Roman" w:eastAsia="Times New Roman" w:hAnsi="Times New Roman"/>
          <w:sz w:val="17"/>
          <w:szCs w:val="17"/>
          <w:color w:val="auto"/>
        </w:rPr>
        <w:t>. A Participant’s Accounts become payable upon the first to occur of the payment events applicable to such Account under Sections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6.2 through 6.7.</w:t>
      </w:r>
    </w:p>
    <w:p>
      <w:pPr>
        <w:spacing w:after="0" w:line="99" w:lineRule="exact"/>
        <w:rPr>
          <w:sz w:val="20"/>
          <w:szCs w:val="20"/>
          <w:color w:val="auto"/>
        </w:rPr>
      </w:pPr>
    </w:p>
    <w:p>
      <w:pPr>
        <w:ind w:left="440" w:right="160"/>
        <w:spacing w:after="0" w:line="266" w:lineRule="auto"/>
        <w:rPr>
          <w:sz w:val="20"/>
          <w:szCs w:val="20"/>
          <w:color w:val="auto"/>
        </w:rPr>
      </w:pPr>
      <w:r>
        <w:rPr>
          <w:rFonts w:ascii="Times New Roman" w:cs="Times New Roman" w:eastAsia="Times New Roman" w:hAnsi="Times New Roman"/>
          <w:sz w:val="18"/>
          <w:szCs w:val="18"/>
          <w:color w:val="auto"/>
        </w:rPr>
        <w:t>Payment events and Payment Schedules elected by the Participant shall be set forth in a valid Compensation Deferral Agreement that establishes the Account to which such elections apply in accordance with Article IV or in a valid modification election applicable to such Account as described in Section 6.10.</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Payment amounts are based on Account Balances as of the last Valuation Date of the month next preceding the month actual payment is made.</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Specified Date Accounts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provided in Section 6.3, Specified Date Accounts will be paid as follows: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Commencement. </w:t>
      </w:r>
      <w:r>
        <w:rPr>
          <w:rFonts w:ascii="Times New Roman" w:cs="Times New Roman" w:eastAsia="Times New Roman" w:hAnsi="Times New Roman"/>
          <w:sz w:val="18"/>
          <w:szCs w:val="18"/>
          <w:color w:val="auto"/>
        </w:rPr>
        <w:t>Payment is made or begins in the year designated by the Participant.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Form of Payment. </w:t>
      </w:r>
      <w:r>
        <w:rPr>
          <w:rFonts w:ascii="Times New Roman" w:cs="Times New Roman" w:eastAsia="Times New Roman" w:hAnsi="Times New Roman"/>
          <w:sz w:val="18"/>
          <w:szCs w:val="18"/>
          <w:color w:val="auto"/>
        </w:rPr>
        <w:t>Payment will be made in a lump sum, unless the Participant elected to receive annual installments up to ten years.</w:t>
      </w:r>
    </w:p>
    <w:p>
      <w:pPr>
        <w:spacing w:after="0" w:line="1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Separation from Service</w:t>
      </w:r>
      <w:r>
        <w:rPr>
          <w:rFonts w:ascii="Times New Roman" w:cs="Times New Roman" w:eastAsia="Times New Roman" w:hAnsi="Times New Roman"/>
          <w:sz w:val="17"/>
          <w:szCs w:val="17"/>
          <w:color w:val="auto"/>
        </w:rPr>
        <w:t>. Upon a Participant’s Separation from Service other than death, the Participant is entitled to receive:</w:t>
      </w:r>
    </w:p>
    <w:p>
      <w:pPr>
        <w:spacing w:after="0" w:line="131" w:lineRule="exact"/>
        <w:rPr>
          <w:sz w:val="20"/>
          <w:szCs w:val="20"/>
          <w:color w:val="auto"/>
        </w:rPr>
      </w:pPr>
    </w:p>
    <w:p>
      <w:pPr>
        <w:ind w:left="960" w:hanging="424"/>
        <w:spacing w:after="0"/>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vested Termination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Accounts;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Date Accounts having a payment commencement year after the Participant’s Separation from Service.</w:t>
      </w:r>
    </w:p>
    <w:p>
      <w:pPr>
        <w:spacing w:after="0" w:line="115" w:lineRule="exact"/>
        <w:rPr>
          <w:sz w:val="20"/>
          <w:szCs w:val="20"/>
          <w:color w:val="auto"/>
        </w:rPr>
      </w:pPr>
    </w:p>
    <w:p>
      <w:pPr>
        <w:jc w:val="both"/>
        <w:ind w:left="44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Commencement. </w:t>
      </w:r>
      <w:r>
        <w:rPr>
          <w:rFonts w:ascii="Times New Roman" w:cs="Times New Roman" w:eastAsia="Times New Roman" w:hAnsi="Times New Roman"/>
          <w:sz w:val="18"/>
          <w:szCs w:val="18"/>
          <w:color w:val="auto"/>
        </w:rPr>
        <w:t>Payments commence in the calendar year next following the calendar year in which Separation from Service occurs,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elected a later year. Any later year election for the Termination Account will also apply to the Specified Date Accounts payable under this Section 6.3. A later year election will apply only if the Participant has met the definition of Retirement as of the date of his or her Separation from Service.</w:t>
      </w:r>
    </w:p>
    <w:p>
      <w:pPr>
        <w:spacing w:after="0" w:line="74" w:lineRule="exact"/>
        <w:rPr>
          <w:sz w:val="20"/>
          <w:szCs w:val="20"/>
          <w:color w:val="auto"/>
        </w:rPr>
      </w:pPr>
    </w:p>
    <w:p>
      <w:pPr>
        <w:ind w:left="440" w:right="16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Plan, payment to a Participant who is a “specified employee” as defined in Code Section 409A(a)(2) (B) will commence no earlier than six months following his or her Separation from Service.</w:t>
      </w:r>
    </w:p>
    <w:p>
      <w:pPr>
        <w:spacing w:after="0" w:line="52" w:lineRule="exact"/>
        <w:rPr>
          <w:sz w:val="20"/>
          <w:szCs w:val="20"/>
          <w:color w:val="auto"/>
        </w:rPr>
      </w:pPr>
    </w:p>
    <w:p>
      <w:pPr>
        <w:ind w:left="44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Form of Payment. </w:t>
      </w:r>
      <w:r>
        <w:rPr>
          <w:rFonts w:ascii="Times New Roman" w:cs="Times New Roman" w:eastAsia="Times New Roman" w:hAnsi="Times New Roman"/>
          <w:sz w:val="18"/>
          <w:szCs w:val="18"/>
          <w:color w:val="auto"/>
        </w:rPr>
        <w:t>The Termination Account and Separation Accounts will be paid in a single lump sum unless the Participant elected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Account to receive annual installments up to ten years. Specified Date Accounts payable under this Section 6.3 that have not commenced payment as of the Participant’s Separation from Service</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12 of 28</w:t>
      </w:r>
    </w:p>
    <w:p>
      <w:pPr>
        <w:sectPr>
          <w:pgSz w:w="11900" w:h="16838" w:orient="portrait"/>
          <w:cols w:equalWidth="0" w:num="1">
            <w:col w:w="11020"/>
          </w:cols>
          <w:pgMar w:left="440" w:top="266"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62" w:lineRule="exact"/>
        <w:rPr>
          <w:sz w:val="20"/>
          <w:szCs w:val="20"/>
          <w:color w:val="auto"/>
        </w:rPr>
      </w:pPr>
    </w:p>
    <w:p>
      <w:pPr>
        <w:jc w:val="both"/>
        <w:ind w:left="440" w:right="60"/>
        <w:spacing w:after="0" w:line="266" w:lineRule="auto"/>
        <w:rPr>
          <w:sz w:val="20"/>
          <w:szCs w:val="20"/>
          <w:color w:val="auto"/>
        </w:rPr>
      </w:pPr>
      <w:r>
        <w:rPr>
          <w:rFonts w:ascii="Times New Roman" w:cs="Times New Roman" w:eastAsia="Times New Roman" w:hAnsi="Times New Roman"/>
          <w:sz w:val="18"/>
          <w:szCs w:val="18"/>
          <w:color w:val="auto"/>
        </w:rPr>
        <w:t>will be paid in the same form elected for the Termination Account. A Participant’s election will apply only if the Participant has met the definition of Retirement as of the date of his or her Separation from Service. If a Participant’s Separation from Service occurs prior to his or her Retirement, all of his or her Accounts payable under this Section 6.3 shall be paid in a single lump sum.</w:t>
      </w:r>
    </w:p>
    <w:p>
      <w:pPr>
        <w:spacing w:after="0" w:line="81" w:lineRule="exact"/>
        <w:rPr>
          <w:sz w:val="20"/>
          <w:szCs w:val="20"/>
          <w:color w:val="auto"/>
        </w:rPr>
      </w:pPr>
    </w:p>
    <w:p>
      <w:pPr>
        <w:ind w:left="420" w:right="20" w:hanging="431"/>
        <w:spacing w:after="0" w:line="254" w:lineRule="auto"/>
        <w:tabs>
          <w:tab w:leader="none" w:pos="4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Upon his or her initial enrollment in the Plan after the Effective Date, the Participant may elect to receive his or her Accounts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following Separation from Service that occurs within 24 months following a Change in Control. A Change in Control payment election will apply if the Participant has met the definition of Retirement as of the date of his or her Separation from Service and supersedes all other Separation from Service Payment Schedules with respect to his or her Accounts. Payment will be made in a single lump sum commencing in the calendar year next following the year in which Separation from Service occurs, unless the Participant elects during his or her initial enrollment to receive a designated number of annual installments up to five years. If an installment election is made, the election will apply to the Termination Account, any Separation Accounts and any Specified Date Accounts that have not commenced payment as of the Participant’s Separation from Service. If a lump sum is elected, the election will apply to the unpaid balances of all of the Participant’s Accounts subject to this Section 6.4. An election to receive a lump sum may not be modified under Section 6.10.</w:t>
      </w:r>
    </w:p>
    <w:p>
      <w:pPr>
        <w:spacing w:after="0" w:line="94" w:lineRule="exact"/>
        <w:rPr>
          <w:sz w:val="20"/>
          <w:szCs w:val="20"/>
          <w:color w:val="auto"/>
        </w:rPr>
      </w:pPr>
    </w:p>
    <w:p>
      <w:pPr>
        <w:jc w:val="both"/>
        <w:ind w:left="420" w:right="12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Notwithstanding anything to the contrary in this Article VI, upon the death of the Participant (regardless of whether such Participant is 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Employee or Director at the time of death), all remaining vested Account Balances shall be paid to his or her Beneficiary in a single lump sum no later than December 31 of the calendar year of the Participant’s death.</w:t>
      </w:r>
    </w:p>
    <w:p>
      <w:pPr>
        <w:spacing w:after="0" w:line="79" w:lineRule="exact"/>
        <w:rPr>
          <w:sz w:val="20"/>
          <w:szCs w:val="20"/>
          <w:color w:val="auto"/>
        </w:rPr>
      </w:pPr>
    </w:p>
    <w:p>
      <w:pPr>
        <w:ind w:left="960" w:right="40" w:hanging="532"/>
        <w:spacing w:after="0" w:line="256" w:lineRule="auto"/>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Designation of Beneficiary in General</w:t>
      </w:r>
      <w:r>
        <w:rPr>
          <w:rFonts w:ascii="Times New Roman" w:cs="Times New Roman" w:eastAsia="Times New Roman" w:hAnsi="Times New Roman"/>
          <w:sz w:val="18"/>
          <w:szCs w:val="18"/>
          <w:color w:val="auto"/>
        </w:rPr>
        <w:t>. The Participant shall designate a Beneficiary in the manner and on such terms and conditions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may prescribe. No such designation shall become effective unless filed with the Committee during the Participant’s lifetime. Any designation shall remain in effect until a new designation is filed with the Committee; provided, however, that in the event a Participant designates his or her spouse as a Beneficiary, such designation shall be automatically revoked upon the dissolution of the marriage unless, following such dissolution, the Participant submits a new designation naming the former spouse as a Beneficiary. A Participant may from time to time change his or her designated Beneficiary without the consent of a previously-designated Beneficiary by filing a new designation with the Committee.</w:t>
      </w:r>
    </w:p>
    <w:p>
      <w:pPr>
        <w:spacing w:after="0" w:line="88" w:lineRule="exact"/>
        <w:rPr>
          <w:rFonts w:ascii="Times New Roman" w:cs="Times New Roman" w:eastAsia="Times New Roman" w:hAnsi="Times New Roman"/>
          <w:sz w:val="18"/>
          <w:szCs w:val="18"/>
          <w:color w:val="auto"/>
        </w:rPr>
      </w:pPr>
    </w:p>
    <w:p>
      <w:pPr>
        <w:ind w:left="960" w:right="100" w:hanging="532"/>
        <w:spacing w:after="0" w:line="267" w:lineRule="auto"/>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Beneficiary</w:t>
      </w:r>
      <w:r>
        <w:rPr>
          <w:rFonts w:ascii="Times New Roman" w:cs="Times New Roman" w:eastAsia="Times New Roman" w:hAnsi="Times New Roman"/>
          <w:sz w:val="18"/>
          <w:szCs w:val="18"/>
          <w:color w:val="auto"/>
        </w:rPr>
        <w:t>. If a designated Beneficiary does not survive the Participant, or if there is no valid Beneficiary designation,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under the Plan upon the death of the Participant shall be paid to the Participant’s spouse, or if there is no surviving spouse, then to the duly appointed and currently acting personal representative of the Participant’s estate.</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13 of 28</w:t>
      </w:r>
    </w:p>
    <w:p>
      <w:pPr>
        <w:sectPr>
          <w:pgSz w:w="11900" w:h="16838" w:orient="portrait"/>
          <w:cols w:equalWidth="0" w:num="1">
            <w:col w:w="11020"/>
          </w:cols>
          <w:pgMar w:left="440" w:top="266"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20" w:right="60" w:hanging="431"/>
        <w:spacing w:after="0" w:line="254" w:lineRule="auto"/>
        <w:tabs>
          <w:tab w:leader="none" w:pos="40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u w:val="single" w:color="auto"/>
          <w:color w:val="auto"/>
        </w:rPr>
        <w:t>Unforeseeable Emergency</w:t>
      </w:r>
      <w:r>
        <w:rPr>
          <w:rFonts w:ascii="Times New Roman" w:cs="Times New Roman" w:eastAsia="Times New Roman" w:hAnsi="Times New Roman"/>
          <w:sz w:val="18"/>
          <w:szCs w:val="18"/>
          <w:color w:val="auto"/>
        </w:rPr>
        <w:t>. A Participant who experiences an Unforeseeable Emergency may submit a written request to the Committee to receive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payment of all or any portion of his or her vested Accounts. If the emergency need cannot be relieved by cessation of Deferrals to the Plan, the Committee may approve an emergency payment therefrom not to exceed the amount reasonably necessary to satisfy the need, taking into account the additional compensation that is available to the Participant as the result of cancellation of deferrals to the Plan, including amounts necessary to pay any taxes or penalties that the Participant reasonably anticipates will result from the payment. The amount of the emergency payment shall be subtracted from the Separation Accounts and then from the Specified Date Accounts, starting with the Account having the latest commencement date until fully distributed, then continuing in this manner with the next latest Account until the full amount of the distribution is made. Emergency payments shall be paid in a single lump sum within the 90-day period following the date the payment is approved by the Committee. The Committee may specify that Deferrals will be distributed before any Company Contributions.</w:t>
      </w:r>
    </w:p>
    <w:p>
      <w:pPr>
        <w:spacing w:after="0" w:line="94" w:lineRule="exact"/>
        <w:rPr>
          <w:sz w:val="20"/>
          <w:szCs w:val="20"/>
          <w:color w:val="auto"/>
        </w:rPr>
      </w:pPr>
    </w:p>
    <w:p>
      <w:pPr>
        <w:ind w:left="420" w:right="40" w:hanging="431"/>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Administrative Cash-Out of Small Balances</w:t>
      </w:r>
      <w:r>
        <w:rPr>
          <w:rFonts w:ascii="Times New Roman" w:cs="Times New Roman" w:eastAsia="Times New Roman" w:hAnsi="Times New Roman"/>
          <w:sz w:val="18"/>
          <w:szCs w:val="18"/>
          <w:color w:val="auto"/>
        </w:rPr>
        <w:t>. Notwithstanding anything to the contrary in this Article VI, the Committee may at any time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without regard to whether a payment event has occurred, direct in writing an immediate lump sum payment of the Participant’s Accounts if the balance of such Accounts, combined with any other amounts required to be treated as deferred under a single plan pursuant to Code Section 409A, does not exceed the applicable dollar amount under Code Section 402(g)(1)(B), provided any other such aggregated amounts are also distributed in a lump sum at the same time.</w:t>
      </w:r>
    </w:p>
    <w:p>
      <w:pPr>
        <w:spacing w:after="0" w:line="89" w:lineRule="exact"/>
        <w:rPr>
          <w:sz w:val="20"/>
          <w:szCs w:val="20"/>
          <w:color w:val="auto"/>
        </w:rPr>
      </w:pPr>
    </w:p>
    <w:p>
      <w:pPr>
        <w:ind w:left="420" w:right="480" w:hanging="431"/>
        <w:spacing w:after="0" w:line="261" w:lineRule="auto"/>
        <w:tabs>
          <w:tab w:leader="none" w:pos="40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u w:val="single" w:color="auto"/>
          <w:color w:val="auto"/>
        </w:rPr>
        <w:t>Acceleration of or Delay in Payments</w:t>
      </w:r>
      <w:r>
        <w:rPr>
          <w:rFonts w:ascii="Times New Roman" w:cs="Times New Roman" w:eastAsia="Times New Roman" w:hAnsi="Times New Roman"/>
          <w:sz w:val="18"/>
          <w:szCs w:val="18"/>
          <w:color w:val="auto"/>
        </w:rPr>
        <w:t>. Notwithstanding anything to the contrary in this Article VI, the Committee, in its sole and absolute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discretion, may elect to accelerate the time or form of payment of an Account, provided such acceleration is permitted under Treas. Reg. Section 1.409A-3(j)(4). The Committee may also, in its sole and absolute discretion, delay the time for payment of an Account, to the extent permitted under Treas. Reg. Section 1.409A-2(b)(7).</w:t>
      </w:r>
    </w:p>
    <w:p>
      <w:pPr>
        <w:spacing w:after="0" w:line="85" w:lineRule="exact"/>
        <w:rPr>
          <w:sz w:val="20"/>
          <w:szCs w:val="20"/>
          <w:color w:val="auto"/>
        </w:rPr>
      </w:pPr>
    </w:p>
    <w:p>
      <w:pPr>
        <w:ind w:left="420" w:right="160" w:hanging="431"/>
        <w:spacing w:after="0" w:line="272" w:lineRule="auto"/>
        <w:tabs>
          <w:tab w:leader="none" w:pos="40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u w:val="single" w:color="auto"/>
          <w:color w:val="auto"/>
        </w:rPr>
        <w:t>Rules Applicable to Installment Payments</w:t>
      </w:r>
      <w:r>
        <w:rPr>
          <w:rFonts w:ascii="Times New Roman" w:cs="Times New Roman" w:eastAsia="Times New Roman" w:hAnsi="Times New Roman"/>
          <w:sz w:val="17"/>
          <w:szCs w:val="17"/>
          <w:color w:val="auto"/>
        </w:rPr>
        <w:t>. If a Payment Schedule specifies installment payments, payments will be made beginning as of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payment commencement date for such installments and shall continue to be made in each subsequent payment period until the number of installment payments specified in the Payment Schedule has been paid. The amount of each installment payment shall be determined by dividing</w:t>
      </w:r>
    </w:p>
    <w:p>
      <w:pPr>
        <w:spacing w:after="0" w:line="2" w:lineRule="exact"/>
        <w:rPr>
          <w:sz w:val="20"/>
          <w:szCs w:val="20"/>
          <w:color w:val="auto"/>
        </w:rPr>
      </w:pPr>
    </w:p>
    <w:p>
      <w:pPr>
        <w:ind w:left="420" w:right="100" w:firstLine="8"/>
        <w:spacing w:after="0" w:line="253" w:lineRule="auto"/>
        <w:tabs>
          <w:tab w:leader="none" w:pos="66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 where (a) equals the Account Balance as of the last Valuation Date in the month preceding the month of payment and (b) equals the remaining number of installment payments. For purposes of Section 6.10, installment payments will be treated as a single payment. If an Account is payable in installments, the Account will continue to be credited with Earnings in accordance with Article VII hereof until the Account is completely distributed.</w:t>
      </w:r>
    </w:p>
    <w:p>
      <w:pPr>
        <w:spacing w:after="0" w:line="94" w:lineRule="exact"/>
        <w:rPr>
          <w:sz w:val="20"/>
          <w:szCs w:val="20"/>
          <w:color w:val="auto"/>
        </w:rPr>
      </w:pPr>
    </w:p>
    <w:p>
      <w:pPr>
        <w:jc w:val="both"/>
        <w:ind w:left="420" w:right="660" w:hanging="431"/>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Modifications to Payment Schedules</w:t>
      </w:r>
      <w:r>
        <w:rPr>
          <w:rFonts w:ascii="Times New Roman" w:cs="Times New Roman" w:eastAsia="Times New Roman" w:hAnsi="Times New Roman"/>
          <w:sz w:val="18"/>
          <w:szCs w:val="18"/>
          <w:color w:val="auto"/>
        </w:rPr>
        <w:t>. A Participant may modify the Payment Schedule elected by him or her with respect to an Account, consistent with the permissible Payment Schedules available under the Plan for the applicable payment event, provided such modification complies with the requirements of this Section 6.10.</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14 of 28</w:t>
      </w:r>
    </w:p>
    <w:p>
      <w:pPr>
        <w:sectPr>
          <w:pgSz w:w="11900" w:h="16838" w:orient="portrait"/>
          <w:cols w:equalWidth="0" w:num="1">
            <w:col w:w="11020"/>
          </w:cols>
          <w:pgMar w:left="440" w:top="266"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60" w:lineRule="exact"/>
        <w:rPr>
          <w:sz w:val="20"/>
          <w:szCs w:val="20"/>
          <w:color w:val="auto"/>
        </w:rPr>
      </w:pPr>
    </w:p>
    <w:p>
      <w:pPr>
        <w:ind w:left="960" w:right="100" w:hanging="532"/>
        <w:spacing w:after="0" w:line="284"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Election</w:t>
      </w:r>
      <w:r>
        <w:rPr>
          <w:rFonts w:ascii="Times New Roman" w:cs="Times New Roman" w:eastAsia="Times New Roman" w:hAnsi="Times New Roman"/>
          <w:sz w:val="18"/>
          <w:szCs w:val="18"/>
          <w:color w:val="auto"/>
        </w:rPr>
        <w:t>. The modification election must be submitted to the Committee not less than 12 months prior to the date payments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commenced under the Payment Schedule in effect prior to modification (the “Prior Election”).</w:t>
      </w:r>
    </w:p>
    <w:p>
      <w:pPr>
        <w:spacing w:after="0" w:line="63" w:lineRule="exact"/>
        <w:rPr>
          <w:rFonts w:ascii="Times New Roman" w:cs="Times New Roman" w:eastAsia="Times New Roman" w:hAnsi="Times New Roman"/>
          <w:sz w:val="18"/>
          <w:szCs w:val="18"/>
          <w:color w:val="auto"/>
        </w:rPr>
      </w:pPr>
    </w:p>
    <w:p>
      <w:pPr>
        <w:ind w:left="960" w:right="180" w:hanging="532"/>
        <w:spacing w:after="0" w:line="258"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Date of Payment under Modified Payment Schedule</w:t>
      </w:r>
      <w:r>
        <w:rPr>
          <w:rFonts w:ascii="Times New Roman" w:cs="Times New Roman" w:eastAsia="Times New Roman" w:hAnsi="Times New Roman"/>
          <w:sz w:val="18"/>
          <w:szCs w:val="18"/>
          <w:color w:val="auto"/>
        </w:rPr>
        <w:t>. The date payments are to commence under the modified Payment Schedule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earlier than five years after the date payment would have commenced under the Prior Election. Under no circumstances may a modification election result in an acceleration of payments in violation of Code Section 409A. If the Participant modifies only the form, and not the commencement date for payment, payments shall commence on the fifth anniversary of the date payment would have commenced under the Prior Election.</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Irrevocability; Effective Date</w:t>
      </w:r>
      <w:r>
        <w:rPr>
          <w:rFonts w:ascii="Times New Roman" w:cs="Times New Roman" w:eastAsia="Times New Roman" w:hAnsi="Times New Roman"/>
          <w:sz w:val="18"/>
          <w:szCs w:val="18"/>
          <w:color w:val="auto"/>
        </w:rPr>
        <w:t>. A modification election is irrevocable when filed and becomes effective 12 months after the filing date.</w:t>
      </w:r>
    </w:p>
    <w:p>
      <w:pPr>
        <w:spacing w:after="0" w:line="130" w:lineRule="exact"/>
        <w:rPr>
          <w:rFonts w:ascii="Times New Roman" w:cs="Times New Roman" w:eastAsia="Times New Roman" w:hAnsi="Times New Roman"/>
          <w:sz w:val="18"/>
          <w:szCs w:val="18"/>
          <w:color w:val="auto"/>
        </w:rPr>
      </w:pPr>
    </w:p>
    <w:p>
      <w:pPr>
        <w:ind w:left="960" w:right="20" w:hanging="532"/>
        <w:spacing w:after="0" w:line="284"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on Accounts</w:t>
      </w:r>
      <w:r>
        <w:rPr>
          <w:rFonts w:ascii="Times New Roman" w:cs="Times New Roman" w:eastAsia="Times New Roman" w:hAnsi="Times New Roman"/>
          <w:sz w:val="18"/>
          <w:szCs w:val="18"/>
          <w:color w:val="auto"/>
        </w:rPr>
        <w:t>. An election to modify a Payment Schedule is specific to the Account or payment event to which it applies and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construed to affect the Payment Schedules or payment events of any other Accounts.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Account Balances; Investments</w:t>
      </w:r>
    </w:p>
    <w:p>
      <w:pPr>
        <w:spacing w:after="0" w:line="133" w:lineRule="exact"/>
        <w:rPr>
          <w:sz w:val="20"/>
          <w:szCs w:val="20"/>
          <w:color w:val="auto"/>
        </w:rPr>
      </w:pPr>
    </w:p>
    <w:p>
      <w:pPr>
        <w:ind w:left="420" w:right="18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 xml:space="preserve">Valuation. </w:t>
      </w:r>
      <w:r>
        <w:rPr>
          <w:rFonts w:ascii="Times New Roman" w:cs="Times New Roman" w:eastAsia="Times New Roman" w:hAnsi="Times New Roman"/>
          <w:sz w:val="18"/>
          <w:szCs w:val="18"/>
          <w:color w:val="auto"/>
        </w:rPr>
        <w:t>Deferrals shall be credited to appropriate Accounts on the date such Compensation would have been paid to the Participant absent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Compensation Deferral Agreement. Valuation of Accounts shall be performed under procedures approved by the Committee.</w:t>
      </w:r>
    </w:p>
    <w:p>
      <w:pPr>
        <w:spacing w:after="0" w:line="67" w:lineRule="exact"/>
        <w:rPr>
          <w:sz w:val="20"/>
          <w:szCs w:val="20"/>
          <w:color w:val="auto"/>
        </w:rPr>
      </w:pPr>
    </w:p>
    <w:p>
      <w:pPr>
        <w:ind w:left="420" w:right="4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 xml:space="preserve">Earnings Credit. </w:t>
      </w:r>
      <w:r>
        <w:rPr>
          <w:rFonts w:ascii="Times New Roman" w:cs="Times New Roman" w:eastAsia="Times New Roman" w:hAnsi="Times New Roman"/>
          <w:sz w:val="18"/>
          <w:szCs w:val="18"/>
          <w:color w:val="auto"/>
        </w:rPr>
        <w:t>Each Account will be credited with Earnings on each Business Day, based upon the Participant’s investment allocation among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menu of investment options selected in advance by the Committee, in accordance with the provisions of this Article VII (“investment allocation”).</w:t>
      </w:r>
    </w:p>
    <w:p>
      <w:pPr>
        <w:spacing w:after="0" w:line="67" w:lineRule="exact"/>
        <w:rPr>
          <w:sz w:val="20"/>
          <w:szCs w:val="20"/>
          <w:color w:val="auto"/>
        </w:rPr>
      </w:pPr>
    </w:p>
    <w:p>
      <w:pPr>
        <w:ind w:left="420" w:right="6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Investment Options</w:t>
      </w:r>
      <w:r>
        <w:rPr>
          <w:rFonts w:ascii="Times New Roman" w:cs="Times New Roman" w:eastAsia="Times New Roman" w:hAnsi="Times New Roman"/>
          <w:sz w:val="18"/>
          <w:szCs w:val="18"/>
          <w:color w:val="auto"/>
        </w:rPr>
        <w:t>. Investment options will be determined by the Committee. The Committee, in its sole discretion, shall be permitted to add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remove investment options from the Plan menu from time to time, provided that any such additions or removals of investment options shall not be effective with respect to any period prior to the effective date of such change.</w:t>
      </w:r>
    </w:p>
    <w:p>
      <w:pPr>
        <w:spacing w:after="0" w:line="81" w:lineRule="exact"/>
        <w:rPr>
          <w:sz w:val="20"/>
          <w:szCs w:val="20"/>
          <w:color w:val="auto"/>
        </w:rPr>
      </w:pPr>
    </w:p>
    <w:p>
      <w:pPr>
        <w:ind w:left="420" w:right="280" w:hanging="431"/>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u w:val="single" w:color="auto"/>
          <w:color w:val="auto"/>
        </w:rPr>
        <w:t xml:space="preserve">Investment Allocations. </w:t>
      </w:r>
      <w:r>
        <w:rPr>
          <w:rFonts w:ascii="Times New Roman" w:cs="Times New Roman" w:eastAsia="Times New Roman" w:hAnsi="Times New Roman"/>
          <w:sz w:val="18"/>
          <w:szCs w:val="18"/>
          <w:color w:val="auto"/>
        </w:rPr>
        <w:t>A Participant’s investment allocation constitutes a deemed, not actual, investment among the investment options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comprising the investment menu. At no time shall a Participant have any real or beneficial ownership in any investment option included in the investment menu, nor shall the Participating Employer or any trustee acting on its behalf have any obligation to purchase actual securities as a result of a Participant’s investment allocation. A Participant’s investment allocation shall be used solely for purposes of adjusting the value of a Participant’s Account Balances.</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15 of 28</w:t>
      </w:r>
    </w:p>
    <w:p>
      <w:pPr>
        <w:sectPr>
          <w:pgSz w:w="11900" w:h="16838" w:orient="portrait"/>
          <w:cols w:equalWidth="0" w:num="1">
            <w:col w:w="11020"/>
          </w:cols>
          <w:pgMar w:left="440" w:top="266"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40" w:right="180"/>
        <w:spacing w:after="0" w:line="289" w:lineRule="auto"/>
        <w:rPr>
          <w:sz w:val="20"/>
          <w:szCs w:val="20"/>
          <w:color w:val="auto"/>
        </w:rPr>
      </w:pPr>
      <w:r>
        <w:rPr>
          <w:rFonts w:ascii="Times New Roman" w:cs="Times New Roman" w:eastAsia="Times New Roman" w:hAnsi="Times New Roman"/>
          <w:sz w:val="17"/>
          <w:szCs w:val="17"/>
          <w:color w:val="auto"/>
        </w:rPr>
        <w:t>A Participant shall specify an investment allocation for each of his Accounts in accordance with procedures established by the Committee. Allocation among the investment options must be designated in increments of 1%. The Participant’s investment allocation will become effective on the same Business Day or, in the case of investment allocations received after a time specified by the Committee, the next Business Day.</w:t>
      </w:r>
    </w:p>
    <w:p>
      <w:pPr>
        <w:spacing w:after="0" w:line="50" w:lineRule="exact"/>
        <w:rPr>
          <w:sz w:val="20"/>
          <w:szCs w:val="20"/>
          <w:color w:val="auto"/>
        </w:rPr>
      </w:pPr>
    </w:p>
    <w:p>
      <w:pPr>
        <w:jc w:val="both"/>
        <w:ind w:left="440" w:right="20"/>
        <w:spacing w:after="0" w:line="289" w:lineRule="auto"/>
        <w:rPr>
          <w:sz w:val="20"/>
          <w:szCs w:val="20"/>
          <w:color w:val="auto"/>
        </w:rPr>
      </w:pPr>
      <w:r>
        <w:rPr>
          <w:rFonts w:ascii="Times New Roman" w:cs="Times New Roman" w:eastAsia="Times New Roman" w:hAnsi="Times New Roman"/>
          <w:sz w:val="17"/>
          <w:szCs w:val="17"/>
          <w:color w:val="auto"/>
        </w:rPr>
        <w:t>A Participant may change an investment allocation on any Business Day, both with respect to future credits to the Plan and with respect to existing Account Balances, in accordance with procedures adopted by the Committee. Changes shall become effective on the same Business Day or, in the case of investment allocations received after a time specified by the Committee, the next Business Day, and shall be applied prospectively.</w:t>
      </w:r>
    </w:p>
    <w:p>
      <w:pPr>
        <w:spacing w:after="0" w:line="63" w:lineRule="exact"/>
        <w:rPr>
          <w:sz w:val="20"/>
          <w:szCs w:val="20"/>
          <w:color w:val="auto"/>
        </w:rPr>
      </w:pPr>
    </w:p>
    <w:p>
      <w:pPr>
        <w:ind w:left="420" w:right="26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 xml:space="preserve">Unallocated Deferrals and Accounts. </w:t>
      </w:r>
      <w:r>
        <w:rPr>
          <w:rFonts w:ascii="Times New Roman" w:cs="Times New Roman" w:eastAsia="Times New Roman" w:hAnsi="Times New Roman"/>
          <w:sz w:val="18"/>
          <w:szCs w:val="18"/>
          <w:color w:val="auto"/>
        </w:rPr>
        <w:t>If the Participant fails to make an investment allocation with respect to an Account, such Account shall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invested in an investment option, the primary objective of which is the preservation of capital, as determined by the Committee.</w:t>
      </w:r>
    </w:p>
    <w:p>
      <w:pPr>
        <w:spacing w:after="0" w:line="67" w:lineRule="exact"/>
        <w:rPr>
          <w:sz w:val="20"/>
          <w:szCs w:val="20"/>
          <w:color w:val="auto"/>
        </w:rPr>
      </w:pPr>
    </w:p>
    <w:p>
      <w:pPr>
        <w:ind w:left="420" w:right="2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Valuations Final After 180 Days</w:t>
      </w:r>
      <w:r>
        <w:rPr>
          <w:rFonts w:ascii="Times New Roman" w:cs="Times New Roman" w:eastAsia="Times New Roman" w:hAnsi="Times New Roman"/>
          <w:sz w:val="18"/>
          <w:szCs w:val="18"/>
          <w:color w:val="auto"/>
        </w:rPr>
        <w:t>. The Participant shall have 180 days following the Valuation Date on which the Participant failed to receive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full amount of Earnings and to file a claim under Article XI for the correction of such error.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Plan Administration</w:t>
      </w:r>
      <w:r>
        <w:rPr>
          <w:rFonts w:ascii="Times New Roman" w:cs="Times New Roman" w:eastAsia="Times New Roman" w:hAnsi="Times New Roman"/>
          <w:sz w:val="18"/>
          <w:szCs w:val="18"/>
          <w:color w:val="auto"/>
        </w:rPr>
        <w:t>. This Plan shall be administered by the Committee which shall have discretionary authority to make, amend, interpret, and</w:t>
      </w:r>
    </w:p>
    <w:p>
      <w:pPr>
        <w:spacing w:after="0" w:line="27" w:lineRule="exact"/>
        <w:rPr>
          <w:sz w:val="20"/>
          <w:szCs w:val="20"/>
          <w:color w:val="auto"/>
        </w:rPr>
      </w:pPr>
    </w:p>
    <w:p>
      <w:pPr>
        <w:ind w:left="420" w:right="400"/>
        <w:spacing w:after="0" w:line="255" w:lineRule="auto"/>
        <w:rPr>
          <w:sz w:val="20"/>
          <w:szCs w:val="20"/>
          <w:color w:val="auto"/>
        </w:rPr>
      </w:pPr>
      <w:r>
        <w:rPr>
          <w:rFonts w:ascii="Times New Roman" w:cs="Times New Roman" w:eastAsia="Times New Roman" w:hAnsi="Times New Roman"/>
          <w:sz w:val="18"/>
          <w:szCs w:val="18"/>
          <w:color w:val="auto"/>
        </w:rPr>
        <w:t>enforce all appropriate rules and regulations for the administration of this Plan and to utilize its discretion to decide or resolve any and all questions, including but not limited to eligibility for benefits and interpretations of this Plan and its terms, as may arise in connection with the Plan. Claims for benefits shall be filed with the Committee and resolved in accordance with the claims procedures in Article XI.</w:t>
      </w:r>
    </w:p>
    <w:p>
      <w:pPr>
        <w:spacing w:after="0" w:line="91" w:lineRule="exact"/>
        <w:rPr>
          <w:sz w:val="20"/>
          <w:szCs w:val="20"/>
          <w:color w:val="auto"/>
        </w:rPr>
      </w:pPr>
    </w:p>
    <w:p>
      <w:pPr>
        <w:ind w:left="420" w:right="200" w:hanging="431"/>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 xml:space="preserve">Administration Upon Change in Control. </w:t>
      </w:r>
      <w:r>
        <w:rPr>
          <w:rFonts w:ascii="Times New Roman" w:cs="Times New Roman" w:eastAsia="Times New Roman" w:hAnsi="Times New Roman"/>
          <w:sz w:val="18"/>
          <w:szCs w:val="18"/>
          <w:color w:val="auto"/>
        </w:rPr>
        <w:t>Upon a change in control affecting the Company, the Committee, as constituted immediately prior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such change in control, shall continue to act as the Committee. The Committee, by a vote of a majority of its members, shall have the authority (but shall not be obligated) to appoint an independent third party to act as the Committee. For purposes of this Section 8.2, a “change in control” means a change in control within the meaning of the rabbi trust agreement associated with the Plan or if no such definition is provided, the term shall have the meaning under Code Section 409A.</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16 of 28</w:t>
      </w:r>
    </w:p>
    <w:p>
      <w:pPr>
        <w:sectPr>
          <w:pgSz w:w="11900" w:h="16838" w:orient="portrait"/>
          <w:cols w:equalWidth="0" w:num="1">
            <w:col w:w="11020"/>
          </w:cols>
          <w:pgMar w:left="440" w:top="266"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40" w:right="200"/>
        <w:spacing w:after="0" w:line="266" w:lineRule="auto"/>
        <w:rPr>
          <w:sz w:val="20"/>
          <w:szCs w:val="20"/>
          <w:color w:val="auto"/>
        </w:rPr>
      </w:pPr>
      <w:r>
        <w:rPr>
          <w:rFonts w:ascii="Times New Roman" w:cs="Times New Roman" w:eastAsia="Times New Roman" w:hAnsi="Times New Roman"/>
          <w:sz w:val="18"/>
          <w:szCs w:val="18"/>
          <w:color w:val="auto"/>
        </w:rPr>
        <w:t>Upon such change in control, the Company may not remove the Committee or its members, unless a majority of Participants and Beneficiaries with Account Balances consent to the removal and replacement of the Committee. Notwithstanding the foregoing, the Committee shall not have authority to direct investment of trust assets under any rabbi trust described in Section 10.2.</w:t>
      </w:r>
    </w:p>
    <w:p>
      <w:pPr>
        <w:spacing w:after="0" w:line="68" w:lineRule="exact"/>
        <w:rPr>
          <w:sz w:val="20"/>
          <w:szCs w:val="20"/>
          <w:color w:val="auto"/>
        </w:rPr>
      </w:pPr>
    </w:p>
    <w:p>
      <w:pPr>
        <w:ind w:left="440" w:right="20"/>
        <w:spacing w:after="0" w:line="277" w:lineRule="auto"/>
        <w:rPr>
          <w:sz w:val="20"/>
          <w:szCs w:val="20"/>
          <w:color w:val="auto"/>
        </w:rPr>
      </w:pPr>
      <w:r>
        <w:rPr>
          <w:rFonts w:ascii="Times New Roman" w:cs="Times New Roman" w:eastAsia="Times New Roman" w:hAnsi="Times New Roman"/>
          <w:sz w:val="17"/>
          <w:szCs w:val="17"/>
          <w:color w:val="auto"/>
        </w:rPr>
        <w:t>The Participating Employers shall, with respect to the Committee identified under this Section: (i) pay all reasonable expenses and fees of the Committee, (ii) indemnify the Committee (including individuals serving as Committee members) against any costs, expenses and liabilities including, without limitation, attorneys’ fees and expenses arising in connection with the performance of the Committee’s duties hereunder, except with respect to matters resulting from the Committee’s gross negligence or willful misconduct, and (iii) supply full and timely information to the Committee on all matters related to the Plan, any rabbi trust, Participants, Beneficiaries and Accounts as the Committee may reasonably require.</w:t>
      </w:r>
    </w:p>
    <w:p>
      <w:pPr>
        <w:spacing w:after="0" w:line="73" w:lineRule="exact"/>
        <w:rPr>
          <w:sz w:val="20"/>
          <w:szCs w:val="20"/>
          <w:color w:val="auto"/>
        </w:rPr>
      </w:pPr>
    </w:p>
    <w:p>
      <w:pPr>
        <w:ind w:left="420" w:right="24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 xml:space="preserve">Withholding. </w:t>
      </w:r>
      <w:r>
        <w:rPr>
          <w:rFonts w:ascii="Times New Roman" w:cs="Times New Roman" w:eastAsia="Times New Roman" w:hAnsi="Times New Roman"/>
          <w:sz w:val="18"/>
          <w:szCs w:val="18"/>
          <w:color w:val="auto"/>
        </w:rPr>
        <w:t>The Participating Employer shall have the right to withhold from any payment due under the Plan (or with respect to any amounts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credited to the Plan) any taxes required by law to be withheld in respect of such payment (or credit). Withholdings with respect to amounts credited to the Plan shall be deducted from Compensation that has not been deferred to the Plan.</w:t>
      </w:r>
    </w:p>
    <w:p>
      <w:pPr>
        <w:spacing w:after="0" w:line="81" w:lineRule="exact"/>
        <w:rPr>
          <w:sz w:val="20"/>
          <w:szCs w:val="20"/>
          <w:color w:val="auto"/>
        </w:rPr>
      </w:pPr>
    </w:p>
    <w:p>
      <w:pPr>
        <w:ind w:left="420" w:right="100" w:hanging="431"/>
        <w:spacing w:after="0" w:line="254" w:lineRule="auto"/>
        <w:tabs>
          <w:tab w:leader="none" w:pos="40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u w:val="single" w:color="auto"/>
          <w:color w:val="auto"/>
        </w:rPr>
        <w:t xml:space="preserve">Indemnification. </w:t>
      </w:r>
      <w:r>
        <w:rPr>
          <w:rFonts w:ascii="Times New Roman" w:cs="Times New Roman" w:eastAsia="Times New Roman" w:hAnsi="Times New Roman"/>
          <w:sz w:val="18"/>
          <w:szCs w:val="18"/>
          <w:color w:val="auto"/>
        </w:rPr>
        <w:t>The Participating Employers shall indemnify and hold harmless each employee, officer, director, agent or organization, to whom</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to which are delegated duties, responsibilities, and authority under the Plan or otherwise with respect to administration of the Plan, including, without limitation, the Committee, its delegees and its agents, against all claims, liabilities, fines and penalties, and all expenses reasonably incurred by or imposed upon him or it (including but not limited to reasonable attorney fees) which arise as a result of his or its actions or failure to act in connection with the operation and administration of the Plan to the extent lawfully allowable and to the extent that such claim, liability, fine, penalty, or expense is not paid for by liability insurance purchased or paid for by the Participating Employer. Notwithstanding the foregoing, the Participating Employer shall not indemnify any person or organization if his or its actions or failure to act are due to gross negligence or willful misconduct or for any such amount incurred through any settlement or compromise of any action unless the Participating Employer consents in writing to such settlement or compromise.</w:t>
      </w:r>
    </w:p>
    <w:p>
      <w:pPr>
        <w:spacing w:after="0" w:line="94" w:lineRule="exact"/>
        <w:rPr>
          <w:sz w:val="20"/>
          <w:szCs w:val="20"/>
          <w:color w:val="auto"/>
        </w:rPr>
      </w:pPr>
    </w:p>
    <w:p>
      <w:pPr>
        <w:ind w:left="420" w:right="5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u w:val="single" w:color="auto"/>
          <w:color w:val="auto"/>
        </w:rPr>
        <w:t xml:space="preserve">Delegation of Authority. </w:t>
      </w:r>
      <w:r>
        <w:rPr>
          <w:rFonts w:ascii="Times New Roman" w:cs="Times New Roman" w:eastAsia="Times New Roman" w:hAnsi="Times New Roman"/>
          <w:sz w:val="18"/>
          <w:szCs w:val="18"/>
          <w:color w:val="auto"/>
        </w:rPr>
        <w:t>In the administration of this Plan, the Committee may, from time to time, employ agents and delegate to them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administrative duties as it sees fit, and may from time to time consult with legal counsel who shall be legal counsel to the Company.</w:t>
      </w:r>
    </w:p>
    <w:p>
      <w:pPr>
        <w:spacing w:after="0" w:line="67" w:lineRule="exact"/>
        <w:rPr>
          <w:sz w:val="20"/>
          <w:szCs w:val="20"/>
          <w:color w:val="auto"/>
        </w:rPr>
      </w:pPr>
    </w:p>
    <w:p>
      <w:pPr>
        <w:ind w:left="420" w:right="20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u w:val="single" w:color="auto"/>
          <w:color w:val="auto"/>
        </w:rPr>
        <w:t xml:space="preserve">Binding Decisions or Actions. </w:t>
      </w:r>
      <w:r>
        <w:rPr>
          <w:rFonts w:ascii="Times New Roman" w:cs="Times New Roman" w:eastAsia="Times New Roman" w:hAnsi="Times New Roman"/>
          <w:sz w:val="18"/>
          <w:szCs w:val="18"/>
          <w:color w:val="auto"/>
        </w:rPr>
        <w:t>The decision or action of the Committee in respect of any question arising out of or in connection with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administration, interpretation and application of the Plan and the rules and regulations thereunder shall be final and conclusive and binding upon all persons having any interest in the Plan.</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17 of 28</w:t>
      </w:r>
    </w:p>
    <w:p>
      <w:pPr>
        <w:sectPr>
          <w:pgSz w:w="11900" w:h="16838" w:orient="portrait"/>
          <w:cols w:equalWidth="0" w:num="1">
            <w:col w:w="11020"/>
          </w:cols>
          <w:pgMar w:left="440" w:top="266"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CVB Financial Corp. Deferred Compensation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IX</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33" w:lineRule="exact"/>
        <w:rPr>
          <w:sz w:val="20"/>
          <w:szCs w:val="20"/>
          <w:color w:val="auto"/>
        </w:rPr>
      </w:pPr>
    </w:p>
    <w:p>
      <w:pPr>
        <w:ind w:left="420" w:right="1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 xml:space="preserve">Amendment and Termination. </w:t>
      </w:r>
      <w:r>
        <w:rPr>
          <w:rFonts w:ascii="Times New Roman" w:cs="Times New Roman" w:eastAsia="Times New Roman" w:hAnsi="Times New Roman"/>
          <w:sz w:val="18"/>
          <w:szCs w:val="18"/>
          <w:color w:val="auto"/>
        </w:rPr>
        <w:t>The Company may at any time and from time to time amend the Plan or may terminate the Plan as provided in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Article IX. Each Participating Employer may also terminate its participation in the Plan.</w:t>
      </w:r>
    </w:p>
    <w:p>
      <w:pPr>
        <w:spacing w:after="0" w:line="67" w:lineRule="exact"/>
        <w:rPr>
          <w:sz w:val="20"/>
          <w:szCs w:val="20"/>
          <w:color w:val="auto"/>
        </w:rPr>
      </w:pPr>
    </w:p>
    <w:p>
      <w:pPr>
        <w:ind w:left="420" w:right="60" w:hanging="431"/>
        <w:spacing w:after="0" w:line="255" w:lineRule="auto"/>
        <w:tabs>
          <w:tab w:leader="none" w:pos="4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 xml:space="preserve">Amendments. </w:t>
      </w:r>
      <w:r>
        <w:rPr>
          <w:rFonts w:ascii="Times New Roman" w:cs="Times New Roman" w:eastAsia="Times New Roman" w:hAnsi="Times New Roman"/>
          <w:sz w:val="18"/>
          <w:szCs w:val="18"/>
          <w:color w:val="auto"/>
        </w:rPr>
        <w:t>The Company, by action taken by its Board of Directors, may amend the Plan at any time and for any reason, provided that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such amendment shall not reduce the vested Account Balances of any Participant accrued as of the date of any such amendment or restatement (as if the Participant had incurred a voluntary Separation from Service on such date). The Board of Directors of the Company may delegate to the Committee the authority to amend the Plan without the consent of the Board of Directors for the purpose of: (i) conforming the Plan to the requirements of law; (ii) facilitating the administration of the Plan; (iii) clarifying provisions based on the Committee’s interpretation of the Plan documents; and (iv) making such other amendments as the Board of Directors may authorize. No amendment is needed to revise the list of Participating Employers set forth on Schedule A attached hereto.</w:t>
      </w:r>
    </w:p>
    <w:p>
      <w:pPr>
        <w:spacing w:after="0" w:line="94" w:lineRule="exact"/>
        <w:rPr>
          <w:sz w:val="20"/>
          <w:szCs w:val="20"/>
          <w:color w:val="auto"/>
        </w:rPr>
      </w:pPr>
    </w:p>
    <w:p>
      <w:pPr>
        <w:ind w:left="420" w:right="66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 xml:space="preserve">Termination. </w:t>
      </w:r>
      <w:r>
        <w:rPr>
          <w:rFonts w:ascii="Times New Roman" w:cs="Times New Roman" w:eastAsia="Times New Roman" w:hAnsi="Times New Roman"/>
          <w:sz w:val="18"/>
          <w:szCs w:val="18"/>
          <w:color w:val="auto"/>
        </w:rPr>
        <w:t>The Company, by action taken by its Board of Directors, may terminate the Plan and pay Participants and Beneficiaries their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Account Balances in a single lump sum at any time, to the extent and in accordance with Treas. Reg. Section 1.409A-3(j)(4)(ix).</w:t>
      </w:r>
    </w:p>
    <w:p>
      <w:pPr>
        <w:spacing w:after="0" w:line="67" w:lineRule="exact"/>
        <w:rPr>
          <w:sz w:val="20"/>
          <w:szCs w:val="20"/>
          <w:color w:val="auto"/>
        </w:rPr>
      </w:pPr>
    </w:p>
    <w:p>
      <w:pPr>
        <w:jc w:val="both"/>
        <w:ind w:left="420" w:right="20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u w:val="single" w:color="auto"/>
          <w:color w:val="auto"/>
        </w:rPr>
        <w:t xml:space="preserve">Accounts Taxable Under Code Section 409A. </w:t>
      </w:r>
      <w:r>
        <w:rPr>
          <w:rFonts w:ascii="Times New Roman" w:cs="Times New Roman" w:eastAsia="Times New Roman" w:hAnsi="Times New Roman"/>
          <w:sz w:val="18"/>
          <w:szCs w:val="18"/>
          <w:color w:val="auto"/>
        </w:rPr>
        <w:t>The Plan is intended to constitute a plan of deferred compensation that meets the requirements for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deferral of income taxation under Code Section 409A. The Committee, pursuant to its authority to interpret the Plan, may sever from the Plan or any Compensation Deferral Agreement any provision or exercise of a right that otherwise would result in a violation of Code Section 409A.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Informal Funding</w:t>
      </w:r>
    </w:p>
    <w:p>
      <w:pPr>
        <w:spacing w:after="0" w:line="133" w:lineRule="exact"/>
        <w:rPr>
          <w:sz w:val="20"/>
          <w:szCs w:val="20"/>
          <w:color w:val="auto"/>
        </w:rPr>
      </w:pPr>
    </w:p>
    <w:p>
      <w:pPr>
        <w:ind w:left="420" w:right="60" w:hanging="431"/>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General Assets.</w:t>
      </w:r>
      <w:r>
        <w:rPr>
          <w:rFonts w:ascii="Times New Roman" w:cs="Times New Roman" w:eastAsia="Times New Roman" w:hAnsi="Times New Roman"/>
          <w:sz w:val="18"/>
          <w:szCs w:val="18"/>
          <w:color w:val="auto"/>
        </w:rPr>
        <w:t xml:space="preserve"> Obligations established under the terms of the Plan may be satisfied from the general funds of the Participating Employers, or a trust described in this Article X. No Participant, spouse or Beneficiary shall have any right, title, or interest whatever in assets of the Participating Employers. Nothing contained in this Plan, and no action taken pursuant to its provisions, shall create or be construed to create a trust of any kind, or a fiduciary relationship, between the Participating Employers and any Employee, Director, spouse, or Beneficiary. To the extent that any person acquires a right to receive payments hereunder, such rights are no greater than the right of an unsecured general creditor of the Participating Employer.</w:t>
      </w:r>
    </w:p>
    <w:p>
      <w:pPr>
        <w:spacing w:after="0" w:line="93" w:lineRule="exact"/>
        <w:rPr>
          <w:sz w:val="20"/>
          <w:szCs w:val="20"/>
          <w:color w:val="auto"/>
        </w:rPr>
      </w:pPr>
    </w:p>
    <w:p>
      <w:pPr>
        <w:ind w:left="420" w:right="100" w:hanging="431"/>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Rabbi Trust.</w:t>
      </w:r>
      <w:r>
        <w:rPr>
          <w:rFonts w:ascii="Times New Roman" w:cs="Times New Roman" w:eastAsia="Times New Roman" w:hAnsi="Times New Roman"/>
          <w:sz w:val="18"/>
          <w:szCs w:val="18"/>
          <w:color w:val="auto"/>
        </w:rPr>
        <w:t xml:space="preserve"> A Participating Employer may, in its sole discretion, establish a grantor trust, commonly known as a rabbi trust, as a vehicle for accumulating assets to pay benefits under the Plan. Payments under the Plan may be paid from the general assets of the Participating Employer or from the assets of any such rabbi trust. Payment from any such source shall reduce the obligation owed to the Participant or Beneficiary under the Plan.</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18 of 28</w:t>
      </w:r>
    </w:p>
    <w:p>
      <w:pPr>
        <w:sectPr>
          <w:pgSz w:w="11900" w:h="16838" w:orient="portrait"/>
          <w:cols w:equalWidth="0" w:num="1">
            <w:col w:w="11020"/>
          </w:cols>
          <w:pgMar w:left="440" w:top="266"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jc w:val="both"/>
        <w:ind w:left="440" w:right="240"/>
        <w:spacing w:after="0" w:line="266" w:lineRule="auto"/>
        <w:rPr>
          <w:sz w:val="20"/>
          <w:szCs w:val="20"/>
          <w:color w:val="auto"/>
        </w:rPr>
      </w:pPr>
      <w:r>
        <w:rPr>
          <w:rFonts w:ascii="Times New Roman" w:cs="Times New Roman" w:eastAsia="Times New Roman" w:hAnsi="Times New Roman"/>
          <w:sz w:val="18"/>
          <w:szCs w:val="18"/>
          <w:color w:val="auto"/>
        </w:rPr>
        <w:t>If a rabbi trust is in existence upon the occurrence of a “change in control”, as defined in such trust, the Participating Employer shall, upon such change in control, and on each anniversary of the change in control, contribute in cash or liquid securities such amounts as are necessary so that the value of assets after making the contributions exceed 125% of the total value of all Account Balances.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33" w:lineRule="exact"/>
        <w:rPr>
          <w:sz w:val="20"/>
          <w:szCs w:val="20"/>
          <w:color w:val="auto"/>
        </w:rPr>
      </w:pPr>
    </w:p>
    <w:p>
      <w:pPr>
        <w:ind w:left="420" w:right="60" w:hanging="431"/>
        <w:spacing w:after="0" w:line="25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Filing a Claim.</w:t>
      </w:r>
      <w:r>
        <w:rPr>
          <w:rFonts w:ascii="Times New Roman" w:cs="Times New Roman" w:eastAsia="Times New Roman" w:hAnsi="Times New Roman"/>
          <w:sz w:val="18"/>
          <w:szCs w:val="18"/>
          <w:color w:val="auto"/>
        </w:rPr>
        <w:t xml:space="preserve"> Any controversy or claim arising out of or relating to the Plan shall be filed in writing with the Committee which shall make all determinations concerning such claim. Any claim filed with the Committee and any decision by the Committee denying such claim shall be in writing and shall be delivered to the Participant or Beneficiary filing the claim (the “Claimant”). Notice of a claim for payments shall be delivered to the Committee within 90 days of the latest date upon which the payment could have been timely made in accordance with the terms of the Plan and Code Section 409A, and if not paid, the Participant or Beneficiary must file a claim under this Article XI not later than 180 days after such latest date. If the Participant or Beneficiary fails to file a timely claim, the Participant forfeits any amounts to which he or she may have been entitled to receive under the claim.</w:t>
      </w:r>
    </w:p>
    <w:p>
      <w:pPr>
        <w:spacing w:after="0" w:line="92" w:lineRule="exact"/>
        <w:rPr>
          <w:sz w:val="20"/>
          <w:szCs w:val="20"/>
          <w:color w:val="auto"/>
        </w:rPr>
      </w:pPr>
    </w:p>
    <w:p>
      <w:pPr>
        <w:ind w:left="960" w:right="80" w:hanging="532"/>
        <w:spacing w:after="0" w:line="258"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Notice of a denial of benefits (other than claims based on disability) will be provided within 90 days of the Committee’s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of the Claimant’s claim for benefits. If the Committee determines that it needs additional time to review the claim, the Committee will provide the Claimant with a notice of the extension before the end of the initial 90-day period. The extension will not be more than 90 days from the end of the initial 90-day period and the notice of extension will explain the special circumstances that require the extension and the date by which the Committee expects to make a decision.</w:t>
      </w:r>
    </w:p>
    <w:p>
      <w:pPr>
        <w:spacing w:after="0" w:line="88" w:lineRule="exact"/>
        <w:rPr>
          <w:rFonts w:ascii="Times New Roman" w:cs="Times New Roman" w:eastAsia="Times New Roman" w:hAnsi="Times New Roman"/>
          <w:sz w:val="18"/>
          <w:szCs w:val="18"/>
          <w:color w:val="auto"/>
        </w:rPr>
      </w:pPr>
    </w:p>
    <w:p>
      <w:pPr>
        <w:ind w:left="960" w:right="20" w:hanging="532"/>
        <w:spacing w:after="0" w:line="255"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Disability Benefits. </w:t>
      </w:r>
      <w:r>
        <w:rPr>
          <w:rFonts w:ascii="Times New Roman" w:cs="Times New Roman" w:eastAsia="Times New Roman" w:hAnsi="Times New Roman"/>
          <w:sz w:val="18"/>
          <w:szCs w:val="18"/>
          <w:color w:val="auto"/>
        </w:rPr>
        <w:t>Notice of denial of claims based on disability will be provided within forty-five (45) days of the Committee’s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Claimant’s claim for disability benefits. If the Committee determines that it needs additional time to review the disability claim, the Committee will provide the Claimant with a notice of the extension before the end of the initial 45-day period. If the Committee determines that a decision cannot be made within the first extension period due to matters beyond the control of the Committee, the time period for making a determination may be further extended for an additional 30 days. If such an additional extension is necessary, the Committee shall notify the Claimant prior to the expiration of the initial 30-day extension. Any notice of extension shall indicate the circumstances necessitating the extension of time, the date by which the Committee expects to furnish a notice of decision, the specific standards on which such entitlement to a benefit is based, the unresolved issues that prevent a</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19 of 28</w:t>
      </w:r>
    </w:p>
    <w:p>
      <w:pPr>
        <w:sectPr>
          <w:pgSz w:w="11900" w:h="16838" w:orient="portrait"/>
          <w:cols w:equalWidth="0" w:num="1">
            <w:col w:w="11020"/>
          </w:cols>
          <w:pgMar w:left="440" w:top="266"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decision on the claim and any additional information needed to resolve those issues. A Claimant will be provided a minimum of 45 days to submit any necessary additional information to the Committee. In the event that a 30-day extension is necessary due to a Claimant’s failure to submit information necessary to decide a claim, the period for furnishing a notice of decision shall be tolled from the date on which the notice of the extension is sent to the Claimant until the earlier of the date the Claimant responds to the request for additional information or the response deadline.</w:t>
      </w:r>
    </w:p>
    <w:p>
      <w:pPr>
        <w:spacing w:after="0" w:line="87" w:lineRule="exact"/>
        <w:rPr>
          <w:sz w:val="20"/>
          <w:szCs w:val="20"/>
          <w:color w:val="auto"/>
        </w:rPr>
      </w:pPr>
    </w:p>
    <w:p>
      <w:pPr>
        <w:ind w:left="960" w:hanging="532"/>
        <w:spacing w:after="0" w:line="255"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Contents of Notice. </w:t>
      </w:r>
      <w:r>
        <w:rPr>
          <w:rFonts w:ascii="Times New Roman" w:cs="Times New Roman" w:eastAsia="Times New Roman" w:hAnsi="Times New Roman"/>
          <w:sz w:val="18"/>
          <w:szCs w:val="18"/>
          <w:color w:val="auto"/>
        </w:rPr>
        <w:t>If a claim for benefits is completely or partially denied, notice of such denial shall be in writing. Any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notification shall comply with the standards imposed by Department of Labor Regulation 29 CFR 2520.104b-1(c)(1)(i), (iii), and (iv). The notice of denial shall set forth the specific reasons for denial in plain language. The notice shall: (i) cite the pertinent provisions of the Plan document, and (ii) explain, where appropriate, how the Claimant can perfect the claim, including a description of any additional material or information necessary to complete the claim and why such material or information is necessary. The claim denial also shall include an explanation of the claims review procedures and the time limits applicable to such procedures, including the right to appeal the decision, the deadline by which such appeal must be filed and a statement of the Claimant’s right to bring a civil action under Section 502(a) of ERISA following an adverse decision on appeal and the specific date by which such a civil action must commence under Section 11.4.</w:t>
      </w:r>
    </w:p>
    <w:p>
      <w:pPr>
        <w:spacing w:after="0" w:line="78" w:lineRule="exact"/>
        <w:rPr>
          <w:rFonts w:ascii="Times New Roman" w:cs="Times New Roman" w:eastAsia="Times New Roman" w:hAnsi="Times New Roman"/>
          <w:sz w:val="18"/>
          <w:szCs w:val="18"/>
          <w:color w:val="auto"/>
        </w:rPr>
      </w:pPr>
    </w:p>
    <w:p>
      <w:pPr>
        <w:ind w:left="980" w:right="10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complete or partial denial of a disability benefit claim, the notice shall provide such information and shall be communicated in the manner required under applicable Department of Labor regulations.</w:t>
      </w:r>
    </w:p>
    <w:p>
      <w:pPr>
        <w:spacing w:after="0" w:line="67" w:lineRule="exact"/>
        <w:rPr>
          <w:sz w:val="20"/>
          <w:szCs w:val="20"/>
          <w:color w:val="auto"/>
        </w:rPr>
      </w:pPr>
    </w:p>
    <w:p>
      <w:pPr>
        <w:ind w:left="420" w:right="80" w:hanging="431"/>
        <w:spacing w:after="0" w:line="253"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Appeal of Denied Claims.</w:t>
      </w:r>
      <w:r>
        <w:rPr>
          <w:rFonts w:ascii="Times New Roman" w:cs="Times New Roman" w:eastAsia="Times New Roman" w:hAnsi="Times New Roman"/>
          <w:sz w:val="18"/>
          <w:szCs w:val="18"/>
          <w:color w:val="auto"/>
        </w:rPr>
        <w:t xml:space="preserve"> A Claimant whose claim has been completely or partially denied shall be entitled to appeal the claim denial by filing a written appeal with a committee designated to hear such appeals (the “Appeals Committee”). A Claimant who timely requests a review of the denied claim (or his or her authorized representative) may review, upon request and free of charge, copies of all documents, records, and other information relevant to the denial and may submit written comments, documents, records, and other information relating to the claim to the Appeals Committee. All written comments, documents, records, and other information shall be considered “relevant” if the information: (i) was relied upon in making a benefits determination, (ii) was submitted, considered, or generated in the course of making a benefits decision regardless of whether it was relied upon to make the decision, or (iii) demonstrates compliance with administrative processes and safeguards established for making benefit decisions. The review shall take into account all comments, documents, records, and other information submitted by the Claimant relating to the claim, without regard to whether such information was submitted or considered in the initial benefit determination. The Appeals Committee may, in its sole discretion and if it deems appropriate or necessary, decide to hold a hearing with respect to the claim appeal.</w:t>
      </w:r>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20 of 28</w:t>
      </w:r>
    </w:p>
    <w:p>
      <w:pPr>
        <w:sectPr>
          <w:pgSz w:w="11900" w:h="16838" w:orient="portrait"/>
          <w:cols w:equalWidth="0" w:num="1">
            <w:col w:w="11020"/>
          </w:cols>
          <w:pgMar w:left="440" w:top="266"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0" w:lineRule="exact"/>
        <w:rPr>
          <w:sz w:val="20"/>
          <w:szCs w:val="20"/>
          <w:color w:val="auto"/>
        </w:rPr>
      </w:pPr>
    </w:p>
    <w:p>
      <w:pPr>
        <w:ind w:left="960" w:right="120" w:hanging="532"/>
        <w:spacing w:after="0" w:line="254"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Appeal of a denied benefits claim (other than a disability benefits claim) must be filed in writing with the Appeals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later than 60 days after receipt of the written notification of such claim denial. The Appeals Committee shall make its decision regarding the merits of the denied claim within 60 days following receipt of the appeal (or within 120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The review will take into account comments, documents, records, and other information submitted by the Claimant relating to the claim without regard to whether such information was submitted or considered in the initial benefit determination.</w:t>
      </w:r>
    </w:p>
    <w:p>
      <w:pPr>
        <w:spacing w:after="0" w:line="93" w:lineRule="exact"/>
        <w:rPr>
          <w:rFonts w:ascii="Times New Roman" w:cs="Times New Roman" w:eastAsia="Times New Roman" w:hAnsi="Times New Roman"/>
          <w:sz w:val="18"/>
          <w:szCs w:val="18"/>
          <w:color w:val="auto"/>
        </w:rPr>
      </w:pPr>
    </w:p>
    <w:p>
      <w:pPr>
        <w:ind w:left="960" w:right="20" w:hanging="532"/>
        <w:spacing w:after="0" w:line="267"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Disability Benefits. </w:t>
      </w:r>
      <w:r>
        <w:rPr>
          <w:rFonts w:ascii="Times New Roman" w:cs="Times New Roman" w:eastAsia="Times New Roman" w:hAnsi="Times New Roman"/>
          <w:sz w:val="18"/>
          <w:szCs w:val="18"/>
          <w:color w:val="auto"/>
        </w:rPr>
        <w:t>Appeal of a denied disability benefits claim must be filed in writing with the Appeals Committee no later than 180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receipt of the written notification of such claim denial. The review shall be conducted in accordance with applicable Department of Labor regulations.</w:t>
      </w:r>
    </w:p>
    <w:p>
      <w:pPr>
        <w:spacing w:after="0" w:line="67" w:lineRule="exact"/>
        <w:rPr>
          <w:rFonts w:ascii="Times New Roman" w:cs="Times New Roman" w:eastAsia="Times New Roman" w:hAnsi="Times New Roman"/>
          <w:sz w:val="18"/>
          <w:szCs w:val="18"/>
          <w:color w:val="auto"/>
        </w:rPr>
      </w:pPr>
    </w:p>
    <w:p>
      <w:pPr>
        <w:ind w:left="98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Appeals Committee shall make its decision regarding the merits of the denied claim within 45 days following receipt of the appeal (or within 90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Following its review of any additional information submitted by the Claimant, the Appeals Committee shall render a decision on its review of the denied claim.</w:t>
      </w:r>
    </w:p>
    <w:p>
      <w:pPr>
        <w:spacing w:after="0" w:line="90" w:lineRule="exact"/>
        <w:rPr>
          <w:rFonts w:ascii="Times New Roman" w:cs="Times New Roman" w:eastAsia="Times New Roman" w:hAnsi="Times New Roman"/>
          <w:sz w:val="18"/>
          <w:szCs w:val="18"/>
          <w:color w:val="auto"/>
        </w:rPr>
      </w:pPr>
    </w:p>
    <w:p>
      <w:pPr>
        <w:ind w:left="960" w:hanging="532"/>
        <w:spacing w:after="0" w:line="267"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Contents of Notice. </w:t>
      </w:r>
      <w:r>
        <w:rPr>
          <w:rFonts w:ascii="Times New Roman" w:cs="Times New Roman" w:eastAsia="Times New Roman" w:hAnsi="Times New Roman"/>
          <w:sz w:val="18"/>
          <w:szCs w:val="18"/>
          <w:color w:val="auto"/>
        </w:rPr>
        <w:t>If a benefits claim is completely or partially denied on review, notice of such denial shall be in writing. Any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notification shall comply with the standards imposed by Department of Labor Regulation 29 CFR 2520.104b-1(c)(1)(i), (iii), and (iv). Such notice shall set forth the reasons for denial in plain language.</w:t>
      </w:r>
    </w:p>
    <w:p>
      <w:pPr>
        <w:spacing w:after="0" w:line="67" w:lineRule="exact"/>
        <w:rPr>
          <w:rFonts w:ascii="Times New Roman" w:cs="Times New Roman" w:eastAsia="Times New Roman" w:hAnsi="Times New Roman"/>
          <w:sz w:val="18"/>
          <w:szCs w:val="18"/>
          <w:color w:val="auto"/>
        </w:rPr>
      </w:pPr>
    </w:p>
    <w:p>
      <w:pPr>
        <w:ind w:left="980" w:right="28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decision on review shall set forth: (i) the specific reason or reasons for the denial, (ii) specific references to the pertinent Plan provisions on which the denial is based, (iii) a statement that the Claimant is entitled to receive, upon request and free of charge, reasonable access to and copies of all documents, records, or other information relevant (as defined above) to the Claimant’s claim, and</w:t>
      </w:r>
    </w:p>
    <w:p>
      <w:pPr>
        <w:spacing w:after="0" w:line="1" w:lineRule="exact"/>
        <w:rPr>
          <w:rFonts w:ascii="Times New Roman" w:cs="Times New Roman" w:eastAsia="Times New Roman" w:hAnsi="Times New Roman"/>
          <w:sz w:val="18"/>
          <w:szCs w:val="18"/>
          <w:color w:val="auto"/>
        </w:rPr>
      </w:pPr>
    </w:p>
    <w:p>
      <w:pPr>
        <w:ind w:left="980" w:right="40" w:firstLine="7"/>
        <w:spacing w:after="0" w:line="260" w:lineRule="auto"/>
        <w:tabs>
          <w:tab w:leader="none" w:pos="128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Claimant’s right to bring an action under Section 502(a) of ERISA, following an adverse decision on review and the specific date by which such a civil action must commence under Section 11.4.</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21 of 28</w:t>
      </w:r>
    </w:p>
    <w:p>
      <w:pPr>
        <w:sectPr>
          <w:pgSz w:w="11900" w:h="16838" w:orient="portrait"/>
          <w:cols w:equalWidth="0" w:num="1">
            <w:col w:w="11020"/>
          </w:cols>
          <w:pgMar w:left="440" w:top="266"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980" w:right="80"/>
        <w:spacing w:after="0" w:line="282" w:lineRule="auto"/>
        <w:rPr>
          <w:sz w:val="20"/>
          <w:szCs w:val="20"/>
          <w:color w:val="auto"/>
        </w:rPr>
      </w:pPr>
      <w:r>
        <w:rPr>
          <w:rFonts w:ascii="Times New Roman" w:cs="Times New Roman" w:eastAsia="Times New Roman" w:hAnsi="Times New Roman"/>
          <w:sz w:val="18"/>
          <w:szCs w:val="18"/>
          <w:color w:val="auto"/>
        </w:rPr>
        <w:t>For the denial of a disability benefit, the notice will also include such additional information and be communicated in the manner required under applicable Department of Labor regulations.</w:t>
      </w:r>
    </w:p>
    <w:p>
      <w:pPr>
        <w:spacing w:after="0" w:line="67" w:lineRule="exact"/>
        <w:rPr>
          <w:sz w:val="20"/>
          <w:szCs w:val="20"/>
          <w:color w:val="auto"/>
        </w:rPr>
      </w:pPr>
    </w:p>
    <w:p>
      <w:pPr>
        <w:ind w:left="420" w:right="160" w:hanging="431"/>
        <w:spacing w:after="0" w:line="25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Claims Appeals Upon Change in Control.</w:t>
      </w:r>
      <w:r>
        <w:rPr>
          <w:rFonts w:ascii="Times New Roman" w:cs="Times New Roman" w:eastAsia="Times New Roman" w:hAnsi="Times New Roman"/>
          <w:sz w:val="18"/>
          <w:szCs w:val="18"/>
          <w:color w:val="auto"/>
        </w:rPr>
        <w:t xml:space="preserve"> Upon a change in control, the Appeals Committee, as constituted immediately prior to such change in control, shall continue to act as the Appeals Committee. The Company may not remove any member of the Appeals Committee, but may replace resigning members if 2/3rds of the members of the Board of Directors of the Company and a majority of Participants and Beneficiaries with Account Balances consent to the replacement. For purposes of this Section 11.3, a “change in control” means a change in control within the meaning of the rabbi trust agreement associated with the Plan or if no such definition is provided, the term shall have the meaning under Code Section 409A.</w:t>
      </w:r>
    </w:p>
    <w:p>
      <w:pPr>
        <w:spacing w:after="0" w:line="79" w:lineRule="exact"/>
        <w:rPr>
          <w:sz w:val="20"/>
          <w:szCs w:val="20"/>
          <w:color w:val="auto"/>
        </w:rPr>
      </w:pPr>
    </w:p>
    <w:p>
      <w:pPr>
        <w:ind w:left="440" w:right="380"/>
        <w:spacing w:after="0" w:line="282" w:lineRule="auto"/>
        <w:rPr>
          <w:sz w:val="20"/>
          <w:szCs w:val="20"/>
          <w:color w:val="auto"/>
        </w:rPr>
      </w:pPr>
      <w:r>
        <w:rPr>
          <w:rFonts w:ascii="Times New Roman" w:cs="Times New Roman" w:eastAsia="Times New Roman" w:hAnsi="Times New Roman"/>
          <w:sz w:val="18"/>
          <w:szCs w:val="18"/>
          <w:color w:val="auto"/>
        </w:rPr>
        <w:t>The Appeals Committee shall have the exclusive authority at the appeals stage to interpret the terms of the Plan and resolve appeals under the Claims Procedure.</w:t>
      </w:r>
    </w:p>
    <w:p>
      <w:pPr>
        <w:spacing w:after="0" w:line="54" w:lineRule="exact"/>
        <w:rPr>
          <w:sz w:val="20"/>
          <w:szCs w:val="20"/>
          <w:color w:val="auto"/>
        </w:rPr>
      </w:pPr>
    </w:p>
    <w:p>
      <w:pPr>
        <w:ind w:left="440" w:right="80"/>
        <w:spacing w:after="0" w:line="270" w:lineRule="auto"/>
        <w:rPr>
          <w:sz w:val="20"/>
          <w:szCs w:val="20"/>
          <w:color w:val="auto"/>
        </w:rPr>
      </w:pPr>
      <w:r>
        <w:rPr>
          <w:rFonts w:ascii="Times New Roman" w:cs="Times New Roman" w:eastAsia="Times New Roman" w:hAnsi="Times New Roman"/>
          <w:sz w:val="17"/>
          <w:szCs w:val="17"/>
          <w:color w:val="auto"/>
        </w:rPr>
        <w:t>Each Participating Employer shall, with respect to the Committee identified under this Section: (i) pay its proportionate share of all reasonable expenses and fees of the Appeals Committee, (ii) indemnify the Appeals Committee (including individual committee members) against any costs, expenses and liabilities including, without limitation, attorneys’ fees and expenses arising in connection with the performance of the Appeals Committee hereunder, except with respect to matters resulting from the Appeals Committee’s gross negligence or willful misconduct, and</w:t>
      </w:r>
    </w:p>
    <w:p>
      <w:pPr>
        <w:spacing w:after="0" w:line="3" w:lineRule="exact"/>
        <w:rPr>
          <w:sz w:val="20"/>
          <w:szCs w:val="20"/>
          <w:color w:val="auto"/>
        </w:rPr>
      </w:pPr>
    </w:p>
    <w:p>
      <w:pPr>
        <w:ind w:left="440" w:right="80" w:hanging="4"/>
        <w:spacing w:after="0" w:line="260" w:lineRule="auto"/>
        <w:tabs>
          <w:tab w:leader="none" w:pos="7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full and timely information to the Appeals Committee on all matters related to the Plan, any rabbi trust, Participants, Beneficiaries and Accounts as the Appeals Committee may reasonably require.</w:t>
      </w:r>
    </w:p>
    <w:p>
      <w:pPr>
        <w:spacing w:after="0" w:line="87" w:lineRule="exact"/>
        <w:rPr>
          <w:sz w:val="20"/>
          <w:szCs w:val="20"/>
          <w:color w:val="auto"/>
        </w:rPr>
      </w:pPr>
    </w:p>
    <w:p>
      <w:pPr>
        <w:ind w:left="420" w:right="60" w:hanging="431"/>
        <w:spacing w:after="0" w:line="261"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Legal Action.</w:t>
      </w:r>
      <w:r>
        <w:rPr>
          <w:rFonts w:ascii="Times New Roman" w:cs="Times New Roman" w:eastAsia="Times New Roman" w:hAnsi="Times New Roman"/>
          <w:sz w:val="18"/>
          <w:szCs w:val="18"/>
          <w:color w:val="auto"/>
        </w:rPr>
        <w:t xml:space="preserve"> A Claimant may not bring any legal action, including commencement of any arbitration, relating to a claim for benefits under the Plan unless and until the Claimant has followed the claims procedures under the Plan and exhausted his or administrative remedies under Sections 11.1 and 11.2. No such legal action may be brought more than twelve (12) months following the notice of denial of benefits under Section 11.2, or if no appeal is filed by the applicable appeals deadline, twelve (12) months following the appeals deadline.</w:t>
      </w:r>
    </w:p>
    <w:p>
      <w:pPr>
        <w:spacing w:after="0" w:line="72" w:lineRule="exact"/>
        <w:rPr>
          <w:sz w:val="20"/>
          <w:szCs w:val="20"/>
          <w:color w:val="auto"/>
        </w:rPr>
      </w:pPr>
    </w:p>
    <w:p>
      <w:pPr>
        <w:ind w:left="440" w:right="100"/>
        <w:spacing w:after="0" w:line="258" w:lineRule="auto"/>
        <w:rPr>
          <w:sz w:val="20"/>
          <w:szCs w:val="20"/>
          <w:color w:val="auto"/>
        </w:rPr>
      </w:pPr>
      <w:r>
        <w:rPr>
          <w:rFonts w:ascii="Times New Roman" w:cs="Times New Roman" w:eastAsia="Times New Roman" w:hAnsi="Times New Roman"/>
          <w:sz w:val="18"/>
          <w:szCs w:val="18"/>
          <w:color w:val="auto"/>
        </w:rPr>
        <w:t>If a Participant or Beneficiary prevails in a legal proceeding brought under the Plan to enforce the rights of such Participant or any other similarly situated Participant or Beneficiary, in whole or in part, the Participating Employer shall reimburse such Participant or Beneficiary for all legal costs, expenses, attorneys’ fees and such other liabilities incurred as a result of such proceedings. If the legal proceeding is brought in connection with a change in control as defined in Section 11.3, the Participant or Beneficiary may file a claim directly with the trustee of any rabbi trust established under</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22 of 28</w:t>
      </w:r>
    </w:p>
    <w:p>
      <w:pPr>
        <w:sectPr>
          <w:pgSz w:w="11900" w:h="16838" w:orient="portrait"/>
          <w:cols w:equalWidth="0" w:num="1">
            <w:col w:w="11020"/>
          </w:cols>
          <w:pgMar w:left="440" w:top="266"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40" w:right="40"/>
        <w:spacing w:after="0" w:line="266" w:lineRule="auto"/>
        <w:rPr>
          <w:sz w:val="20"/>
          <w:szCs w:val="20"/>
          <w:color w:val="auto"/>
        </w:rPr>
      </w:pPr>
      <w:r>
        <w:rPr>
          <w:rFonts w:ascii="Times New Roman" w:cs="Times New Roman" w:eastAsia="Times New Roman" w:hAnsi="Times New Roman"/>
          <w:sz w:val="18"/>
          <w:szCs w:val="18"/>
          <w:color w:val="auto"/>
        </w:rPr>
        <w:t>the Plan for reimbursement of such costs, expenses, and fees. For purposes of the preceding sentence, the amount of the claim shall be treated as if it were an addition to the Participant’s or Beneficiary’s Account Balance and will be included in determining the Participating Employer’s trust funding obligation under Section 10.2.</w:t>
      </w:r>
    </w:p>
    <w:p>
      <w:pPr>
        <w:spacing w:after="0" w:line="81" w:lineRule="exact"/>
        <w:rPr>
          <w:sz w:val="20"/>
          <w:szCs w:val="20"/>
          <w:color w:val="auto"/>
        </w:rPr>
      </w:pPr>
    </w:p>
    <w:p>
      <w:pPr>
        <w:ind w:left="420" w:right="140" w:hanging="431"/>
        <w:spacing w:after="0" w:line="282"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Discretion of Appeals Committee.</w:t>
      </w:r>
      <w:r>
        <w:rPr>
          <w:rFonts w:ascii="Times New Roman" w:cs="Times New Roman" w:eastAsia="Times New Roman" w:hAnsi="Times New Roman"/>
          <w:sz w:val="18"/>
          <w:szCs w:val="18"/>
          <w:color w:val="auto"/>
        </w:rPr>
        <w:t xml:space="preserve"> All interpretations, determinations, and decisions of the Appeals Committee with respect to any claim shall be made in its sole discretion and shall be final and conclusive.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Arbitration.</w:t>
      </w:r>
    </w:p>
    <w:p>
      <w:pPr>
        <w:spacing w:after="0" w:line="129" w:lineRule="exact"/>
        <w:rPr>
          <w:sz w:val="20"/>
          <w:szCs w:val="20"/>
          <w:color w:val="auto"/>
        </w:rPr>
      </w:pPr>
    </w:p>
    <w:p>
      <w:pPr>
        <w:ind w:left="960" w:right="140" w:hanging="532"/>
        <w:spacing w:after="0" w:line="261" w:lineRule="auto"/>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 to Change in Control. </w:t>
      </w:r>
      <w:r>
        <w:rPr>
          <w:rFonts w:ascii="Times New Roman" w:cs="Times New Roman" w:eastAsia="Times New Roman" w:hAnsi="Times New Roman"/>
          <w:sz w:val="18"/>
          <w:szCs w:val="18"/>
          <w:color w:val="auto"/>
        </w:rPr>
        <w:t>If, prior to a change in control as defined in Section 11.3, any claim or controversy between a Participating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Employer and a Participant or Beneficiary is not resolved through the claims procedure set forth in Article XI, such claim shall be submitted to and resolved exclusively by expedited binding arbitration by a single arbitrator. Arbitration shall be conducted in accordance with the following procedures:</w:t>
      </w:r>
    </w:p>
    <w:p>
      <w:pPr>
        <w:spacing w:after="0" w:line="73" w:lineRule="exact"/>
        <w:rPr>
          <w:rFonts w:ascii="Times New Roman" w:cs="Times New Roman" w:eastAsia="Times New Roman" w:hAnsi="Times New Roman"/>
          <w:sz w:val="18"/>
          <w:szCs w:val="18"/>
          <w:color w:val="auto"/>
        </w:rPr>
      </w:pPr>
    </w:p>
    <w:p>
      <w:pPr>
        <w:ind w:left="9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complaining party shall promptly send written notice to the other party identifying the matter in dispute and the proposed remedy. Following the giving of such notice, the parties shall meet and attempt in good faith to resolve the matter. In the event the parties are unable to resolve the matter within 21 days, the parties shall meet and attempt in good faith to select a single arbitrator acceptable to both parties. If a single arbitrator is not selected by mutual consent within ten Business Days following the giving of the written notice of dispute, an arbitrator shall be selected from a list of nine persons each of whom shall be an attorney who is either engaged in the active practice of law or recognized arbitrator and who, in either event, is experienced in serving as an arbitrator in disputes between employers and employees, which list shall be provided by the main office of either JAMS, the American Arbitration Association (“AAA”) or the Federal Mediation and Conciliation Service. If, within three Business Days of the parties’ receipt of such list, the parties are unable to agree on an arbitrator from the list, then the parties shall each strike names alternatively from the list, with the first to strike being determined by the flip of a coin. After each party has had four strikes, the remaining name on the list shall be the arbitrator. If such person is unable to serve for any reason, the parties shall repeat this process until an arbitrator is selected.</w:t>
      </w:r>
    </w:p>
    <w:p>
      <w:pPr>
        <w:spacing w:after="0" w:line="83" w:lineRule="exact"/>
        <w:rPr>
          <w:rFonts w:ascii="Times New Roman" w:cs="Times New Roman" w:eastAsia="Times New Roman" w:hAnsi="Times New Roman"/>
          <w:sz w:val="18"/>
          <w:szCs w:val="18"/>
          <w:color w:val="auto"/>
        </w:rPr>
      </w:pPr>
    </w:p>
    <w:p>
      <w:pPr>
        <w:ind w:left="98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parties agree otherwise, within 60 days of the selection of the arbitrator, a hearing shall be conducted before such arbitrator at a time and a place agreed upon by the parties. In the event the parties are unable to agree upon the time or place of the arbitration, the time and place shall be designated by the arbitrator after consultation with the parties. Within 30 days of the conclusion of the arbitration hearing, the arbitrator shall issue an award, accompanied by a written decision explaining the basis for the arbitrator’s award.</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23 of 28</w:t>
      </w:r>
    </w:p>
    <w:p>
      <w:pPr>
        <w:sectPr>
          <w:pgSz w:w="11900" w:h="16838" w:orient="portrait"/>
          <w:cols w:equalWidth="0" w:num="1">
            <w:col w:w="11020"/>
          </w:cols>
          <w:pgMar w:left="440" w:top="266"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980" w:right="20"/>
        <w:spacing w:after="0" w:line="253" w:lineRule="auto"/>
        <w:rPr>
          <w:sz w:val="20"/>
          <w:szCs w:val="20"/>
          <w:color w:val="auto"/>
        </w:rPr>
      </w:pPr>
      <w:r>
        <w:rPr>
          <w:rFonts w:ascii="Times New Roman" w:cs="Times New Roman" w:eastAsia="Times New Roman" w:hAnsi="Times New Roman"/>
          <w:sz w:val="18"/>
          <w:szCs w:val="18"/>
          <w:color w:val="auto"/>
        </w:rPr>
        <w:t>In any arbitration hereunder, the Participating Employer shall pay all administrative fees of the arbitration and all fees of the arbitrator, except that the Participant or Beneficiary may, if he/she/it wishes, pay up to one-half of those amounts. Each party shall pay its own attorneys’ fees, costs, and expenses, unless the arbitrator orders otherwise.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 The arbitrator shall have no authority to add to or to modify this Plan, shall apply all applicable law, and shall have no lesser and no greater remedial authority than would a court of law resolving the same claim or controversy. The arbitrator shall have no authority to add to or to modify this Plan, shall apply all applicable law, and shall have no lesser and no greater remedial authority than would a court of law resolving the same claim or controversy. The arbitrator shall, upon an appropriate motion, dismiss any claim without an evidentiary hearing if the party bringing the motion establishes that it would be entitled to summary judgment if the matter had been pursued in court litigation.</w:t>
      </w:r>
    </w:p>
    <w:p>
      <w:pPr>
        <w:spacing w:after="0" w:line="84" w:lineRule="exact"/>
        <w:rPr>
          <w:sz w:val="20"/>
          <w:szCs w:val="20"/>
          <w:color w:val="auto"/>
        </w:rPr>
      </w:pPr>
    </w:p>
    <w:p>
      <w:pPr>
        <w:ind w:left="980" w:right="60"/>
        <w:spacing w:after="0" w:line="261" w:lineRule="auto"/>
        <w:rPr>
          <w:sz w:val="20"/>
          <w:szCs w:val="20"/>
          <w:color w:val="auto"/>
        </w:rPr>
      </w:pPr>
      <w:r>
        <w:rPr>
          <w:rFonts w:ascii="Times New Roman" w:cs="Times New Roman" w:eastAsia="Times New Roman" w:hAnsi="Times New Roman"/>
          <w:sz w:val="18"/>
          <w:szCs w:val="18"/>
          <w:color w:val="auto"/>
        </w:rPr>
        <w:t>The parties shall be entitled to discovery as follows: Each party may take no more than three depositions. The Participating Employer may depose the Participant or Beneficiary plus two other witnesses, and the Participant or Beneficiary may depose the Participating Employer, pursuant to Rule 30(b)(6) of the Federal Rules of Civil Procedure, plus two other witnesses. Each party may make such reasonable document discovery requests as are allowed in the discretion of the arbitrator.</w:t>
      </w:r>
    </w:p>
    <w:p>
      <w:pPr>
        <w:spacing w:after="0" w:line="72" w:lineRule="exact"/>
        <w:rPr>
          <w:sz w:val="20"/>
          <w:szCs w:val="20"/>
          <w:color w:val="auto"/>
        </w:rPr>
      </w:pPr>
    </w:p>
    <w:p>
      <w:pPr>
        <w:ind w:left="980" w:right="720"/>
        <w:spacing w:after="0" w:line="282" w:lineRule="auto"/>
        <w:rPr>
          <w:sz w:val="20"/>
          <w:szCs w:val="20"/>
          <w:color w:val="auto"/>
        </w:rPr>
      </w:pPr>
      <w:r>
        <w:rPr>
          <w:rFonts w:ascii="Times New Roman" w:cs="Times New Roman" w:eastAsia="Times New Roman" w:hAnsi="Times New Roman"/>
          <w:sz w:val="18"/>
          <w:szCs w:val="18"/>
          <w:color w:val="auto"/>
        </w:rPr>
        <w:t>The decision of the arbitrator shall be final, binding, and non-appealable, and may be enforced as a final judgment in any court of competent jurisdiction.</w:t>
      </w:r>
    </w:p>
    <w:p>
      <w:pPr>
        <w:spacing w:after="0" w:line="54" w:lineRule="exact"/>
        <w:rPr>
          <w:sz w:val="20"/>
          <w:szCs w:val="20"/>
          <w:color w:val="auto"/>
        </w:rPr>
      </w:pPr>
    </w:p>
    <w:p>
      <w:pPr>
        <w:ind w:left="980" w:right="180"/>
        <w:spacing w:after="0" w:line="261" w:lineRule="auto"/>
        <w:rPr>
          <w:sz w:val="20"/>
          <w:szCs w:val="20"/>
          <w:color w:val="auto"/>
        </w:rPr>
      </w:pPr>
      <w:r>
        <w:rPr>
          <w:rFonts w:ascii="Times New Roman" w:cs="Times New Roman" w:eastAsia="Times New Roman" w:hAnsi="Times New Roman"/>
          <w:sz w:val="18"/>
          <w:szCs w:val="18"/>
          <w:color w:val="auto"/>
        </w:rPr>
        <w:t>This arbitration provision of the Plan shall extend to claims against any parent, subsidiary, or affiliate of each party, and, when acting within such capacity, any officer, director, shareholder, Participant, Beneficiary, or agent of any party, or of any of the above, and shall apply as well to claims arising out of state and federal statutes and local ordinances as well as to claims arising under the common law or under this Plan.</w:t>
      </w:r>
    </w:p>
    <w:p>
      <w:pPr>
        <w:spacing w:after="0" w:line="72" w:lineRule="exact"/>
        <w:rPr>
          <w:sz w:val="20"/>
          <w:szCs w:val="20"/>
          <w:color w:val="auto"/>
        </w:rPr>
      </w:pPr>
    </w:p>
    <w:p>
      <w:pPr>
        <w:jc w:val="both"/>
        <w:ind w:left="980" w:right="200"/>
        <w:spacing w:after="0" w:line="266" w:lineRule="auto"/>
        <w:rPr>
          <w:sz w:val="20"/>
          <w:szCs w:val="20"/>
          <w:color w:val="auto"/>
        </w:rPr>
      </w:pPr>
      <w:r>
        <w:rPr>
          <w:rFonts w:ascii="Times New Roman" w:cs="Times New Roman" w:eastAsia="Times New Roman" w:hAnsi="Times New Roman"/>
          <w:sz w:val="18"/>
          <w:szCs w:val="18"/>
          <w:color w:val="auto"/>
        </w:rPr>
        <w:t>Notwithstanding the foregoing, and unless otherwise agreed between the parties, either party may apply to a court for provisional relief, including a temporary restraining order or preliminary injunction, on the ground that the arbitration award to which the applicant may be entitled may be rendered ineffectual without provisional relief.</w:t>
      </w:r>
    </w:p>
    <w:p>
      <w:pPr>
        <w:spacing w:after="0" w:line="68" w:lineRule="exact"/>
        <w:rPr>
          <w:sz w:val="20"/>
          <w:szCs w:val="20"/>
          <w:color w:val="auto"/>
        </w:rPr>
      </w:pPr>
    </w:p>
    <w:p>
      <w:pPr>
        <w:ind w:left="980" w:right="160"/>
        <w:spacing w:after="0" w:line="282" w:lineRule="auto"/>
        <w:rPr>
          <w:sz w:val="20"/>
          <w:szCs w:val="20"/>
          <w:color w:val="auto"/>
        </w:rPr>
      </w:pPr>
      <w:r>
        <w:rPr>
          <w:rFonts w:ascii="Times New Roman" w:cs="Times New Roman" w:eastAsia="Times New Roman" w:hAnsi="Times New Roman"/>
          <w:sz w:val="18"/>
          <w:szCs w:val="18"/>
          <w:color w:val="auto"/>
        </w:rPr>
        <w:t>Any arbitration hereunder shall be conducted in accordance with the Federal Arbitration Act: provided, however, that, in the event of any inconsistency between the rules and procedures of the Act and the terms of this Plan, the terms of this Plan shall prevail.</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24 of 28</w:t>
      </w:r>
    </w:p>
    <w:p>
      <w:pPr>
        <w:sectPr>
          <w:pgSz w:w="11900" w:h="16838" w:orient="portrait"/>
          <w:cols w:equalWidth="0" w:num="1">
            <w:col w:w="11020"/>
          </w:cols>
          <w:pgMar w:left="440" w:top="266"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980" w:right="20"/>
        <w:spacing w:after="0" w:line="256" w:lineRule="auto"/>
        <w:rPr>
          <w:sz w:val="20"/>
          <w:szCs w:val="20"/>
          <w:color w:val="auto"/>
        </w:rPr>
      </w:pPr>
      <w:r>
        <w:rPr>
          <w:rFonts w:ascii="Times New Roman" w:cs="Times New Roman" w:eastAsia="Times New Roman" w:hAnsi="Times New Roman"/>
          <w:sz w:val="18"/>
          <w:szCs w:val="18"/>
          <w:color w:val="auto"/>
        </w:rPr>
        <w:t>If any of the provisions of this Section 11.6(a) are determined to be unlawful or otherwise unenforceable, in the whole part, such determination shall not affect the validity of the remainder of this section and this section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provisions of this Section 11.6(a)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79" w:lineRule="exact"/>
        <w:rPr>
          <w:sz w:val="20"/>
          <w:szCs w:val="20"/>
          <w:color w:val="auto"/>
        </w:rPr>
      </w:pPr>
    </w:p>
    <w:p>
      <w:pPr>
        <w:ind w:left="980" w:right="420"/>
        <w:spacing w:after="0" w:line="282" w:lineRule="auto"/>
        <w:rPr>
          <w:sz w:val="20"/>
          <w:szCs w:val="20"/>
          <w:color w:val="auto"/>
        </w:rPr>
      </w:pPr>
      <w:r>
        <w:rPr>
          <w:rFonts w:ascii="Times New Roman" w:cs="Times New Roman" w:eastAsia="Times New Roman" w:hAnsi="Times New Roman"/>
          <w:sz w:val="18"/>
          <w:szCs w:val="18"/>
          <w:color w:val="auto"/>
        </w:rPr>
        <w:t>The parties do not agree to arbitrate any putative class action or any other representative action. The parties agree to arbitrate only the claims(s) of a single Participant or Beneficiary.</w:t>
      </w:r>
    </w:p>
    <w:p>
      <w:pPr>
        <w:spacing w:after="0" w:line="65" w:lineRule="exact"/>
        <w:rPr>
          <w:sz w:val="20"/>
          <w:szCs w:val="20"/>
          <w:color w:val="auto"/>
        </w:rPr>
      </w:pPr>
    </w:p>
    <w:p>
      <w:pPr>
        <w:ind w:left="960" w:right="40" w:hanging="532"/>
        <w:spacing w:after="0" w:line="258" w:lineRule="auto"/>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Upon Change in Control. </w:t>
      </w:r>
      <w:r>
        <w:rPr>
          <w:rFonts w:ascii="Times New Roman" w:cs="Times New Roman" w:eastAsia="Times New Roman" w:hAnsi="Times New Roman"/>
          <w:sz w:val="18"/>
          <w:szCs w:val="18"/>
          <w:color w:val="auto"/>
        </w:rPr>
        <w:t>Upon a change in control as defined in Section 11.3, Section 11.6(a) shall not apply and any legal action initiated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Participant or Beneficiary to enforce his or her rights under the Plan may be brought in any court of competent jurisdiction. Notwithstanding the Appeals Committee’s discretion under Sections 11.3 and 11.5, the court shall apply a de novo standard of review to any prior claims decision under Sections 11.1 through 11.3 or any other determination made by the Company, its Board of Directors, a Participating Employer, the Committee, or the Appeals Committee.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Provisions</w:t>
      </w:r>
    </w:p>
    <w:p>
      <w:pPr>
        <w:spacing w:after="0" w:line="133" w:lineRule="exact"/>
        <w:rPr>
          <w:sz w:val="20"/>
          <w:szCs w:val="20"/>
          <w:color w:val="auto"/>
        </w:rPr>
      </w:pPr>
    </w:p>
    <w:p>
      <w:pPr>
        <w:ind w:left="420" w:right="120" w:hanging="431"/>
        <w:spacing w:after="0" w:line="258"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 interest of any Participant, spouse or Beneficiary under this Plan and no benefit payable hereunder shall be assigned as security for a loan, and any such purported assignment shall be null, void and of no effect, nor shall any such interest or any such benefit be subject in any manner, either voluntarily or involuntarily, to anticipation, sale, transfer, assignment, or encumbrance by or through any Participant, spouse, or Beneficiary. Notwithstanding anything to the contrary herein, however, the Committee has the discretion to make payments to an alternate payee in accordance with the terms of a domestic relations order (as defined in Code Section 414(p)(1)(B)).</w:t>
      </w:r>
    </w:p>
    <w:p>
      <w:pPr>
        <w:spacing w:after="0" w:line="75" w:lineRule="exact"/>
        <w:rPr>
          <w:sz w:val="20"/>
          <w:szCs w:val="20"/>
          <w:color w:val="auto"/>
        </w:rPr>
      </w:pPr>
    </w:p>
    <w:p>
      <w:pPr>
        <w:ind w:left="440" w:right="240"/>
        <w:spacing w:after="0" w:line="282" w:lineRule="auto"/>
        <w:rPr>
          <w:sz w:val="20"/>
          <w:szCs w:val="20"/>
          <w:color w:val="auto"/>
        </w:rPr>
      </w:pPr>
      <w:r>
        <w:rPr>
          <w:rFonts w:ascii="Times New Roman" w:cs="Times New Roman" w:eastAsia="Times New Roman" w:hAnsi="Times New Roman"/>
          <w:sz w:val="18"/>
          <w:szCs w:val="18"/>
          <w:color w:val="auto"/>
        </w:rPr>
        <w:t>The Company may assign any or all of its liabilities under this Plan in connection with any restructuring, recapitalization, sale of assets or other similar transactions affecting a Participating Employer without the consent of the Participant.</w:t>
      </w:r>
    </w:p>
    <w:p>
      <w:pPr>
        <w:spacing w:after="0" w:line="67" w:lineRule="exact"/>
        <w:rPr>
          <w:sz w:val="20"/>
          <w:szCs w:val="20"/>
          <w:color w:val="auto"/>
        </w:rPr>
      </w:pPr>
    </w:p>
    <w:p>
      <w:pPr>
        <w:ind w:left="420" w:right="80" w:hanging="431"/>
        <w:spacing w:after="0" w:line="25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No Legal or Equitable Rights or Interest.</w:t>
      </w:r>
      <w:r>
        <w:rPr>
          <w:rFonts w:ascii="Times New Roman" w:cs="Times New Roman" w:eastAsia="Times New Roman" w:hAnsi="Times New Roman"/>
          <w:sz w:val="18"/>
          <w:szCs w:val="18"/>
          <w:color w:val="auto"/>
        </w:rPr>
        <w:t xml:space="preserve"> No Participant or other person shall have any legal or equitable rights or interest in this Plan that are not expressly granted in this Plan. Participation in this Plan does not give any person any right to be retained in the service of the Participating Employer. The right and power of a Participating Employer to dismiss or discharge an Employee or Director is expressly reserved. The Participating Employers make no representations or warranties as to the tax consequences to a Participant or a Participant’s beneficiaries resulting from a deferral of income pursuant to the Plan.</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25 of 28</w:t>
      </w:r>
    </w:p>
    <w:p>
      <w:pPr>
        <w:sectPr>
          <w:pgSz w:w="11900" w:h="16838" w:orient="portrait"/>
          <w:cols w:equalWidth="0" w:num="1">
            <w:col w:w="11020"/>
          </w:cols>
          <w:pgMar w:left="440" w:top="266"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20" w:right="180" w:hanging="431"/>
        <w:spacing w:after="0" w:line="282"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No Employment Contract.</w:t>
      </w:r>
      <w:r>
        <w:rPr>
          <w:rFonts w:ascii="Times New Roman" w:cs="Times New Roman" w:eastAsia="Times New Roman" w:hAnsi="Times New Roman"/>
          <w:sz w:val="18"/>
          <w:szCs w:val="18"/>
          <w:color w:val="auto"/>
        </w:rPr>
        <w:t xml:space="preserve"> Nothing contained herein shall be construed to constitute a contract of employment between an Employee or Director and a Participating Employer.</w:t>
      </w:r>
    </w:p>
    <w:p>
      <w:pPr>
        <w:spacing w:after="0" w:line="67" w:lineRule="exact"/>
        <w:rPr>
          <w:sz w:val="20"/>
          <w:szCs w:val="20"/>
          <w:color w:val="auto"/>
        </w:rPr>
      </w:pPr>
    </w:p>
    <w:p>
      <w:pPr>
        <w:ind w:left="420" w:right="40" w:hanging="431"/>
        <w:spacing w:after="0" w:line="289" w:lineRule="auto"/>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xml:space="preserve"> Any notice or filing required or permitted to be delivered to the Committee under this Plan shall be delivered in writing, in person, or through such electronic means as is established by the Committee. Notice shall be deemed given as of the date of delivery or, if delivery is made by mail, as of the date shown on the postmark on the receipt for registration or certification. Written transmission shall be sent by certified mail to:</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CVB FINANCIAL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701 NORTH HAVEN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ONTARIO, CA 91764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HUMAN RESOURCES</w:t>
      </w:r>
    </w:p>
    <w:p>
      <w:pPr>
        <w:spacing w:after="0" w:line="207" w:lineRule="exact"/>
        <w:rPr>
          <w:sz w:val="20"/>
          <w:szCs w:val="20"/>
          <w:color w:val="auto"/>
        </w:rPr>
      </w:pPr>
    </w:p>
    <w:p>
      <w:pPr>
        <w:ind w:left="440" w:right="140"/>
        <w:spacing w:after="0" w:line="282" w:lineRule="auto"/>
        <w:rPr>
          <w:sz w:val="20"/>
          <w:szCs w:val="20"/>
          <w:color w:val="auto"/>
        </w:rPr>
      </w:pPr>
      <w:r>
        <w:rPr>
          <w:rFonts w:ascii="Times New Roman" w:cs="Times New Roman" w:eastAsia="Times New Roman" w:hAnsi="Times New Roman"/>
          <w:sz w:val="18"/>
          <w:szCs w:val="18"/>
          <w:color w:val="auto"/>
        </w:rPr>
        <w:t>Any notice or filing required or permitted to be given to a Participant under this Plan shall be sufficient if in writing or hand-delivered, or sent by mail to the last known address of the Participant.</w:t>
      </w:r>
    </w:p>
    <w:p>
      <w:pPr>
        <w:spacing w:after="0" w:line="67" w:lineRule="exact"/>
        <w:rPr>
          <w:sz w:val="20"/>
          <w:szCs w:val="20"/>
          <w:color w:val="auto"/>
        </w:rPr>
      </w:pPr>
    </w:p>
    <w:p>
      <w:pPr>
        <w:ind w:left="420" w:right="260" w:hanging="431"/>
        <w:spacing w:after="0" w:line="282"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headings of Sections are included solely for convenience of reference, and if there is any conflict between such headings and the text of this Plan, the text shall control.</w:t>
      </w:r>
    </w:p>
    <w:p>
      <w:pPr>
        <w:spacing w:after="0" w:line="67" w:lineRule="exact"/>
        <w:rPr>
          <w:sz w:val="20"/>
          <w:szCs w:val="20"/>
          <w:color w:val="auto"/>
        </w:rPr>
      </w:pPr>
    </w:p>
    <w:p>
      <w:pPr>
        <w:jc w:val="both"/>
        <w:ind w:left="420" w:right="120" w:hanging="431"/>
        <w:spacing w:after="0" w:line="266"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Invalid or Unenforceable Provisions.</w:t>
      </w:r>
      <w:r>
        <w:rPr>
          <w:rFonts w:ascii="Times New Roman" w:cs="Times New Roman" w:eastAsia="Times New Roman" w:hAnsi="Times New Roman"/>
          <w:sz w:val="18"/>
          <w:szCs w:val="18"/>
          <w:color w:val="auto"/>
        </w:rPr>
        <w:t xml:space="preserve"> If any provision of this Plan shall be held invalid or unenforceable, such invalidity or unenforceability shall not affect any other provisions hereof and the Committee may elect in its sole discretion to construe such invalid or unenforceable provisions in a manner that conforms to applicable law or as if such provisions, to the extent invalid or unenforceable, had not been included.</w:t>
      </w:r>
    </w:p>
    <w:p>
      <w:pPr>
        <w:spacing w:after="0" w:line="81" w:lineRule="exact"/>
        <w:rPr>
          <w:sz w:val="20"/>
          <w:szCs w:val="20"/>
          <w:color w:val="auto"/>
        </w:rPr>
      </w:pPr>
    </w:p>
    <w:p>
      <w:pPr>
        <w:ind w:left="420" w:right="80" w:hanging="431"/>
        <w:spacing w:after="0" w:line="254"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Lost Participants or Beneficiaries.</w:t>
      </w:r>
      <w:r>
        <w:rPr>
          <w:rFonts w:ascii="Times New Roman" w:cs="Times New Roman" w:eastAsia="Times New Roman" w:hAnsi="Times New Roman"/>
          <w:sz w:val="18"/>
          <w:szCs w:val="18"/>
          <w:color w:val="auto"/>
        </w:rPr>
        <w:t xml:space="preserve"> Any Participant or Beneficiary who is entitled to a benefit from the Plan has the duty to keep the Committee advised of his or her current mailing address. If benefit payments are returned to the Plan or are not presented for payment after a reasonable amount of time, the Committee shall presume that the payee is missing. The Committee, after making such efforts as in its discretion it deems reasonable and appropriate to locate the payee, shall stop payment on any uncashed checks and may discontinue making future payments until contact with the payee is restored. If the Committee is unable to locate the Participant or Beneficiary after five years of the date payment is scheduled to be made, provided that a Participant’s Account shall not be credited with Earnings following the first anniversary of such date on which payment is to be made and further provided, however, that such benefit shall be reinstated, without further adjustment for interest, if a valid claim is made by or on behalf of the Participant or Beneficiary for all or part of the forfeited benefit.</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26 of 28</w:t>
      </w:r>
    </w:p>
    <w:p>
      <w:pPr>
        <w:sectPr>
          <w:pgSz w:w="11900" w:h="16838" w:orient="portrait"/>
          <w:cols w:equalWidth="0" w:num="1">
            <w:col w:w="11020"/>
          </w:cols>
          <w:pgMar w:left="440" w:top="266"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ind w:left="420" w:right="40" w:hanging="431"/>
        <w:spacing w:after="0" w:line="261"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Facility of Payment to a Minor.</w:t>
      </w:r>
      <w:r>
        <w:rPr>
          <w:rFonts w:ascii="Times New Roman" w:cs="Times New Roman" w:eastAsia="Times New Roman" w:hAnsi="Times New Roman"/>
          <w:sz w:val="18"/>
          <w:szCs w:val="18"/>
          <w:color w:val="auto"/>
        </w:rPr>
        <w:t xml:space="preserve"> If a distribution is to be made to a minor, or to a person who is otherwise incompetent, then the Committee may, in its discretion, make such distribution: (i) to the legal guardian, or if none, to a parent of a minor payee with whom the payee maintains his or her residence, or (ii) to the conservator or committee or, if none, to the person having custody of an incompetent payee. Any such distribution shall fully discharge the Committee, the Company, and the Plan from further liability on account thereof.</w:t>
      </w:r>
    </w:p>
    <w:p>
      <w:pPr>
        <w:spacing w:after="0" w:line="85" w:lineRule="exact"/>
        <w:rPr>
          <w:sz w:val="20"/>
          <w:szCs w:val="20"/>
          <w:color w:val="auto"/>
        </w:rPr>
      </w:pPr>
    </w:p>
    <w:p>
      <w:pPr>
        <w:ind w:left="420" w:right="80" w:hanging="431"/>
        <w:spacing w:after="0" w:line="282"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To the extent not preempted by ERISA, the laws of the State of California shall govern the construction and administration of the Plan.</w:t>
      </w:r>
    </w:p>
    <w:p>
      <w:pPr>
        <w:spacing w:after="0" w:line="67" w:lineRule="exact"/>
        <w:rPr>
          <w:sz w:val="20"/>
          <w:szCs w:val="20"/>
          <w:color w:val="auto"/>
        </w:rPr>
      </w:pPr>
    </w:p>
    <w:p>
      <w:pPr>
        <w:ind w:left="420" w:right="200" w:hanging="431"/>
        <w:spacing w:after="0" w:line="258"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Compliance With Code Section 409A; No Guarantee</w:t>
      </w:r>
      <w:r>
        <w:rPr>
          <w:rFonts w:ascii="Times New Roman" w:cs="Times New Roman" w:eastAsia="Times New Roman" w:hAnsi="Times New Roman"/>
          <w:sz w:val="18"/>
          <w:szCs w:val="18"/>
          <w:color w:val="auto"/>
        </w:rPr>
        <w:t>. This Plan is intended to be administered in compliance with Code Section 409A and each provision of the Plan shall be interpreted consistent with Code Section 409A. Although intended to comply with Code Section 409A, this Plan shall not constitute a guarantee to any Participant or Beneficiary that the Plan in form or in operation will result in the deferral of federal or state income tax liabilities or that the Participant or Beneficiary will not be subject to the additional taxes imposed under Section 409A. No Employer shall have any legal obligation to a Participant with respect to taxes imposed under Code Section 409A.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 the undersigned executed this Plan as of the 1</w:t>
      </w:r>
      <w:r>
        <w:rPr>
          <w:rFonts w:ascii="Times New Roman" w:cs="Times New Roman" w:eastAsia="Times New Roman" w:hAnsi="Times New Roman"/>
          <w:sz w:val="15"/>
          <w:szCs w:val="15"/>
          <w:b w:val="1"/>
          <w:bCs w:val="1"/>
          <w:color w:val="auto"/>
        </w:rPr>
        <w:t>st</w:t>
      </w:r>
      <w:r>
        <w:rPr>
          <w:rFonts w:ascii="Times New Roman" w:cs="Times New Roman" w:eastAsia="Times New Roman" w:hAnsi="Times New Roman"/>
          <w:sz w:val="18"/>
          <w:szCs w:val="18"/>
          <w:b w:val="1"/>
          <w:bCs w:val="1"/>
          <w:color w:val="auto"/>
        </w:rPr>
        <w:t xml:space="preserve"> day of December, 2020, to be effective as of the Effective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CVB FINANCIAL CORP.</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  E. Allen Nicholson</w:t>
            </w: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(Signature)</w:t>
            </w:r>
          </w:p>
        </w:tc>
      </w:tr>
      <w:tr>
        <w:trPr>
          <w:trHeight w:val="39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Allen Nicholson</w:t>
            </w: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(Print Name)</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2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160" w:type="dxa"/>
            <w:vAlign w:val="bottom"/>
          </w:tcPr>
          <w:p>
            <w:pPr>
              <w:spacing w:after="0"/>
              <w:rPr>
                <w:sz w:val="24"/>
                <w:szCs w:val="24"/>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27 of 28</w:t>
      </w:r>
    </w:p>
    <w:p>
      <w:pPr>
        <w:sectPr>
          <w:pgSz w:w="11900" w:h="16838" w:orient="portrait"/>
          <w:cols w:equalWidth="0" w:num="1">
            <w:col w:w="11020"/>
          </w:cols>
          <w:pgMar w:left="440" w:top="266"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CVB Financial Corp. Deferred Compensation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Participating Employers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Business Bank</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Page 28 of 28</w:t>
      </w:r>
    </w:p>
    <w:p>
      <w:pPr>
        <w:sectPr>
          <w:pgSz w:w="11900" w:h="16838" w:orient="portrait"/>
          <w:cols w:equalWidth="0" w:num="1">
            <w:col w:w="11020"/>
          </w:cols>
          <w:pgMar w:left="440" w:top="266" w:right="4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64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Subsidiaries of the Registrant</w:t>
            </w:r>
          </w:p>
        </w:tc>
      </w:tr>
      <w:tr>
        <w:trPr>
          <w:trHeight w:val="41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020" w:type="dxa"/>
            <w:vAlign w:val="bottom"/>
          </w:tcPr>
          <w:p>
            <w:pPr>
              <w:spacing w:after="0"/>
              <w:rPr>
                <w:sz w:val="24"/>
                <w:szCs w:val="24"/>
                <w:color w:val="auto"/>
              </w:rPr>
            </w:pPr>
          </w:p>
        </w:tc>
        <w:tc>
          <w:tcPr>
            <w:tcW w:w="76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185"/>
        </w:trPr>
        <w:tc>
          <w:tcPr>
            <w:tcW w:w="33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Citizens Business Bank</w:t>
            </w: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Chino Valley Bancorp (Inactive)</w:t>
            </w:r>
          </w:p>
        </w:tc>
        <w:tc>
          <w:tcPr>
            <w:tcW w:w="764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CVB Statutory Trust III</w:t>
            </w:r>
          </w:p>
        </w:tc>
        <w:tc>
          <w:tcPr>
            <w:tcW w:w="764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Connecticut</w:t>
            </w:r>
          </w:p>
        </w:tc>
      </w:tr>
    </w:tbl>
    <w:p>
      <w:pPr>
        <w:sectPr>
          <w:pgSz w:w="11900" w:h="16838" w:orient="portrait"/>
          <w:cols w:equalWidth="0" w:num="1">
            <w:col w:w="11020"/>
          </w:cols>
          <w:pgMar w:left="440" w:top="121" w:right="4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333-151755, 333-150017, 333-150016, and 333-225173) on Form S-8 of CVB Financial Corp. (the Company) of our reports dated March 1, 2021, with respect to the consolidated balance sheets of CVB Financial Corp. as of December 31, 2020 and 2019, the related consolidated statements of earnings and comprehensive income, stockholders’ equity, and cash flows for each of the years in the three-year period ended December 31, 2020, and the related notes, and the effectiveness of internal control over financial reporting as of December 31, 2020, which reports appears in the December 31, 2020 annual report on Form 10-K of CVB Financial Corp.</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discussed in Note 3 to the financial statements, the Company has changed its method of accounting for the recognition and measurement of credit losses as of January 1, 2020 due to the adoption of ASU No. 2016-13, “</w:t>
      </w:r>
      <w:r>
        <w:rPr>
          <w:rFonts w:ascii="Times New Roman" w:cs="Times New Roman" w:eastAsia="Times New Roman" w:hAnsi="Times New Roman"/>
          <w:sz w:val="18"/>
          <w:szCs w:val="18"/>
          <w:i w:val="1"/>
          <w:iCs w:val="1"/>
          <w:color w:val="auto"/>
        </w:rPr>
        <w:t>Financial Instruments – 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on Financial Instruments”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ectPr>
          <w:pgSz w:w="11900" w:h="16838" w:orient="portrait"/>
          <w:cols w:equalWidth="0" w:num="1">
            <w:col w:w="11020"/>
          </w:cols>
          <w:pgMar w:left="440" w:top="117" w:right="439" w:bottom="1440" w:gutter="0" w:footer="0" w:header="0"/>
        </w:sectPr>
      </w:pPr>
    </w:p>
    <w:bookmarkStart w:id="193" w:name="page194"/>
    <w:bookmarkEnd w:id="193"/>
    <w:p>
      <w:pPr>
        <w:ind w:left="4"/>
        <w:spacing w:after="0"/>
        <w:rPr>
          <w:sz w:val="20"/>
          <w:szCs w:val="20"/>
          <w:color w:val="auto"/>
        </w:rPr>
      </w:pPr>
      <w:r>
        <w:rPr>
          <w:rFonts w:ascii="Times New Roman" w:cs="Times New Roman" w:eastAsia="Times New Roman" w:hAnsi="Times New Roman"/>
          <w:sz w:val="18"/>
          <w:szCs w:val="18"/>
          <w:color w:val="auto"/>
        </w:rPr>
        <w:t>Exhibit 31.1</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 David A. Brager, certify that:</w:t>
      </w:r>
    </w:p>
    <w:p>
      <w:pPr>
        <w:spacing w:after="0" w:line="131" w:lineRule="exact"/>
        <w:rPr>
          <w:sz w:val="20"/>
          <w:szCs w:val="20"/>
          <w:color w:val="auto"/>
        </w:rPr>
      </w:pPr>
    </w:p>
    <w:p>
      <w:pPr>
        <w:ind w:left="424" w:hanging="424"/>
        <w:spacing w:after="0"/>
        <w:tabs>
          <w:tab w:leader="none" w:pos="4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CVB Financial Corp.;</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 2021</w:t>
            </w: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David A. Brager</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David A. Brager</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4"/>
          </w:cols>
          <w:pgMar w:left="436" w:top="121" w:right="439" w:bottom="1440" w:gutter="0" w:footer="0" w:header="0"/>
        </w:sectPr>
      </w:pPr>
    </w:p>
    <w:bookmarkStart w:id="194" w:name="page195"/>
    <w:bookmarkEnd w:id="194"/>
    <w:p>
      <w:pPr>
        <w:ind w:left="4"/>
        <w:spacing w:after="0"/>
        <w:rPr>
          <w:sz w:val="20"/>
          <w:szCs w:val="20"/>
          <w:color w:val="auto"/>
        </w:rPr>
      </w:pPr>
      <w:r>
        <w:rPr>
          <w:rFonts w:ascii="Times New Roman" w:cs="Times New Roman" w:eastAsia="Times New Roman" w:hAnsi="Times New Roman"/>
          <w:sz w:val="18"/>
          <w:szCs w:val="18"/>
          <w:color w:val="auto"/>
        </w:rPr>
        <w:t>Exhibit 31.2</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 E. Allen Nicholson, certify that:</w:t>
      </w:r>
    </w:p>
    <w:p>
      <w:pPr>
        <w:spacing w:after="0" w:line="131" w:lineRule="exact"/>
        <w:rPr>
          <w:sz w:val="20"/>
          <w:szCs w:val="20"/>
          <w:color w:val="auto"/>
        </w:rPr>
      </w:pPr>
    </w:p>
    <w:p>
      <w:pPr>
        <w:ind w:left="424" w:hanging="424"/>
        <w:spacing w:after="0"/>
        <w:tabs>
          <w:tab w:leader="none" w:pos="4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CVB Financial Corp.;</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 2021</w:t>
            </w: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E. Allen Nicholson</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 Allen Nicholson</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4"/>
          </w:cols>
          <w:pgMar w:left="436" w:top="121"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140" w:firstLine="551"/>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CVB Financial Corp. (the “Company”) on Form 10-K for the fiscal year ended December 31, 2020, as filed with the Securities and Exchange Commission on the date hereof (the “Report”), I, David A. Brager, President and Chief Executive Officer of the Company, certify, pursuant to 18 U.S.C. § 1350, as adopted pursuant to § 906 of the Sarbanes-Oxley Act of 2002, to the best of my knowledge that:</w:t>
      </w:r>
    </w:p>
    <w:p>
      <w:pPr>
        <w:spacing w:after="0" w:line="63" w:lineRule="exact"/>
        <w:rPr>
          <w:sz w:val="20"/>
          <w:szCs w:val="20"/>
          <w:color w:val="auto"/>
        </w:rPr>
      </w:pPr>
    </w:p>
    <w:p>
      <w:pPr>
        <w:ind w:left="1180" w:hanging="644"/>
        <w:spacing w:after="0"/>
        <w:tabs>
          <w:tab w:leader="none" w:pos="1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 2021</w:t>
            </w: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David A. Brager</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David A. Brager</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121"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40" w:firstLine="551"/>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CVB Financial Corp. (the “Company”) on Form 10-K for the fiscal year ended December 31, 2020,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81" w:lineRule="exact"/>
        <w:rPr>
          <w:sz w:val="20"/>
          <w:szCs w:val="20"/>
          <w:color w:val="auto"/>
        </w:rPr>
      </w:pPr>
    </w:p>
    <w:p>
      <w:pPr>
        <w:ind w:left="960" w:hanging="532"/>
        <w:spacing w:after="0"/>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 2021</w:t>
            </w: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E. Allen Nicholson</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 Allen Nicholson</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1)"/>
      <w:numFmt w:val="decimal"/>
      <w:start w:val="1"/>
    </w:lvl>
  </w:abstractNum>
  <w:abstractNum w:abstractNumId="6">
    <w:nsid w:val="61574095"/>
    <w:multiLevelType w:val="hybridMultilevel"/>
    <w:lvl w:ilvl="0">
      <w:lvlJc w:val="left"/>
      <w:lvlText w:val="(%1)"/>
      <w:numFmt w:val="decimal"/>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1)"/>
      <w:numFmt w:val="decimal"/>
      <w:start w:val="2"/>
    </w:lvl>
    <w:lvl w:ilvl="1">
      <w:lvlJc w:val="left"/>
      <w:lvlText w:val="•"/>
      <w:numFmt w:val="bullet"/>
      <w:start w:val="1"/>
    </w:lvl>
  </w:abstractNum>
  <w:abstractNum w:abstractNumId="13">
    <w:nsid w:val="25A70BF7"/>
    <w:multiLevelType w:val="hybridMultilevel"/>
    <w:lvl w:ilvl="0">
      <w:lvlJc w:val="left"/>
      <w:lvlText w:val="(%1)"/>
      <w:numFmt w:val="lowerRoman"/>
      <w:start w:val="1"/>
    </w:lvl>
  </w:abstractNum>
  <w:abstractNum w:abstractNumId="14">
    <w:nsid w:val="1DBABF00"/>
    <w:multiLevelType w:val="hybridMultilevel"/>
    <w:lvl w:ilvl="0">
      <w:lvlJc w:val="left"/>
      <w:lvlText w:val="(%1)"/>
      <w:numFmt w:val="lowerRoman"/>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1)"/>
      <w:numFmt w:val="decimal"/>
      <w:start w:val="1"/>
    </w:lvl>
  </w:abstractNum>
  <w:abstractNum w:abstractNumId="21">
    <w:nsid w:val="15014ACB"/>
    <w:multiLevelType w:val="hybridMultilevel"/>
    <w:lvl w:ilvl="0">
      <w:lvlJc w:val="left"/>
      <w:lvlText w:val="%1"/>
      <w:numFmt w:val="upperLetter"/>
      <w:start w:val="68"/>
    </w:lvl>
  </w:abstractNum>
  <w:abstractNum w:abstractNumId="22">
    <w:nsid w:val="5F5E7FD0"/>
    <w:multiLevelType w:val="hybridMultilevel"/>
    <w:lvl w:ilvl="0">
      <w:lvlJc w:val="left"/>
      <w:lvlText w:val="\emdash "/>
      <w:numFmt w:val="bullet"/>
      <w:start w:val="1"/>
    </w:lvl>
  </w:abstractNum>
  <w:abstractNum w:abstractNumId="23">
    <w:nsid w:val="98A3148"/>
    <w:multiLevelType w:val="hybridMultilevel"/>
    <w:lvl w:ilvl="0">
      <w:lvlJc w:val="left"/>
      <w:lvlText w:val="(%1)"/>
      <w:numFmt w:val="decimal"/>
      <w:start w:val="1"/>
    </w:lvl>
  </w:abstractNum>
  <w:abstractNum w:abstractNumId="24">
    <w:nsid w:val="799D0247"/>
    <w:multiLevelType w:val="hybridMultilevel"/>
    <w:lvl w:ilvl="0">
      <w:lvlJc w:val="left"/>
      <w:lvlText w:val="%1"/>
      <w:numFmt w:val="upperLetter"/>
      <w:start w:val="68"/>
    </w:lvl>
  </w:abstractNum>
  <w:abstractNum w:abstractNumId="25">
    <w:nsid w:val="6B94764"/>
    <w:multiLevelType w:val="hybridMultilevel"/>
    <w:lvl w:ilvl="0">
      <w:lvlJc w:val="left"/>
      <w:lvlText w:val="(%1)"/>
      <w:numFmt w:val="decimal"/>
      <w:start w:val="1"/>
    </w:lvl>
  </w:abstractNum>
  <w:abstractNum w:abstractNumId="26">
    <w:nsid w:val="42C296BD"/>
    <w:multiLevelType w:val="hybridMultilevel"/>
    <w:lvl w:ilvl="0">
      <w:lvlJc w:val="left"/>
      <w:lvlText w:val="(%1)"/>
      <w:numFmt w:val="decimal"/>
      <w:start w:val="1"/>
    </w:lvl>
  </w:abstractNum>
  <w:abstractNum w:abstractNumId="27">
    <w:nsid w:val="168E121F"/>
    <w:multiLevelType w:val="hybridMultilevel"/>
    <w:lvl w:ilvl="0">
      <w:lvlJc w:val="left"/>
      <w:lvlText w:val="(%1)"/>
      <w:numFmt w:val="decimal"/>
      <w:start w:val="1"/>
    </w:lvl>
  </w:abstractNum>
  <w:abstractNum w:abstractNumId="28">
    <w:nsid w:val="1EBA5D23"/>
    <w:multiLevelType w:val="hybridMultilevel"/>
    <w:lvl w:ilvl="0">
      <w:lvlJc w:val="left"/>
      <w:lvlText w:val="(%1)"/>
      <w:numFmt w:val="decimal"/>
      <w:start w:val="1"/>
    </w:lvl>
  </w:abstractNum>
  <w:abstractNum w:abstractNumId="29">
    <w:nsid w:val="661E3F1E"/>
    <w:multiLevelType w:val="hybridMultilevel"/>
    <w:lvl w:ilvl="0">
      <w:lvlJc w:val="left"/>
      <w:lvlText w:val="(%1)"/>
      <w:numFmt w:val="decimal"/>
      <w:start w:val="1"/>
    </w:lvl>
  </w:abstractNum>
  <w:abstractNum w:abstractNumId="30">
    <w:nsid w:val="5DC79EA8"/>
    <w:multiLevelType w:val="hybridMultilevel"/>
    <w:lvl w:ilvl="0">
      <w:lvlJc w:val="left"/>
      <w:lvlText w:val="(%1)"/>
      <w:numFmt w:val="decimal"/>
      <w:start w:val="1"/>
    </w:lvl>
  </w:abstractNum>
  <w:abstractNum w:abstractNumId="31">
    <w:nsid w:val="540A471C"/>
    <w:multiLevelType w:val="hybridMultilevel"/>
    <w:lvl w:ilvl="0">
      <w:lvlJc w:val="left"/>
      <w:lvlText w:val="(%1)"/>
      <w:numFmt w:val="decimal"/>
      <w:start w:val="1"/>
    </w:lvl>
  </w:abstractNum>
  <w:abstractNum w:abstractNumId="32">
    <w:nsid w:val="7BD3EE7B"/>
    <w:multiLevelType w:val="hybridMultilevel"/>
    <w:lvl w:ilvl="0">
      <w:lvlJc w:val="left"/>
      <w:lvlText w:val="(%1)"/>
      <w:numFmt w:val="decimal"/>
      <w:start w:val="1"/>
    </w:lvl>
  </w:abstractNum>
  <w:abstractNum w:abstractNumId="33">
    <w:nsid w:val="51D9C564"/>
    <w:multiLevelType w:val="hybridMultilevel"/>
    <w:lvl w:ilvl="0">
      <w:lvlJc w:val="left"/>
      <w:lvlText w:val="(%1)"/>
      <w:numFmt w:val="decimal"/>
      <w:start w:val="1"/>
    </w:lvl>
  </w:abstractNum>
  <w:abstractNum w:abstractNumId="34">
    <w:nsid w:val="613EFDC5"/>
    <w:multiLevelType w:val="hybridMultilevel"/>
    <w:lvl w:ilvl="0">
      <w:lvlJc w:val="left"/>
      <w:lvlText w:val="(%1)"/>
      <w:numFmt w:val="decimal"/>
      <w:start w:val="1"/>
    </w:lvl>
  </w:abstractNum>
  <w:abstractNum w:abstractNumId="35">
    <w:nsid w:val="BF72B14"/>
    <w:multiLevelType w:val="hybridMultilevel"/>
    <w:lvl w:ilvl="0">
      <w:lvlJc w:val="left"/>
      <w:lvlText w:val="(%1)"/>
      <w:numFmt w:val="decimal"/>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1)"/>
      <w:numFmt w:val="decimal"/>
      <w:start w:val="1"/>
    </w:lvl>
  </w:abstractNum>
  <w:abstractNum w:abstractNumId="39">
    <w:nsid w:val="8F2B15E"/>
    <w:multiLevelType w:val="hybridMultilevel"/>
    <w:lvl w:ilvl="0">
      <w:lvlJc w:val="left"/>
      <w:lvlText w:val="%1)"/>
      <w:numFmt w:val="decimal"/>
      <w:start w:val="2"/>
    </w:lvl>
  </w:abstractNum>
  <w:abstractNum w:abstractNumId="40">
    <w:nsid w:val="1A32234B"/>
    <w:multiLevelType w:val="hybridMultilevel"/>
    <w:lvl w:ilvl="0">
      <w:lvlJc w:val="left"/>
      <w:lvlText w:val="%1)"/>
      <w:numFmt w:val="decimal"/>
      <w:start w:val="3"/>
    </w:lvl>
  </w:abstractNum>
  <w:abstractNum w:abstractNumId="41">
    <w:nsid w:val="3B0FD379"/>
    <w:multiLevelType w:val="hybridMultilevel"/>
    <w:lvl w:ilvl="0">
      <w:lvlJc w:val="left"/>
      <w:lvlText w:val="(%1)"/>
      <w:numFmt w:val="lowerLetter"/>
      <w:start w:val="1"/>
    </w:lvl>
  </w:abstractNum>
  <w:abstractNum w:abstractNumId="42">
    <w:nsid w:val="68EB2F63"/>
    <w:multiLevelType w:val="hybridMultilevel"/>
    <w:lvl w:ilvl="0">
      <w:lvlJc w:val="left"/>
      <w:lvlText w:val="%1"/>
      <w:numFmt w:val="lowerLetter"/>
      <w:start w:val="1"/>
    </w:lvl>
    <w:lvl w:ilvl="1">
      <w:lvlJc w:val="left"/>
      <w:lvlText w:val="(%2)"/>
      <w:numFmt w:val="decimal"/>
      <w:start w:val="2"/>
    </w:lvl>
  </w:abstractNum>
  <w:abstractNum w:abstractNumId="43">
    <w:nsid w:val="4962813B"/>
    <w:multiLevelType w:val="hybridMultilevel"/>
    <w:lvl w:ilvl="0">
      <w:lvlJc w:val="left"/>
      <w:lvlText w:val="(%1)"/>
      <w:numFmt w:val="lowerLetter"/>
      <w:start w:val="2"/>
    </w:lvl>
    <w:lvl w:ilvl="1">
      <w:lvlJc w:val="left"/>
      <w:lvlText w:val="%2"/>
      <w:numFmt w:val="decimal"/>
      <w:start w:val="1"/>
    </w:lvl>
  </w:abstractNum>
  <w:abstractNum w:abstractNumId="44">
    <w:nsid w:val="60B6DF70"/>
    <w:multiLevelType w:val="hybridMultilevel"/>
    <w:lvl w:ilvl="0">
      <w:lvlJc w:val="left"/>
      <w:lvlText w:val="%1"/>
      <w:numFmt w:val="decimal"/>
      <w:start w:val="104"/>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D"/>
      <w:numFmt w:val="bullet"/>
      <w:start w:val="1"/>
    </w:lvl>
    <w:lvl w:ilvl="1">
      <w:lvlJc w:val="left"/>
      <w:lvlText w:val="(%2)"/>
      <w:numFmt w:val="lowerLetter"/>
      <w:start w:val="1"/>
    </w:lvl>
  </w:abstractNum>
  <w:abstractNum w:abstractNumId="50">
    <w:nsid w:val="100F59DC"/>
    <w:multiLevelType w:val="hybridMultilevel"/>
    <w:lvl w:ilvl="0">
      <w:lvlJc w:val="left"/>
      <w:lvlText w:val="(%1)"/>
      <w:numFmt w:val="decimal"/>
      <w:start w:val="1"/>
    </w:lvl>
  </w:abstractNum>
  <w:abstractNum w:abstractNumId="51">
    <w:nsid w:val="7FB7E0AA"/>
    <w:multiLevelType w:val="hybridMultilevel"/>
    <w:lvl w:ilvl="0">
      <w:lvlJc w:val="left"/>
      <w:lvlText w:val="(%1)"/>
      <w:numFmt w:val="decimal"/>
      <w:start w:val="14"/>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1"/>
      <w:numFmt w:val="decimal"/>
      <w:start w:val="355"/>
    </w:lvl>
  </w:abstractNum>
  <w:abstractNum w:abstractNumId="56">
    <w:nsid w:val="76272110"/>
    <w:multiLevelType w:val="hybridMultilevel"/>
    <w:lvl w:ilvl="0">
      <w:lvlJc w:val="left"/>
      <w:lvlText w:val="%1."/>
      <w:numFmt w:val="decimal"/>
      <w:start w:val="1"/>
    </w:lvl>
  </w:abstractNum>
  <w:abstractNum w:abstractNumId="57">
    <w:nsid w:val="4C04A8AF"/>
    <w:multiLevelType w:val="hybridMultilevel"/>
    <w:lvl w:ilvl="0">
      <w:lvlJc w:val="left"/>
      <w:lvlText w:val="%1."/>
      <w:numFmt w:val="decimal"/>
      <w:start w:val="2"/>
    </w:lvl>
  </w:abstractNum>
  <w:abstractNum w:abstractNumId="58">
    <w:nsid w:val="1716703B"/>
    <w:multiLevelType w:val="hybridMultilevel"/>
    <w:lvl w:ilvl="0">
      <w:lvlJc w:val="left"/>
      <w:lvlText w:val="%1."/>
      <w:numFmt w:val="decimal"/>
      <w:start w:val="3"/>
    </w:lvl>
  </w:abstractNum>
  <w:abstractNum w:abstractNumId="59">
    <w:nsid w:val="14E17E33"/>
    <w:multiLevelType w:val="hybridMultilevel"/>
    <w:lvl w:ilvl="0">
      <w:lvlJc w:val="left"/>
      <w:lvlText w:val="(%1)"/>
      <w:numFmt w:val="decimal"/>
      <w:start w:val="1"/>
    </w:lvl>
  </w:abstractNum>
  <w:abstractNum w:abstractNumId="60">
    <w:nsid w:val="3222E7CD"/>
    <w:multiLevelType w:val="hybridMultilevel"/>
    <w:lvl w:ilvl="0">
      <w:lvlJc w:val="left"/>
      <w:lvlText w:val="%1."/>
      <w:numFmt w:val="decimal"/>
      <w:start w:val="1"/>
    </w:lvl>
    <w:lvl w:ilvl="1">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1."/>
      <w:numFmt w:val="decimal"/>
      <w:start w:val="4"/>
    </w:lvl>
  </w:abstractNum>
  <w:abstractNum w:abstractNumId="63">
    <w:nsid w:val="2DF6D648"/>
    <w:multiLevelType w:val="hybridMultilevel"/>
    <w:lvl w:ilvl="0">
      <w:lvlJc w:val="left"/>
      <w:lvlText w:val="%1."/>
      <w:numFmt w:val="decimal"/>
      <w:start w:val="5"/>
    </w:lvl>
  </w:abstractNum>
  <w:abstractNum w:abstractNumId="64">
    <w:nsid w:val="46B7D447"/>
    <w:multiLevelType w:val="hybridMultilevel"/>
    <w:lvl w:ilvl="0">
      <w:lvlJc w:val="left"/>
      <w:lvlText w:val="%1."/>
      <w:numFmt w:val="decimal"/>
      <w:start w:val="6"/>
    </w:lvl>
  </w:abstractNum>
  <w:abstractNum w:abstractNumId="65">
    <w:nsid w:val="4A2AC315"/>
    <w:multiLevelType w:val="hybridMultilevel"/>
    <w:lvl w:ilvl="0">
      <w:lvlJc w:val="left"/>
      <w:lvlText w:val="(%1)"/>
      <w:numFmt w:val="decimal"/>
      <w:start w:val="1"/>
    </w:lvl>
  </w:abstractNum>
  <w:abstractNum w:abstractNumId="66">
    <w:nsid w:val="39EE015C"/>
    <w:multiLevelType w:val="hybridMultilevel"/>
    <w:lvl w:ilvl="0">
      <w:lvlJc w:val="left"/>
      <w:lvlText w:val="(%1)"/>
      <w:numFmt w:val="decimal"/>
      <w:start w:val="1"/>
    </w:lvl>
  </w:abstractNum>
  <w:abstractNum w:abstractNumId="67">
    <w:nsid w:val="57FC4FBB"/>
    <w:multiLevelType w:val="hybridMultilevel"/>
    <w:lvl w:ilvl="0">
      <w:lvlJc w:val="left"/>
      <w:lvlText w:val="(%1)"/>
      <w:numFmt w:val="decimal"/>
      <w:start w:val="1"/>
    </w:lvl>
  </w:abstractNum>
  <w:abstractNum w:abstractNumId="68">
    <w:nsid w:val="CC1016F"/>
    <w:multiLevelType w:val="hybridMultilevel"/>
    <w:lvl w:ilvl="0">
      <w:lvlJc w:val="left"/>
      <w:lvlText w:val="(%1)"/>
      <w:numFmt w:val="decimal"/>
      <w:start w:val="1"/>
    </w:lvl>
  </w:abstractNum>
  <w:abstractNum w:abstractNumId="69">
    <w:nsid w:val="43F18422"/>
    <w:multiLevelType w:val="hybridMultilevel"/>
    <w:lvl w:ilvl="0">
      <w:lvlJc w:val="left"/>
      <w:lvlText w:val="(%1)"/>
      <w:numFmt w:val="decimal"/>
      <w:start w:val="1"/>
    </w:lvl>
  </w:abstractNum>
  <w:abstractNum w:abstractNumId="70">
    <w:nsid w:val="60EF0119"/>
    <w:multiLevelType w:val="hybridMultilevel"/>
    <w:lvl w:ilvl="0">
      <w:lvlJc w:val="left"/>
      <w:lvlText w:val="(%1)"/>
      <w:numFmt w:val="decimal"/>
      <w:start w:val="1"/>
    </w:lvl>
  </w:abstractNum>
  <w:abstractNum w:abstractNumId="71">
    <w:nsid w:val="26F324BA"/>
    <w:multiLevelType w:val="hybridMultilevel"/>
    <w:lvl w:ilvl="0">
      <w:lvlJc w:val="left"/>
      <w:lvlText w:val="%1."/>
      <w:numFmt w:val="decimal"/>
      <w:start w:val="7"/>
    </w:lvl>
  </w:abstractNum>
  <w:abstractNum w:abstractNumId="72">
    <w:nsid w:val="7F01579B"/>
    <w:multiLevelType w:val="hybridMultilevel"/>
    <w:lvl w:ilvl="0">
      <w:lvlJc w:val="left"/>
      <w:lvlText w:val="%1."/>
      <w:numFmt w:val="decimal"/>
      <w:start w:val="8"/>
    </w:lvl>
  </w:abstractNum>
  <w:abstractNum w:abstractNumId="73">
    <w:nsid w:val="49DA307D"/>
    <w:multiLevelType w:val="hybridMultilevel"/>
    <w:lvl w:ilvl="0">
      <w:lvlJc w:val="left"/>
      <w:lvlText w:val="%1."/>
      <w:numFmt w:val="decimal"/>
      <w:start w:val="9"/>
    </w:lvl>
  </w:abstractNum>
  <w:abstractNum w:abstractNumId="74">
    <w:nsid w:val="7055A5F5"/>
    <w:multiLevelType w:val="hybridMultilevel"/>
    <w:lvl w:ilvl="0">
      <w:lvlJc w:val="left"/>
      <w:lvlText w:val="%1."/>
      <w:numFmt w:val="decimal"/>
      <w:start w:val="10"/>
    </w:lvl>
  </w:abstractNum>
  <w:abstractNum w:abstractNumId="75">
    <w:nsid w:val="5FB8370B"/>
    <w:multiLevelType w:val="hybridMultilevel"/>
    <w:lvl w:ilvl="0">
      <w:lvlJc w:val="left"/>
      <w:lvlText w:val="%1."/>
      <w:numFmt w:val="decimal"/>
      <w:start w:val="11"/>
    </w:lvl>
  </w:abstractNum>
  <w:abstractNum w:abstractNumId="76">
    <w:nsid w:val="50801EE1"/>
    <w:multiLevelType w:val="hybridMultilevel"/>
    <w:lvl w:ilvl="0">
      <w:lvlJc w:val="left"/>
      <w:lvlText w:val="%1."/>
      <w:numFmt w:val="decimal"/>
      <w:start w:val="12"/>
    </w:lvl>
  </w:abstractNum>
  <w:abstractNum w:abstractNumId="77">
    <w:nsid w:val="488AC1A"/>
    <w:multiLevelType w:val="hybridMultilevel"/>
    <w:lvl w:ilvl="0">
      <w:lvlJc w:val="left"/>
      <w:lvlText w:val="%1."/>
      <w:numFmt w:val="decimal"/>
      <w:start w:val="13"/>
    </w:lvl>
  </w:abstractNum>
  <w:abstractNum w:abstractNumId="78">
    <w:nsid w:val="5FB8011C"/>
    <w:multiLevelType w:val="hybridMultilevel"/>
    <w:lvl w:ilvl="0">
      <w:lvlJc w:val="left"/>
      <w:lvlText w:val="%1."/>
      <w:numFmt w:val="decimal"/>
      <w:start w:val="14"/>
    </w:lvl>
  </w:abstractNum>
  <w:abstractNum w:abstractNumId="79">
    <w:nsid w:val="6AA78F7F"/>
    <w:multiLevelType w:val="hybridMultilevel"/>
    <w:lvl w:ilvl="0">
      <w:lvlJc w:val="left"/>
      <w:lvlText w:val="%1."/>
      <w:numFmt w:val="decimal"/>
      <w:start w:val="15"/>
    </w:lvl>
  </w:abstractNum>
  <w:abstractNum w:abstractNumId="80">
    <w:nsid w:val="7672BD23"/>
    <w:multiLevelType w:val="hybridMultilevel"/>
    <w:lvl w:ilvl="0">
      <w:lvlJc w:val="left"/>
      <w:lvlText w:val="%1."/>
      <w:numFmt w:val="decimal"/>
      <w:start w:val="16"/>
    </w:lvl>
  </w:abstractNum>
  <w:abstractNum w:abstractNumId="81">
    <w:nsid w:val="6FC75AF8"/>
    <w:multiLevelType w:val="hybridMultilevel"/>
    <w:lvl w:ilvl="0">
      <w:lvlJc w:val="left"/>
      <w:lvlText w:val="%1."/>
      <w:numFmt w:val="decimal"/>
      <w:start w:val="17"/>
    </w:lvl>
  </w:abstractNum>
  <w:abstractNum w:abstractNumId="82">
    <w:nsid w:val="6A5F7029"/>
    <w:multiLevelType w:val="hybridMultilevel"/>
    <w:lvl w:ilvl="0">
      <w:lvlJc w:val="left"/>
      <w:lvlText w:val="%1."/>
      <w:numFmt w:val="decimal"/>
      <w:start w:val="18"/>
    </w:lvl>
  </w:abstractNum>
  <w:abstractNum w:abstractNumId="83">
    <w:nsid w:val="7D5E18F8"/>
    <w:multiLevelType w:val="hybridMultilevel"/>
    <w:lvl w:ilvl="0">
      <w:lvlJc w:val="left"/>
      <w:lvlText w:val="%1."/>
      <w:numFmt w:val="decimal"/>
      <w:start w:val="19"/>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1."/>
      <w:numFmt w:val="decimal"/>
      <w:start w:val="20"/>
    </w:lvl>
  </w:abstractNum>
  <w:abstractNum w:abstractNumId="86">
    <w:nsid w:val="7DE67713"/>
    <w:multiLevelType w:val="hybridMultilevel"/>
    <w:lvl w:ilvl="0">
      <w:lvlJc w:val="left"/>
      <w:lvlText w:val="%1."/>
      <w:numFmt w:val="decimal"/>
      <w:start w:val="21"/>
    </w:lvl>
  </w:abstractNum>
  <w:abstractNum w:abstractNumId="87">
    <w:nsid w:val="555C55B5"/>
    <w:multiLevelType w:val="hybridMultilevel"/>
    <w:lvl w:ilvl="0">
      <w:lvlJc w:val="left"/>
      <w:lvlText w:val="(%1)"/>
      <w:numFmt w:val="decimal"/>
      <w:start w:val="1"/>
    </w:lvl>
  </w:abstractNum>
  <w:abstractNum w:abstractNumId="88">
    <w:nsid w:val="3FA62ACA"/>
    <w:multiLevelType w:val="hybridMultilevel"/>
    <w:lvl w:ilvl="0">
      <w:lvlJc w:val="left"/>
      <w:lvlText w:val="%1."/>
      <w:numFmt w:val="decimal"/>
      <w:start w:val="22"/>
    </w:lvl>
  </w:abstractNum>
  <w:abstractNum w:abstractNumId="89">
    <w:nsid w:val="14FCE74E"/>
    <w:multiLevelType w:val="hybridMultilevel"/>
    <w:lvl w:ilvl="0">
      <w:lvlJc w:val="left"/>
      <w:lvlText w:val="%1."/>
      <w:numFmt w:val="decimal"/>
      <w:start w:val="23"/>
    </w:lvl>
  </w:abstractNum>
  <w:abstractNum w:abstractNumId="90">
    <w:nsid w:val="6A3DD3E8"/>
    <w:multiLevelType w:val="hybridMultilevel"/>
    <w:lvl w:ilvl="0">
      <w:lvlJc w:val="left"/>
      <w:lvlText w:val="%1."/>
      <w:numFmt w:val="decimal"/>
      <w:start w:val="24"/>
    </w:lvl>
  </w:abstractNum>
  <w:abstractNum w:abstractNumId="91">
    <w:nsid w:val="71C91298"/>
    <w:multiLevelType w:val="hybridMultilevel"/>
    <w:lvl w:ilvl="0">
      <w:lvlJc w:val="left"/>
      <w:lvlText w:val="%1."/>
      <w:numFmt w:val="decimal"/>
      <w:start w:val="606"/>
    </w:lvl>
  </w:abstractNum>
  <w:abstractNum w:abstractNumId="92">
    <w:nsid w:val="9DAF632"/>
    <w:multiLevelType w:val="hybridMultilevel"/>
    <w:lvl w:ilvl="0">
      <w:lvlJc w:val="left"/>
      <w:lvlText w:val="%1."/>
      <w:numFmt w:val="decimal"/>
      <w:start w:val="25"/>
    </w:lvl>
  </w:abstractNum>
  <w:abstractNum w:abstractNumId="93">
    <w:nsid w:val="53299938"/>
    <w:multiLevelType w:val="hybridMultilevel"/>
    <w:lvl w:ilvl="0">
      <w:lvlJc w:val="left"/>
      <w:lvlText w:val="%1."/>
      <w:numFmt w:val="decimal"/>
      <w:start w:val="26"/>
    </w:lvl>
  </w:abstractNum>
  <w:abstractNum w:abstractNumId="94">
    <w:nsid w:val="1FBFE8E0"/>
    <w:multiLevelType w:val="hybridMultilevel"/>
    <w:lvl w:ilvl="0">
      <w:lvlJc w:val="left"/>
      <w:lvlText w:val="•"/>
      <w:numFmt w:val="bullet"/>
      <w:start w:val="1"/>
    </w:lvl>
  </w:abstractNum>
  <w:abstractNum w:abstractNumId="95">
    <w:nsid w:val="5092CA79"/>
    <w:multiLevelType w:val="hybridMultilevel"/>
    <w:lvl w:ilvl="0">
      <w:lvlJc w:val="left"/>
      <w:lvlText w:val="•"/>
      <w:numFmt w:val="bullet"/>
      <w:start w:val="1"/>
    </w:lvl>
  </w:abstractNum>
  <w:abstractNum w:abstractNumId="96">
    <w:nsid w:val="1D545C4D"/>
    <w:multiLevelType w:val="hybridMultilevel"/>
    <w:lvl w:ilvl="0">
      <w:lvlJc w:val="left"/>
      <w:lvlText w:val="•"/>
      <w:numFmt w:val="bullet"/>
      <w:start w:val="1"/>
    </w:lvl>
  </w:abstractNum>
  <w:abstractNum w:abstractNumId="97">
    <w:nsid w:val="59ADEA3D"/>
    <w:multiLevelType w:val="hybridMultilevel"/>
    <w:lvl w:ilvl="0">
      <w:lvlJc w:val="left"/>
      <w:lvlText w:val="•"/>
      <w:numFmt w:val="bullet"/>
      <w:start w:val="1"/>
    </w:lvl>
  </w:abstractNum>
  <w:abstractNum w:abstractNumId="98">
    <w:nsid w:val="288F1A34"/>
    <w:multiLevelType w:val="hybridMultilevel"/>
    <w:lvl w:ilvl="0">
      <w:lvlJc w:val="left"/>
      <w:lvlText w:val="(%1)"/>
      <w:numFmt w:val="lowerLetter"/>
      <w:start w:val="1"/>
    </w:lvl>
  </w:abstractNum>
  <w:abstractNum w:abstractNumId="99">
    <w:nsid w:val="2A155DBC"/>
    <w:multiLevelType w:val="hybridMultilevel"/>
    <w:lvl w:ilvl="0">
      <w:lvlJc w:val="left"/>
      <w:lvlText w:val="(%1)"/>
      <w:numFmt w:val="lowerLetter"/>
      <w:start w:val="1"/>
    </w:lvl>
  </w:abstractNum>
  <w:abstractNum w:abstractNumId="100">
    <w:nsid w:val="1D9F6E5F"/>
    <w:multiLevelType w:val="hybridMultilevel"/>
    <w:lvl w:ilvl="0">
      <w:lvlJc w:val="left"/>
      <w:lvlText w:val="(%1)"/>
      <w:numFmt w:val="lowerLetter"/>
      <w:start w:val="2"/>
    </w:lvl>
    <w:lvl w:ilvl="1">
      <w:lvlJc w:val="left"/>
      <w:lvlText w:val="(%2)"/>
      <w:numFmt w:val="lowerRoman"/>
      <w:start w:val="1"/>
    </w:lvl>
  </w:abstractNum>
  <w:abstractNum w:abstractNumId="101">
    <w:nsid w:val="97E1B4E"/>
    <w:multiLevelType w:val="hybridMultilevel"/>
    <w:lvl w:ilvl="0">
      <w:lvlJc w:val="left"/>
      <w:lvlText w:val="(%1)"/>
      <w:numFmt w:val="lowerLetter"/>
      <w:start w:val="4"/>
    </w:lvl>
  </w:abstractNum>
  <w:abstractNum w:abstractNumId="102">
    <w:nsid w:val="51088277"/>
    <w:multiLevelType w:val="hybridMultilevel"/>
    <w:lvl w:ilvl="0">
      <w:lvlJc w:val="left"/>
      <w:lvlText w:val="(%1)"/>
      <w:numFmt w:val="lowerLetter"/>
      <w:start w:val="6"/>
    </w:lvl>
  </w:abstractNum>
  <w:abstractNum w:abstractNumId="103">
    <w:nsid w:val="1CA0C5FA"/>
    <w:multiLevelType w:val="hybridMultilevel"/>
    <w:lvl w:ilvl="0">
      <w:lvlJc w:val="left"/>
      <w:lvlText w:val="•"/>
      <w:numFmt w:val="bullet"/>
      <w:start w:val="1"/>
    </w:lvl>
  </w:abstractNum>
  <w:abstractNum w:abstractNumId="104">
    <w:nsid w:val="53584BCB"/>
    <w:multiLevelType w:val="hybridMultilevel"/>
    <w:lvl w:ilvl="0">
      <w:lvlJc w:val="left"/>
      <w:lvlText w:val="(%1)"/>
      <w:numFmt w:val="lowerLetter"/>
      <w:start w:val="1"/>
    </w:lvl>
  </w:abstractNum>
  <w:abstractNum w:abstractNumId="105">
    <w:nsid w:val="415E286C"/>
    <w:multiLevelType w:val="hybridMultilevel"/>
    <w:lvl w:ilvl="0">
      <w:lvlJc w:val="left"/>
      <w:lvlText w:val="(%1)"/>
      <w:numFmt w:val="lowerLetter"/>
      <w:start w:val="1"/>
    </w:lvl>
  </w:abstractNum>
  <w:abstractNum w:abstractNumId="106">
    <w:nsid w:val="7C58FD05"/>
    <w:multiLevelType w:val="hybridMultilevel"/>
    <w:lvl w:ilvl="0">
      <w:lvlJc w:val="left"/>
      <w:lvlText w:val="(%1)"/>
      <w:numFmt w:val="lowerLetter"/>
      <w:start w:val="1"/>
    </w:lvl>
  </w:abstractNum>
  <w:abstractNum w:abstractNumId="107">
    <w:nsid w:val="23D86AAC"/>
    <w:multiLevelType w:val="hybridMultilevel"/>
    <w:lvl w:ilvl="0">
      <w:lvlJc w:val="left"/>
      <w:lvlText w:val="(%1)"/>
      <w:numFmt w:val="lowerLetter"/>
      <w:start w:val="1"/>
    </w:lvl>
  </w:abstractNum>
  <w:abstractNum w:abstractNumId="108">
    <w:nsid w:val="45E6D486"/>
    <w:multiLevelType w:val="hybridMultilevel"/>
    <w:lvl w:ilvl="0">
      <w:lvlJc w:val="left"/>
      <w:lvlText w:val="(%1)"/>
      <w:numFmt w:val="lowerLetter"/>
      <w:start w:val="3"/>
    </w:lvl>
  </w:abstractNum>
  <w:abstractNum w:abstractNumId="109">
    <w:nsid w:val="5C10FE21"/>
    <w:multiLevelType w:val="hybridMultilevel"/>
    <w:lvl w:ilvl="0">
      <w:lvlJc w:val="left"/>
      <w:lvlText w:val="(%1)"/>
      <w:numFmt w:val="lowerLetter"/>
      <w:start w:val="1"/>
    </w:lvl>
    <w:lvl w:ilvl="1">
      <w:lvlJc w:val="left"/>
      <w:lvlText w:val="(%2)"/>
      <w:numFmt w:val="lowerRoman"/>
      <w:start w:val="4"/>
    </w:lvl>
  </w:abstractNum>
  <w:abstractNum w:abstractNumId="110">
    <w:nsid w:val="E7FFA2B"/>
    <w:multiLevelType w:val="hybridMultilevel"/>
    <w:lvl w:ilvl="0">
      <w:lvlJc w:val="left"/>
      <w:lvlText w:val="(%1)"/>
      <w:numFmt w:val="lowerRoman"/>
      <w:start w:val="3"/>
    </w:lvl>
  </w:abstractNum>
  <w:abstractNum w:abstractNumId="111">
    <w:nsid w:val="3C5991AA"/>
    <w:multiLevelType w:val="hybridMultilevel"/>
    <w:lvl w:ilvl="0">
      <w:lvlJc w:val="left"/>
      <w:lvlText w:val="(%1)"/>
      <w:numFmt w:val="lowerLetter"/>
      <w:start w:val="1"/>
    </w:lvl>
  </w:abstractNum>
  <w:abstractNum w:abstractNumId="112">
    <w:nsid w:val="4BD8591A"/>
    <w:multiLevelType w:val="hybridMultilevel"/>
    <w:lvl w:ilvl="0">
      <w:lvlJc w:val="left"/>
      <w:lvlText w:val="(%1)"/>
      <w:numFmt w:val="lowerLetter"/>
      <w:start w:val="2"/>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112" Type="http://schemas.openxmlformats.org/officeDocument/2006/relationships/hyperlink" Target="http://www.sec.gov/Archives/edgar/data/354647/000119312518059275/d633320dex21.htm" TargetMode="External"/><Relationship Id="rId113" Type="http://schemas.openxmlformats.org/officeDocument/2006/relationships/hyperlink" Target="http://www.sec.gov/Archives/edgar/data/354647/000095012310075006/c04112exv3w1.htm" TargetMode="External"/><Relationship Id="rId114" Type="http://schemas.openxmlformats.org/officeDocument/2006/relationships/hyperlink" Target="http://www.sec.gov/Archives/edgar/data/354647/000095013409004034/v51598exv3w2xay.txt" TargetMode="External"/><Relationship Id="rId115" Type="http://schemas.openxmlformats.org/officeDocument/2006/relationships/hyperlink" Target="http://www.sec.gov/Archives/edgar/data/354647/000035464701500005/stockcert.htm" TargetMode="External"/><Relationship Id="rId116" Type="http://schemas.openxmlformats.org/officeDocument/2006/relationships/hyperlink" Target="http://www.sec.gov/Archives/edgar/data/354647/000119312520059185/d872938dex42.htm" TargetMode="External"/><Relationship Id="rId117" Type="http://schemas.openxmlformats.org/officeDocument/2006/relationships/hyperlink" Target="http://www.sec.gov/Archives/edgar/data/354647/000119312516485748/d215042dex102.htm" TargetMode="External"/><Relationship Id="rId118" Type="http://schemas.openxmlformats.org/officeDocument/2006/relationships/hyperlink" Target="http://www.sec.gov/Archives/edgar/data/354647/000119312516636381/d218896dex101.htm" TargetMode="External"/><Relationship Id="rId119" Type="http://schemas.openxmlformats.org/officeDocument/2006/relationships/hyperlink" Target="http://www.sec.gov/Archives/edgar/data/354647/000114544308001268/d23099_def14a.htm" TargetMode="External"/><Relationship Id="rId120" Type="http://schemas.openxmlformats.org/officeDocument/2006/relationships/hyperlink" Target="http://www.sec.gov/Archives/edgar/data/354647/000095012309044833/c90333exv10w2.htm" TargetMode="External"/><Relationship Id="rId121" Type="http://schemas.openxmlformats.org/officeDocument/2006/relationships/hyperlink" Target="http://www.sec.gov/Archives/edgar/data/354647/000095012309065301/c93060exv10w1.htm" TargetMode="External"/><Relationship Id="rId122" Type="http://schemas.openxmlformats.org/officeDocument/2006/relationships/hyperlink" Target="http://www.sec.gov/Archives/edgar/data/354647/000119312514038673/d671576dex102.htm" TargetMode="External"/><Relationship Id="rId123" Type="http://schemas.openxmlformats.org/officeDocument/2006/relationships/hyperlink" Target="http://www.sec.gov/Archives/edgar/data/354647/000119312517165914/d364410dex101.htm" TargetMode="External"/><Relationship Id="rId124" Type="http://schemas.openxmlformats.org/officeDocument/2006/relationships/hyperlink" Target="http://www.sec.gov/Archives/edgar/data/354647/000119312517165914/d364410dex102.htm" TargetMode="External"/><Relationship Id="rId125" Type="http://schemas.openxmlformats.org/officeDocument/2006/relationships/hyperlink" Target="http://www.sec.gov/Archives/edgar/data/354647/000095012408002469/v41120exv10w2.htm" TargetMode="External"/><Relationship Id="rId126" Type="http://schemas.openxmlformats.org/officeDocument/2006/relationships/hyperlink" Target="http://www.sec.gov/Archives/edgar/data/354647/000095012408002469/v41120exv10w3.htm" TargetMode="External"/><Relationship Id="rId127" Type="http://schemas.openxmlformats.org/officeDocument/2006/relationships/hyperlink" Target="http://www.sec.gov/Archives/edgar/data/354647/000119312518107251/d512240ddef14a.htm" TargetMode="External"/><Relationship Id="rId128" Type="http://schemas.openxmlformats.org/officeDocument/2006/relationships/hyperlink" Target="http://www.sec.gov/Archives/edgar/data/354647/000119312518173710/d540797dex102.htm" TargetMode="External"/><Relationship Id="rId129" Type="http://schemas.openxmlformats.org/officeDocument/2006/relationships/hyperlink" Target="http://www.sec.gov/Archives/edgar/data/354647/000119312518173710/d540797dex103.htm" TargetMode="External"/><Relationship Id="rId130" Type="http://schemas.openxmlformats.org/officeDocument/2006/relationships/hyperlink" Target="http://www.sec.gov/Archives/edgar/data/354647/000119312518173710/d540797dex104.htm" TargetMode="External"/><Relationship Id="rId131" Type="http://schemas.openxmlformats.org/officeDocument/2006/relationships/hyperlink" Target="http://www.sec.gov/Archives/edgar/data/354647/000095013407004438/a27755exv10w26.htm" TargetMode="External"/><Relationship Id="rId132" Type="http://schemas.openxmlformats.org/officeDocument/2006/relationships/hyperlink" Target="http://www.sec.gov/Archives/edgar/data/354647/000119312515118263/d888708ddef14a.htm" TargetMode="External"/><Relationship Id="rId133" Type="http://schemas.openxmlformats.org/officeDocument/2006/relationships/hyperlink" Target="http://www.sec.gov/Archives/edgar/data/354647/000119312518272864/d621649dex101.htm" TargetMode="External"/><Relationship Id="rId134" Type="http://schemas.openxmlformats.org/officeDocument/2006/relationships/hyperlink" Target="http://www.sec.gov/Archives/edgar/data/354647/000095013407004438/a27755exv10w23.htm" TargetMode="External"/><Relationship Id="rId135" Type="http://schemas.openxmlformats.org/officeDocument/2006/relationships/hyperlink" Target="http://www.sec.gov/Archives/edgar/data/354647/000119312519197101/d754294dex101.htm" TargetMode="External"/><Relationship Id="rId136" Type="http://schemas.openxmlformats.org/officeDocument/2006/relationships/hyperlink" Target="http://www.sec.gov/Archives/edgar/data/354647/000119312519197101/d754294dex102.htm" TargetMode="External"/><Relationship Id="rId137" Type="http://schemas.openxmlformats.org/officeDocument/2006/relationships/hyperlink" Target="http://www.sec.gov/Archives/edgar/data/354647/000119312520043443/d871023dex101.htm" TargetMode="External"/><Relationship Id="rId138" Type="http://schemas.openxmlformats.org/officeDocument/2006/relationships/hyperlink" Target="http://www.sec.gov/Archives/edgar/data/354647/000095012310020728/v55365exv10w21xay.htm" TargetMode="External"/><Relationship Id="rId139" Type="http://schemas.openxmlformats.org/officeDocument/2006/relationships/hyperlink" Target="http://www.sec.gov/Archives/edgar/data/354647/000119312521022555/d14608dex101.htm" TargetMode="External"/><Relationship Id="rId140" Type="http://schemas.openxmlformats.org/officeDocument/2006/relationships/hyperlink" Target="http://www.sec.gov/Archives/edgar/data/354647/000119312516579775/d125318dex101.htm" TargetMode="External"/><Relationship Id="rId141" Type="http://schemas.openxmlformats.org/officeDocument/2006/relationships/hyperlink" Target="http://www.sec.gov/Archives/edgar/data/354647/000119312516764447/d31237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2021-03-01T14:36:28Z</dcterms:created>
  <dcterms:modified xsi:type="dcterms:W3CDTF">2021-03-01T14:36:28Z</dcterms:modified>
</cp:coreProperties>
</file>