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 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(Mark One)</w:t>
      </w:r>
    </w:p>
    <w:p>
      <w:pPr>
        <w:spacing w:after="0" w:line="93" w:lineRule="exact"/>
        <w:rPr>
          <w:sz w:val="24"/>
          <w:szCs w:val="24"/>
          <w:color w:val="auto"/>
        </w:rPr>
      </w:pPr>
    </w:p>
    <w:p>
      <w:pPr>
        <w:spacing w:after="0"/>
        <w:rPr>
          <w:sz w:val="24"/>
          <w:szCs w:val="24"/>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March 31, 2022</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77" w:lineRule="exact"/>
        <w:rPr>
          <w:sz w:val="24"/>
          <w:szCs w:val="24"/>
          <w:color w:val="auto"/>
        </w:rPr>
      </w:pPr>
    </w:p>
    <w:p>
      <w:pPr>
        <w:ind w:left="3480" w:right="2800" w:hanging="3270"/>
        <w:spacing w:after="0" w:line="283" w:lineRule="auto"/>
        <w:rPr>
          <w:sz w:val="24"/>
          <w:szCs w:val="24"/>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 to _____</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78"/>
              <w:spacing w:after="0"/>
              <w:rPr>
                <w:sz w:val="20"/>
                <w:szCs w:val="20"/>
                <w:color w:val="auto"/>
              </w:rPr>
            </w:pPr>
            <w:r>
              <w:rPr>
                <w:rFonts w:ascii="Times New Roman" w:cs="Times New Roman" w:eastAsia="Times New Roman" w:hAnsi="Times New Roman"/>
                <w:sz w:val="16"/>
                <w:szCs w:val="16"/>
                <w:color w:val="auto"/>
              </w:rPr>
              <w:t>Commission File Number: 000-10140</w:t>
            </w:r>
          </w:p>
        </w:tc>
        <w:tc>
          <w:tcPr>
            <w:tcW w:w="4120" w:type="dxa"/>
            <w:vAlign w:val="bottom"/>
          </w:tcPr>
          <w:p>
            <w:pPr>
              <w:spacing w:after="0"/>
              <w:rPr>
                <w:sz w:val="18"/>
                <w:szCs w:val="18"/>
                <w:color w:val="auto"/>
              </w:rPr>
            </w:pPr>
          </w:p>
        </w:tc>
      </w:tr>
      <w:tr>
        <w:trPr>
          <w:trHeight w:val="541"/>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Times New Roman" w:cs="Times New Roman" w:eastAsia="Times New Roman" w:hAnsi="Times New Roman"/>
                <w:sz w:val="40"/>
                <w:szCs w:val="40"/>
                <w:b w:val="1"/>
                <w:bCs w:val="1"/>
                <w:color w:val="auto"/>
                <w:w w:val="98"/>
              </w:rPr>
              <w:t>CVB FINANCIAL CORP.</w:t>
            </w:r>
          </w:p>
        </w:tc>
      </w:tr>
      <w:tr>
        <w:trPr>
          <w:trHeight w:val="234"/>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72"/>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w w:val="99"/>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95-3629339</w:t>
            </w:r>
          </w:p>
        </w:tc>
      </w:tr>
      <w:tr>
        <w:trPr>
          <w:trHeight w:val="195"/>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22"/>
        </w:trPr>
        <w:tc>
          <w:tcPr>
            <w:tcW w:w="336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4"/>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Ontario, California</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right"/>
              <w:ind w:right="1719"/>
              <w:spacing w:after="0"/>
              <w:rPr>
                <w:sz w:val="20"/>
                <w:szCs w:val="20"/>
                <w:color w:val="auto"/>
              </w:rPr>
            </w:pPr>
            <w:r>
              <w:rPr>
                <w:rFonts w:ascii="Times New Roman" w:cs="Times New Roman" w:eastAsia="Times New Roman" w:hAnsi="Times New Roman"/>
                <w:sz w:val="16"/>
                <w:szCs w:val="16"/>
                <w:b w:val="1"/>
                <w:bCs w:val="1"/>
                <w:color w:val="auto"/>
              </w:rPr>
              <w:t>91764</w:t>
            </w:r>
          </w:p>
        </w:tc>
      </w:tr>
      <w:tr>
        <w:trPr>
          <w:trHeight w:val="210"/>
        </w:trPr>
        <w:tc>
          <w:tcPr>
            <w:tcW w:w="3360" w:type="dxa"/>
            <w:vAlign w:val="bottom"/>
          </w:tcPr>
          <w:p>
            <w:pPr>
              <w:jc w:val="center"/>
              <w:ind w:left="6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405"/>
        </w:trPr>
        <w:tc>
          <w:tcPr>
            <w:tcW w:w="3360" w:type="dxa"/>
            <w:vAlign w:val="bottom"/>
          </w:tcPr>
          <w:p>
            <w:pPr>
              <w:spacing w:after="0"/>
              <w:rPr>
                <w:sz w:val="24"/>
                <w:szCs w:val="24"/>
                <w:color w:val="auto"/>
              </w:rPr>
            </w:pPr>
          </w:p>
        </w:tc>
        <w:tc>
          <w:tcPr>
            <w:tcW w:w="3080" w:type="dxa"/>
            <w:vAlign w:val="bottom"/>
            <w:gridSpan w:val="2"/>
          </w:tcPr>
          <w:p>
            <w:pPr>
              <w:jc w:val="center"/>
              <w:ind w:left="1321"/>
              <w:spacing w:after="0"/>
              <w:rPr>
                <w:sz w:val="20"/>
                <w:szCs w:val="20"/>
                <w:color w:val="auto"/>
              </w:rPr>
            </w:pPr>
            <w:r>
              <w:rPr>
                <w:rFonts w:ascii="Times New Roman" w:cs="Times New Roman" w:eastAsia="Times New Roman" w:hAnsi="Times New Roman"/>
                <w:sz w:val="16"/>
                <w:szCs w:val="16"/>
                <w:b w:val="1"/>
                <w:bCs w:val="1"/>
                <w:color w:val="auto"/>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8"/>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(Registrant's telephone number,</w:t>
            </w:r>
          </w:p>
        </w:tc>
        <w:tc>
          <w:tcPr>
            <w:tcW w:w="4120" w:type="dxa"/>
            <w:vAlign w:val="bottom"/>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60" w:type="dxa"/>
            <w:vAlign w:val="bottom"/>
            <w:gridSpan w:val="2"/>
          </w:tcPr>
          <w:p>
            <w:pPr>
              <w:jc w:val="center"/>
              <w:ind w:left="298"/>
              <w:spacing w:after="0"/>
              <w:rPr>
                <w:sz w:val="20"/>
                <w:szCs w:val="20"/>
                <w:color w:val="auto"/>
              </w:rPr>
            </w:pPr>
            <w:r>
              <w:rPr>
                <w:rFonts w:ascii="Times New Roman" w:cs="Times New Roman" w:eastAsia="Times New Roman" w:hAnsi="Times New Roman"/>
                <w:sz w:val="16"/>
                <w:szCs w:val="16"/>
                <w:color w:val="auto"/>
              </w:rPr>
              <w:t>including area code)</w:t>
            </w:r>
          </w:p>
        </w:tc>
        <w:tc>
          <w:tcPr>
            <w:tcW w:w="4120" w:type="dxa"/>
            <w:vAlign w:val="bottom"/>
          </w:tcPr>
          <w:p>
            <w:pPr>
              <w:spacing w:after="0"/>
              <w:rPr>
                <w:sz w:val="18"/>
                <w:szCs w:val="18"/>
                <w:color w:val="auto"/>
              </w:rPr>
            </w:pPr>
          </w:p>
        </w:tc>
      </w:tr>
      <w:tr>
        <w:trPr>
          <w:trHeight w:val="413"/>
        </w:trPr>
        <w:tc>
          <w:tcPr>
            <w:tcW w:w="7120" w:type="dxa"/>
            <w:vAlign w:val="bottom"/>
            <w:tcBorders>
              <w:bottom w:val="single" w:sz="8" w:color="auto"/>
            </w:tcBorders>
            <w:gridSpan w:val="4"/>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197"/>
        </w:trPr>
        <w:tc>
          <w:tcPr>
            <w:tcW w:w="3360" w:type="dxa"/>
            <w:vAlign w:val="bottom"/>
            <w:tcBorders>
              <w:left w:val="single" w:sz="8" w:color="auto"/>
              <w:bottom w:val="single" w:sz="8" w:color="auto"/>
            </w:tcBorders>
          </w:tcPr>
          <w:p>
            <w:pPr>
              <w:jc w:val="center"/>
              <w:ind w:left="319"/>
              <w:spacing w:after="0" w:line="178"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rPr>
              <w:t>Trading Symbol(s)</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line="178"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360" w:type="dxa"/>
            <w:vAlign w:val="bottom"/>
            <w:tcBorders>
              <w:left w:val="single" w:sz="8" w:color="auto"/>
              <w:bottom w:val="single" w:sz="8" w:color="auto"/>
            </w:tcBorders>
          </w:tcPr>
          <w:p>
            <w:pPr>
              <w:jc w:val="center"/>
              <w:ind w:left="319"/>
              <w:spacing w:after="0" w:line="179" w:lineRule="exact"/>
              <w:rPr>
                <w:sz w:val="20"/>
                <w:szCs w:val="20"/>
                <w:color w:val="auto"/>
              </w:rPr>
            </w:pPr>
            <w:r>
              <w:rPr>
                <w:rFonts w:ascii="Times New Roman" w:cs="Times New Roman" w:eastAsia="Times New Roman" w:hAnsi="Times New Roman"/>
                <w:sz w:val="16"/>
                <w:szCs w:val="16"/>
                <w:color w:val="auto"/>
              </w:rPr>
              <w:t>Common Stock, No Par Value</w:t>
            </w:r>
          </w:p>
        </w:tc>
        <w:tc>
          <w:tcPr>
            <w:tcW w:w="40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CVBF</w:t>
            </w:r>
          </w:p>
        </w:tc>
        <w:tc>
          <w:tcPr>
            <w:tcW w:w="680" w:type="dxa"/>
            <w:vAlign w:val="bottom"/>
            <w:tcBorders>
              <w:bottom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jc w:val="center"/>
              <w:ind w:right="619"/>
              <w:spacing w:after="0" w:line="179" w:lineRule="exact"/>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p>
    <w:p>
      <w:pPr>
        <w:spacing w:after="0" w:line="374"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7"/>
          <w:szCs w:val="17"/>
          <w:color w:val="auto"/>
        </w:rPr>
        <w:t>Yes No</w:t>
      </w:r>
    </w:p>
    <w:p>
      <w:pPr>
        <w:spacing w:after="0" w:line="125"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340"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spacing w:after="0"/>
              <w:rPr>
                <w:sz w:val="17"/>
                <w:szCs w:val="17"/>
                <w:color w:val="auto"/>
              </w:rPr>
            </w:pP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spacing w:after="0"/>
              <w:rPr>
                <w:sz w:val="17"/>
                <w:szCs w:val="17"/>
                <w:color w:val="auto"/>
              </w:rPr>
            </w:pPr>
          </w:p>
        </w:tc>
        <w:tc>
          <w:tcPr>
            <w:tcW w:w="4720" w:type="dxa"/>
            <w:vAlign w:val="bottom"/>
          </w:tcPr>
          <w:p>
            <w:pPr>
              <w:ind w:left="2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spacing w:after="0"/>
              <w:rPr>
                <w:sz w:val="17"/>
                <w:szCs w:val="17"/>
                <w:color w:val="auto"/>
              </w:rPr>
            </w:pPr>
          </w:p>
        </w:tc>
      </w:tr>
      <w:tr>
        <w:trPr>
          <w:trHeight w:val="210"/>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520" w:type="dxa"/>
            <w:vAlign w:val="bottom"/>
          </w:tcPr>
          <w:p>
            <w:pPr>
              <w:spacing w:after="0"/>
              <w:rPr>
                <w:sz w:val="18"/>
                <w:szCs w:val="18"/>
                <w:color w:val="auto"/>
              </w:rPr>
            </w:pPr>
          </w:p>
        </w:tc>
      </w:tr>
    </w:tbl>
    <w:p>
      <w:pPr>
        <w:spacing w:after="0" w:line="168"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3"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Yes</w:t>
        <w:tab/>
        <w:t>No</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of common stock of the registrant: 141,057,031 outstanding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 –</w:t>
            </w:r>
          </w:p>
        </w:tc>
        <w:tc>
          <w:tcPr>
            <w:tcW w:w="3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FINANCIAL INFORMATION (UNAUDITED)</w:t>
            </w:r>
          </w:p>
        </w:tc>
        <w:tc>
          <w:tcPr>
            <w:tcW w:w="20" w:type="dxa"/>
            <w:vAlign w:val="bottom"/>
            <w:tcBorders>
              <w:bottom w:val="single" w:sz="8" w:color="0000EE"/>
            </w:tcBorders>
          </w:tcPr>
          <w:p>
            <w:pPr>
              <w:spacing w:after="0"/>
              <w:rPr>
                <w:sz w:val="24"/>
                <w:szCs w:val="24"/>
                <w:color w:val="auto"/>
              </w:rPr>
            </w:pPr>
          </w:p>
        </w:tc>
        <w:tc>
          <w:tcPr>
            <w:tcW w:w="56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1.</w:t>
            </w:r>
          </w:p>
        </w:tc>
        <w:tc>
          <w:tcPr>
            <w:tcW w:w="350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w w:val="98"/>
              </w:rPr>
              <w:t>CONDENSED CONSOLIDATED FINANCIAL</w:t>
            </w:r>
          </w:p>
        </w:tc>
        <w:tc>
          <w:tcPr>
            <w:tcW w:w="5680" w:type="dxa"/>
            <w:vAlign w:val="bottom"/>
            <w:gridSpan w:val="8"/>
          </w:tcPr>
          <w:p>
            <w:pPr>
              <w:ind w:left="60"/>
              <w:spacing w:after="0" w:line="182" w:lineRule="exact"/>
              <w:rPr>
                <w:sz w:val="20"/>
                <w:szCs w:val="20"/>
                <w:color w:val="auto"/>
              </w:rPr>
            </w:pPr>
            <w:r>
              <w:rPr>
                <w:rFonts w:ascii="Times New Roman" w:cs="Times New Roman" w:eastAsia="Times New Roman" w:hAnsi="Times New Roman"/>
                <w:sz w:val="18"/>
                <w:szCs w:val="18"/>
                <w:color w:val="0000FF"/>
              </w:rPr>
              <w:t>STATEMENTS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70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6"/>
              </w:rPr>
              <w:t>NOTES TO THE CONDENSED CONSOLIDATED FINANCIAL</w:t>
            </w:r>
          </w:p>
        </w:tc>
        <w:tc>
          <w:tcPr>
            <w:tcW w:w="4480" w:type="dxa"/>
            <w:vAlign w:val="bottom"/>
            <w:gridSpan w:val="5"/>
          </w:tcPr>
          <w:p>
            <w:pPr>
              <w:ind w:left="160"/>
              <w:spacing w:after="0" w:line="182" w:lineRule="exact"/>
              <w:rPr>
                <w:sz w:val="20"/>
                <w:szCs w:val="20"/>
                <w:color w:val="auto"/>
              </w:rPr>
            </w:pPr>
            <w:r>
              <w:rPr>
                <w:rFonts w:ascii="Times New Roman" w:cs="Times New Roman" w:eastAsia="Times New Roman" w:hAnsi="Times New Roman"/>
                <w:sz w:val="18"/>
                <w:szCs w:val="18"/>
                <w:color w:val="0000FF"/>
              </w:rPr>
              <w:t>STATEMENTS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18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2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CRITICAL ACCOUNTING POLICIES</w:t>
            </w:r>
          </w:p>
        </w:tc>
        <w:tc>
          <w:tcPr>
            <w:tcW w:w="26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OVERVIEW</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ANALYSIS</w:t>
            </w:r>
          </w:p>
        </w:tc>
        <w:tc>
          <w:tcPr>
            <w:tcW w:w="20" w:type="dxa"/>
            <w:vAlign w:val="bottom"/>
            <w:tcBorders>
              <w:top w:val="single" w:sz="8" w:color="0000EE"/>
            </w:tcBorders>
          </w:tcPr>
          <w:p>
            <w:pPr>
              <w:spacing w:after="0"/>
              <w:rPr>
                <w:sz w:val="15"/>
                <w:szCs w:val="15"/>
                <w:color w:val="auto"/>
              </w:rPr>
            </w:pPr>
          </w:p>
        </w:tc>
        <w:tc>
          <w:tcPr>
            <w:tcW w:w="822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OF THE RESULTS OF OPERATIONS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ANALYSIS OF FINANCIAL CONDITION</w:t>
            </w:r>
          </w:p>
        </w:tc>
        <w:tc>
          <w:tcPr>
            <w:tcW w:w="740" w:type="dxa"/>
            <w:vAlign w:val="bottom"/>
          </w:tcPr>
          <w:p>
            <w:pPr>
              <w:spacing w:after="0"/>
              <w:rPr>
                <w:sz w:val="15"/>
                <w:szCs w:val="15"/>
                <w:color w:val="auto"/>
              </w:rPr>
            </w:pPr>
          </w:p>
        </w:tc>
        <w:tc>
          <w:tcPr>
            <w:tcW w:w="15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20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ASSET/LIABILITY AND MARKET RISK</w:t>
            </w:r>
          </w:p>
        </w:tc>
        <w:tc>
          <w:tcPr>
            <w:tcW w:w="5980" w:type="dxa"/>
            <w:vAlign w:val="bottom"/>
            <w:gridSpan w:val="10"/>
          </w:tcPr>
          <w:p>
            <w:pPr>
              <w:ind w:left="20"/>
              <w:spacing w:after="0" w:line="182" w:lineRule="exact"/>
              <w:rPr>
                <w:sz w:val="20"/>
                <w:szCs w:val="20"/>
                <w:color w:val="auto"/>
              </w:rPr>
            </w:pPr>
            <w:r>
              <w:rPr>
                <w:rFonts w:ascii="Times New Roman" w:cs="Times New Roman" w:eastAsia="Times New Roman" w:hAnsi="Times New Roman"/>
                <w:sz w:val="18"/>
                <w:szCs w:val="18"/>
                <w:color w:val="0000FF"/>
              </w:rPr>
              <w:t>MANAGEMENT</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18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4.</w:t>
            </w:r>
          </w:p>
        </w:tc>
        <w:tc>
          <w:tcPr>
            <w:tcW w:w="614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3"/>
        </w:trPr>
        <w:tc>
          <w:tcPr>
            <w:tcW w:w="16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PART II –</w:t>
            </w:r>
          </w:p>
        </w:tc>
        <w:tc>
          <w:tcPr>
            <w:tcW w:w="260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2"/>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1.</w:t>
            </w:r>
          </w:p>
        </w:tc>
        <w:tc>
          <w:tcPr>
            <w:tcW w:w="190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tcPr>
          <w:p>
            <w:pPr>
              <w:spacing w:after="0"/>
              <w:rPr>
                <w:sz w:val="15"/>
                <w:szCs w:val="15"/>
                <w:color w:val="auto"/>
              </w:rPr>
            </w:pPr>
          </w:p>
        </w:tc>
        <w:tc>
          <w:tcPr>
            <w:tcW w:w="740" w:type="dxa"/>
            <w:vAlign w:val="bottom"/>
            <w:gridSpan w:val="3"/>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8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gridSpan w:val="2"/>
          </w:tcPr>
          <w:p>
            <w:pPr>
              <w:spacing w:after="0"/>
              <w:rPr>
                <w:sz w:val="15"/>
                <w:szCs w:val="15"/>
                <w:color w:val="auto"/>
              </w:rPr>
            </w:pPr>
          </w:p>
        </w:tc>
        <w:tc>
          <w:tcPr>
            <w:tcW w:w="740" w:type="dxa"/>
            <w:vAlign w:val="bottom"/>
            <w:gridSpan w:val="3"/>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2.</w:t>
            </w:r>
          </w:p>
        </w:tc>
        <w:tc>
          <w:tcPr>
            <w:tcW w:w="124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89"/>
              </w:rPr>
              <w:t>UNREGISTERED</w:t>
            </w:r>
          </w:p>
        </w:tc>
        <w:tc>
          <w:tcPr>
            <w:tcW w:w="20" w:type="dxa"/>
            <w:vAlign w:val="bottom"/>
            <w:tcBorders>
              <w:top w:val="single" w:sz="8" w:color="0000EE"/>
            </w:tcBorders>
          </w:tcPr>
          <w:p>
            <w:pPr>
              <w:spacing w:after="0"/>
              <w:rPr>
                <w:sz w:val="15"/>
                <w:szCs w:val="15"/>
                <w:color w:val="auto"/>
              </w:rPr>
            </w:pPr>
          </w:p>
        </w:tc>
        <w:tc>
          <w:tcPr>
            <w:tcW w:w="7920" w:type="dxa"/>
            <w:vAlign w:val="bottom"/>
            <w:gridSpan w:val="17"/>
          </w:tcPr>
          <w:p>
            <w:pPr>
              <w:ind w:left="1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3.</w:t>
            </w:r>
          </w:p>
        </w:tc>
        <w:tc>
          <w:tcPr>
            <w:tcW w:w="60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4.</w:t>
            </w:r>
          </w:p>
        </w:tc>
        <w:tc>
          <w:tcPr>
            <w:tcW w:w="318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000" w:type="dxa"/>
            <w:vAlign w:val="bottom"/>
            <w:gridSpan w:val="11"/>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5.</w:t>
            </w:r>
          </w:p>
        </w:tc>
        <w:tc>
          <w:tcPr>
            <w:tcW w:w="24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6740" w:type="dxa"/>
            <w:vAlign w:val="bottom"/>
            <w:gridSpan w:val="1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ITEM 6.</w:t>
            </w:r>
          </w:p>
        </w:tc>
        <w:tc>
          <w:tcPr>
            <w:tcW w:w="190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280" w:type="dxa"/>
            <w:vAlign w:val="bottom"/>
            <w:gridSpan w:val="15"/>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83"/>
        </w:trPr>
        <w:tc>
          <w:tcPr>
            <w:tcW w:w="16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Borders>
              <w:top w:val="single" w:sz="8" w:color="0000FF"/>
            </w:tcBorders>
            <w:vMerge w:val="restart"/>
          </w:tcPr>
          <w:p>
            <w:pPr>
              <w:spacing w:after="0"/>
              <w:rPr>
                <w:sz w:val="15"/>
                <w:szCs w:val="15"/>
                <w:color w:val="auto"/>
              </w:rPr>
            </w:pPr>
          </w:p>
        </w:tc>
        <w:tc>
          <w:tcPr>
            <w:tcW w:w="3700" w:type="dxa"/>
            <w:vAlign w:val="bottom"/>
            <w:gridSpan w:val="15"/>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0000FF"/>
            </w:tcBorders>
            <w:vMerge w:val="continue"/>
          </w:tcPr>
          <w:p>
            <w:pPr>
              <w:spacing w:after="0"/>
              <w:rPr>
                <w:sz w:val="24"/>
                <w:szCs w:val="24"/>
                <w:color w:val="auto"/>
              </w:rPr>
            </w:pPr>
          </w:p>
        </w:tc>
        <w:tc>
          <w:tcPr>
            <w:tcW w:w="3700" w:type="dxa"/>
            <w:vAlign w:val="bottom"/>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PART I –</w:t>
      </w:r>
      <w:r>
        <w:rPr>
          <w:sz w:val="20"/>
          <w:szCs w:val="20"/>
          <w:color w:val="auto"/>
        </w:rPr>
        <w:tab/>
      </w:r>
      <w:r>
        <w:rPr>
          <w:rFonts w:ascii="Times New Roman" w:cs="Times New Roman" w:eastAsia="Times New Roman" w:hAnsi="Times New Roman"/>
          <w:sz w:val="17"/>
          <w:szCs w:val="17"/>
          <w:b w:val="1"/>
          <w:bCs w:val="1"/>
          <w:color w:val="auto"/>
        </w:rPr>
        <w:t>FINANCIAL INFORMATION (UNAUDITED)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0" w:lineRule="exact"/>
        <w:rPr>
          <w:sz w:val="20"/>
          <w:szCs w:val="20"/>
          <w:color w:val="auto"/>
        </w:rPr>
      </w:pPr>
    </w:p>
    <w:p>
      <w:pPr>
        <w:jc w:val="both"/>
        <w:ind w:right="2280" w:firstLine="469"/>
        <w:spacing w:after="0" w:line="270" w:lineRule="auto"/>
        <w:rPr>
          <w:sz w:val="20"/>
          <w:szCs w:val="20"/>
          <w:color w:val="auto"/>
        </w:rPr>
      </w:pPr>
      <w:r>
        <w:rPr>
          <w:rFonts w:ascii="Times New Roman" w:cs="Times New Roman" w:eastAsia="Times New Roman" w:hAnsi="Times New Roman"/>
          <w:sz w:val="17"/>
          <w:szCs w:val="17"/>
          <w:i w:val="1"/>
          <w:iCs w:val="1"/>
          <w:color w:val="auto"/>
        </w:rPr>
        <w:t>Certain statements set forth herein constitute forward-looking statements within the meaning of the Private Securities Litigation Reform Act of 1995. Words such as “will likely result”, “aims”, “anticipates”, “believes”, “could”, “estimates”,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loan and deposit growth, yields and returns, loan diversification and credit management, stockholder value creation, tax rates,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217" w:lineRule="exact"/>
        <w:rPr>
          <w:sz w:val="20"/>
          <w:szCs w:val="20"/>
          <w:color w:val="auto"/>
        </w:rPr>
      </w:pPr>
    </w:p>
    <w:p>
      <w:pPr>
        <w:jc w:val="both"/>
        <w:ind w:right="2200" w:firstLine="469"/>
        <w:spacing w:after="0" w:line="262" w:lineRule="auto"/>
        <w:rPr>
          <w:sz w:val="20"/>
          <w:szCs w:val="20"/>
          <w:color w:val="auto"/>
        </w:rPr>
      </w:pPr>
      <w:r>
        <w:rPr>
          <w:rFonts w:ascii="Times New Roman" w:cs="Times New Roman" w:eastAsia="Times New Roman" w:hAnsi="Times New Roman"/>
          <w:sz w:val="17"/>
          <w:szCs w:val="17"/>
          <w:i w:val="1"/>
          <w:iCs w:val="1"/>
          <w:color w:val="auto"/>
        </w:rPr>
        <w:t>Given the ongoing and dynamic nature of the COVID-19 pandemic, the ultimate extent of the impacts on our business, financial position, results of operations, liquidity, workforce, operating platform and prospects remain uncertain. In addition,</w:t>
      </w:r>
    </w:p>
    <w:p>
      <w:pPr>
        <w:ind w:right="40"/>
        <w:spacing w:after="0" w:line="246" w:lineRule="auto"/>
        <w:rPr>
          <w:sz w:val="20"/>
          <w:szCs w:val="20"/>
          <w:color w:val="auto"/>
        </w:rPr>
      </w:pPr>
      <w:r>
        <w:rPr>
          <w:rFonts w:ascii="Times New Roman" w:cs="Times New Roman" w:eastAsia="Times New Roman" w:hAnsi="Times New Roman"/>
          <w:sz w:val="18"/>
          <w:szCs w:val="18"/>
          <w:i w:val="1"/>
          <w:iCs w:val="1"/>
          <w:color w:val="auto"/>
        </w:rPr>
        <w:t>changes to statutes, regulations, or government or regulatory policies or practices as a result of, or in response to the COVID-19 pandemic, could affect us in substantial and unpredictable ways, including the potential adverse impact of loan modifications and payment deferrals implemented consistent with recent regulatory guidance.</w:t>
      </w:r>
    </w:p>
    <w:p>
      <w:pPr>
        <w:spacing w:after="0" w:line="206" w:lineRule="exact"/>
        <w:rPr>
          <w:sz w:val="20"/>
          <w:szCs w:val="20"/>
          <w:color w:val="auto"/>
        </w:rPr>
      </w:pPr>
    </w:p>
    <w:p>
      <w:pPr>
        <w:ind w:firstLine="469"/>
        <w:spacing w:after="0" w:line="247" w:lineRule="auto"/>
        <w:rPr>
          <w:sz w:val="20"/>
          <w:szCs w:val="20"/>
          <w:color w:val="auto"/>
        </w:rPr>
      </w:pPr>
      <w:r>
        <w:rPr>
          <w:rFonts w:ascii="Times New Roman" w:cs="Times New Roman" w:eastAsia="Times New Roman" w:hAnsi="Times New Roman"/>
          <w:sz w:val="18"/>
          <w:szCs w:val="18"/>
          <w:i w:val="1"/>
          <w:iCs w:val="1"/>
          <w:color w:val="auto"/>
        </w:rPr>
        <w:t>General risks and uncertainties include, but are not limited to, the following: the strength of the United States economy in general and the strength of the local economies in which we conduct business; the effects of, and changes in, trade,</w:t>
      </w:r>
    </w:p>
    <w:p>
      <w:pPr>
        <w:spacing w:after="0" w:line="1" w:lineRule="exact"/>
        <w:rPr>
          <w:sz w:val="20"/>
          <w:szCs w:val="20"/>
          <w:color w:val="auto"/>
        </w:rPr>
      </w:pPr>
    </w:p>
    <w:p>
      <w:pPr>
        <w:ind w:right="2320"/>
        <w:spacing w:after="0" w:line="242" w:lineRule="auto"/>
        <w:rPr>
          <w:sz w:val="20"/>
          <w:szCs w:val="20"/>
          <w:color w:val="auto"/>
        </w:rPr>
      </w:pPr>
      <w:r>
        <w:rPr>
          <w:rFonts w:ascii="Times New Roman" w:cs="Times New Roman" w:eastAsia="Times New Roman" w:hAnsi="Times New Roman"/>
          <w:sz w:val="18"/>
          <w:szCs w:val="18"/>
          <w:i w:val="1"/>
          <w:iCs w:val="1"/>
          <w:color w:val="auto"/>
        </w:rPr>
        <w:t>monetary, and fiscal policies and laws, including interest rate policies of the Board of Governors of the Federal Reserve System; inflation/deflation, interest rate, market, and monetary fluctuations; the effect of acquisitions we have made or may make, including, without limitation, the failure to obtain the necessary regulatory approvals, the failure to achieve the expected revenue growth and/or expense savings from such acquisitions, and/or the failure to effectively integrate an</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i w:val="1"/>
          <w:iCs w:val="1"/>
          <w:color w:val="auto"/>
        </w:rPr>
        <w:t>acquisition target into our operations; the timely development of competitive new products and services and the acceptance of these products and services by new and existing customers; the impact of changes in financial services policies, laws, and</w:t>
      </w:r>
    </w:p>
    <w:p>
      <w:pPr>
        <w:spacing w:after="0" w:line="1" w:lineRule="exact"/>
        <w:rPr>
          <w:sz w:val="20"/>
          <w:szCs w:val="20"/>
          <w:color w:val="auto"/>
        </w:rPr>
      </w:pPr>
    </w:p>
    <w:p>
      <w:pPr>
        <w:ind w:right="2340"/>
        <w:spacing w:after="0" w:line="256" w:lineRule="auto"/>
        <w:rPr>
          <w:sz w:val="20"/>
          <w:szCs w:val="20"/>
          <w:color w:val="auto"/>
        </w:rPr>
      </w:pPr>
      <w:r>
        <w:rPr>
          <w:rFonts w:ascii="Times New Roman" w:cs="Times New Roman" w:eastAsia="Times New Roman" w:hAnsi="Times New Roman"/>
          <w:sz w:val="17"/>
          <w:szCs w:val="17"/>
          <w:i w:val="1"/>
          <w:iCs w:val="1"/>
          <w:color w:val="auto"/>
        </w:rPr>
        <w:t>regulations, including those concerning taxes, banking, securities, and insurance, and the application thereof by regulatory bodies; the effectiveness of our risk management framework and quantitative models; changes in the level of our</w:t>
      </w:r>
    </w:p>
    <w:p>
      <w:pPr>
        <w:spacing w:after="0" w:line="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i w:val="1"/>
          <w:iCs w:val="1"/>
          <w:color w:val="auto"/>
        </w:rPr>
        <w:t>nonperforming assets and charge-offs; the transition away from USD LIBOR and uncertainties regarding potential alternative reference rates, including SOFR;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including ASU 2016-13 (Topic 326), “Measurement of Credit Losses on Financial Instruments,” commonly referenced as the CECL model, which has changed how we estimate credit losses and may further increase the required level of our allowance for credit losses in future periods; possible credit related impairments or declines in the fair value of securities held by us; possible impairment charges to goodwill;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deposits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such as the COVID-19 pandemic, and their effects on the economic and business environments in which we operate, including on our credit quality and business operations, as well as the impact on general economic and financial market conditions; cybersecurity threats and the cost of defending against them, including the costs of compliance with potential legislation to combat cybersecurity at a state, national, or global level; our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ability to recruit and retain key executives, board members and other employees, and changes in employment laws and regulations; unanticipated regulatory or legal proceedings; and our ability to manage the risks involved in the foregoing.</w:t>
      </w:r>
    </w:p>
    <w:p>
      <w:pPr>
        <w:spacing w:after="0" w:line="104" w:lineRule="exact"/>
        <w:rPr>
          <w:sz w:val="20"/>
          <w:szCs w:val="20"/>
          <w:color w:val="auto"/>
        </w:rPr>
      </w:pPr>
    </w:p>
    <w:p>
      <w:pPr>
        <w:ind w:firstLine="469"/>
        <w:spacing w:after="0" w:line="284" w:lineRule="auto"/>
        <w:rPr>
          <w:sz w:val="20"/>
          <w:szCs w:val="20"/>
          <w:color w:val="auto"/>
        </w:rPr>
      </w:pPr>
      <w:r>
        <w:rPr>
          <w:rFonts w:ascii="Times New Roman" w:cs="Times New Roman" w:eastAsia="Times New Roman" w:hAnsi="Times New Roman"/>
          <w:sz w:val="18"/>
          <w:szCs w:val="18"/>
          <w:i w:val="1"/>
          <w:iCs w:val="1"/>
          <w:color w:val="auto"/>
        </w:rPr>
        <w:t>Additional factors that could cause actual results to differ materially from those expressed in the forward-looking statements are discussed in the Company's 2021 Annual Report on Form 10-K filed with the SEC and available at the SEC’s Internet site (http://www.sec.gov).</w:t>
      </w:r>
    </w:p>
    <w:p>
      <w:pPr>
        <w:spacing w:after="0" w:line="104" w:lineRule="exact"/>
        <w:rPr>
          <w:sz w:val="20"/>
          <w:szCs w:val="20"/>
          <w:color w:val="auto"/>
        </w:rPr>
      </w:pPr>
    </w:p>
    <w:p>
      <w:pPr>
        <w:ind w:right="60" w:firstLine="469"/>
        <w:spacing w:after="0" w:line="255" w:lineRule="auto"/>
        <w:rPr>
          <w:sz w:val="20"/>
          <w:szCs w:val="20"/>
          <w:color w:val="auto"/>
        </w:rPr>
      </w:pPr>
      <w:r>
        <w:rPr>
          <w:rFonts w:ascii="Times New Roman" w:cs="Times New Roman" w:eastAsia="Times New Roman" w:hAnsi="Times New Roman"/>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w:t>
      </w:r>
    </w:p>
    <w:p>
      <w:pPr>
        <w:spacing w:after="0" w:line="1" w:lineRule="exact"/>
        <w:rPr>
          <w:sz w:val="20"/>
          <w:szCs w:val="20"/>
          <w:color w:val="auto"/>
        </w:rPr>
      </w:pPr>
    </w:p>
    <w:p>
      <w:pPr>
        <w:ind w:right="1900"/>
        <w:spacing w:after="0" w:line="243" w:lineRule="auto"/>
        <w:rPr>
          <w:sz w:val="20"/>
          <w:szCs w:val="20"/>
          <w:color w:val="auto"/>
        </w:rPr>
      </w:pPr>
      <w:r>
        <w:rPr>
          <w:rFonts w:ascii="Times New Roman" w:cs="Times New Roman" w:eastAsia="Times New Roman" w:hAnsi="Times New Roman"/>
          <w:sz w:val="18"/>
          <w:szCs w:val="18"/>
          <w:i w:val="1"/>
          <w:iCs w:val="1"/>
          <w:color w:val="auto"/>
        </w:rPr>
        <w:t>Any statements about future operating results, such as those concerning accretion and dilution to the Company’s earnings or shareholders, are for illustrative purposes only, are not forecasts, and actual results may differ.</w:t>
      </w:r>
    </w:p>
    <w:p>
      <w:pPr>
        <w:spacing w:after="0" w:line="3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62"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28" w:lineRule="auto"/>
        <w:rPr>
          <w:sz w:val="20"/>
          <w:szCs w:val="20"/>
          <w:color w:val="auto"/>
        </w:rPr>
      </w:pPr>
      <w:r>
        <w:rPr>
          <w:rFonts w:ascii="Times New Roman" w:cs="Times New Roman" w:eastAsia="Times New Roman" w:hAnsi="Times New Roman"/>
          <w:sz w:val="16"/>
          <w:szCs w:val="16"/>
          <w:i w:val="1"/>
          <w:iCs w:val="1"/>
          <w:color w:val="auto"/>
        </w:rPr>
        <w:t>(Dollars in thousands, except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Federal Reserve</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1,482,039</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1,653,039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Interest-earning balances due from depository institutions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Investment securities available-for-sale, at fair value (with amortized cost of</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$3,850,724 at March 31, 2022, and $3,185,249 at December 31, 2021)</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Investment securities held-to-maturity (with fair value of $2,203,144 at March 31, 2022, and</w:t>
            </w:r>
          </w:p>
        </w:tc>
        <w:tc>
          <w:tcPr>
            <w:tcW w:w="2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2,362,741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$1,921,693 at December 31, 2021)</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6,010,071</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 stock of Federal Home Loan Bank (FHLB)</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and lease finance receivables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8,591,684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(76,119 )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(65,019 )</w:t>
            </w:r>
          </w:p>
        </w:tc>
        <w:tc>
          <w:tcPr>
            <w:tcW w:w="0" w:type="dxa"/>
            <w:vAlign w:val="bottom"/>
          </w:tcPr>
          <w:p>
            <w:pPr>
              <w:spacing w:after="0"/>
              <w:rPr>
                <w:sz w:val="1"/>
                <w:szCs w:val="1"/>
                <w:color w:val="auto"/>
              </w:rPr>
            </w:pPr>
          </w:p>
        </w:tc>
      </w:tr>
      <w:tr>
        <w:trPr>
          <w:trHeight w:val="209"/>
        </w:trPr>
        <w:tc>
          <w:tcPr>
            <w:tcW w:w="76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loans and lease finance receivables</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8,515,565</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 (BOLI)</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765,822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108,823</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17,539,137</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15,883,697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Noninterest-bearing</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9,107,304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Interest-bearing</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5,380,474</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4,872,386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14,487,778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Customer repurchase agreements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598,909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 for securities purchased</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95,480</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15,464,094</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FF0FC"/>
          </w:tcPr>
          <w:p>
            <w:pPr>
              <w:ind w:left="300"/>
              <w:spacing w:after="0" w:line="170" w:lineRule="exact"/>
              <w:rPr>
                <w:sz w:val="20"/>
                <w:szCs w:val="20"/>
                <w:color w:val="auto"/>
              </w:rPr>
            </w:pPr>
            <w:r>
              <w:rPr>
                <w:rFonts w:ascii="Times New Roman" w:cs="Times New Roman" w:eastAsia="Times New Roman" w:hAnsi="Times New Roman"/>
                <w:sz w:val="18"/>
                <w:szCs w:val="18"/>
                <w:color w:val="auto"/>
              </w:rPr>
              <w:t>Common stock, authorized, 225,000,000 shares without par; issued and outstanding</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141,626,059 at March 31, 2022, and 135,526,025 at December 31, 2021</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1,325,644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(loss) income, net of tax</w:t>
            </w: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(146,262 )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(3,968 )</w:t>
            </w: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2,075,043</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2,081,503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17,539,137</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-5716905</wp:posOffset>
            </wp:positionV>
            <wp:extent cx="6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-5716905</wp:posOffset>
            </wp:positionV>
            <wp:extent cx="5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-4919980</wp:posOffset>
            </wp:positionV>
            <wp:extent cx="60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-4919980</wp:posOffset>
            </wp:positionV>
            <wp:extent cx="59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-4354195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-4354195</wp:posOffset>
            </wp:positionV>
            <wp:extent cx="59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-3239770</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-3239770</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-2245360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-2245360</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-1414145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-1414145</wp:posOffset>
            </wp:positionV>
            <wp:extent cx="596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-316865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-316865</wp:posOffset>
            </wp:positionV>
            <wp:extent cx="59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w:t>
      </w: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 except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Loans and leases, including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89,461</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from FHLB stock</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Interest-earning deposits with other institutions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interest income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114,100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and customer repurchase agreements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interest income before provision for (recapture of) credit losses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(19,500 )</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(recapture of) credit losses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110,340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Bankcard services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BOLI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OREO, net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equipment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Computer software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noninterest expense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58,238</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gain on securities arising during the period, before tax</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(202,018 )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(40,310 )</w:t>
            </w:r>
          </w:p>
        </w:tc>
        <w:tc>
          <w:tcPr>
            <w:tcW w:w="0" w:type="dxa"/>
            <w:vAlign w:val="bottom"/>
          </w:tcPr>
          <w:p>
            <w:pPr>
              <w:spacing w:after="0"/>
              <w:rPr>
                <w:sz w:val="1"/>
                <w:szCs w:val="1"/>
                <w:color w:val="auto"/>
              </w:rPr>
            </w:pPr>
          </w:p>
        </w:tc>
      </w:tr>
      <w:tr>
        <w:trPr>
          <w:trHeight w:val="171"/>
        </w:trPr>
        <w:tc>
          <w:tcPr>
            <w:tcW w:w="828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Less: Income tax benefit (expense) related to items of other</w:t>
            </w:r>
          </w:p>
        </w:tc>
        <w:tc>
          <w:tcPr>
            <w:tcW w:w="3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59,724</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28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(142,294 )</w:t>
            </w:r>
          </w:p>
        </w:tc>
        <w:tc>
          <w:tcPr>
            <w:tcW w:w="3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(28,393 )</w:t>
            </w:r>
          </w:p>
        </w:tc>
        <w:tc>
          <w:tcPr>
            <w:tcW w:w="0" w:type="dxa"/>
            <w:vAlign w:val="bottom"/>
          </w:tcPr>
          <w:p>
            <w:pPr>
              <w:spacing w:after="0"/>
              <w:rPr>
                <w:sz w:val="1"/>
                <w:szCs w:val="1"/>
                <w:color w:val="auto"/>
              </w:rPr>
            </w:pPr>
          </w:p>
        </w:tc>
      </w:tr>
      <w:tr>
        <w:trPr>
          <w:trHeight w:val="249"/>
        </w:trPr>
        <w:tc>
          <w:tcPr>
            <w:tcW w:w="8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(96,734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-6051550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-6051550</wp:posOffset>
            </wp:positionV>
            <wp:extent cx="59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-5476875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-5476875</wp:posOffset>
            </wp:positionV>
            <wp:extent cx="596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-4919980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-4919980</wp:posOffset>
            </wp:positionV>
            <wp:extent cx="596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-4345305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-4345305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-3230880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-3230880</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-1842135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-1842135</wp:posOffset>
            </wp:positionV>
            <wp:extent cx="59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-1559560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-1559560</wp:posOffset>
            </wp:positionV>
            <wp:extent cx="59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-727710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-727710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-436245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-419100</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-436245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-419100</wp:posOffset>
            </wp:positionV>
            <wp:extent cx="59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(Dollars and shares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460" w:type="dxa"/>
            <w:vAlign w:val="bottom"/>
          </w:tcPr>
          <w:p>
            <w:pPr>
              <w:spacing w:after="0"/>
              <w:rPr>
                <w:sz w:val="13"/>
                <w:szCs w:val="13"/>
                <w:color w:val="auto"/>
              </w:rPr>
            </w:pPr>
          </w:p>
        </w:tc>
        <w:tc>
          <w:tcPr>
            <w:tcW w:w="13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3"/>
                <w:szCs w:val="13"/>
                <w:color w:val="auto"/>
              </w:rPr>
            </w:pP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5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3"/>
                <w:szCs w:val="13"/>
                <w:color w:val="auto"/>
              </w:rPr>
            </w:pPr>
          </w:p>
        </w:tc>
        <w:tc>
          <w:tcPr>
            <w:tcW w:w="1460" w:type="dxa"/>
            <w:vAlign w:val="bottom"/>
            <w:gridSpan w:val="2"/>
          </w:tcPr>
          <w:p>
            <w:pPr>
              <w:jc w:val="center"/>
              <w:ind w:right="348"/>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13"/>
                <w:szCs w:val="13"/>
                <w:color w:val="auto"/>
              </w:rPr>
            </w:pP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135,526</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1,209,903</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875,568</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2,081,503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Issuance of common stock for acquisition</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8,617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197,069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197,069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of Suncrest Bank</w:t>
            </w: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(584 )</w:t>
            </w:r>
          </w:p>
        </w:tc>
        <w:tc>
          <w:tcPr>
            <w:tcW w:w="1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(13,643 )</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(13,643 )</w:t>
            </w:r>
          </w:p>
        </w:tc>
        <w:tc>
          <w:tcPr>
            <w:tcW w:w="0" w:type="dxa"/>
            <w:vAlign w:val="bottom"/>
          </w:tcPr>
          <w:p>
            <w:pPr>
              <w:spacing w:after="0"/>
              <w:rPr>
                <w:sz w:val="1"/>
                <w:szCs w:val="1"/>
                <w:color w:val="auto"/>
              </w:rPr>
            </w:pPr>
          </w:p>
        </w:tc>
      </w:tr>
      <w:tr>
        <w:trPr>
          <w:trHeight w:val="175"/>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of common stock, ASR Plan</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(2,544 )</w:t>
            </w:r>
          </w:p>
        </w:tc>
        <w:tc>
          <w:tcPr>
            <w:tcW w:w="16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(56,000 )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(56,000 )</w:t>
            </w: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ASR Contract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(14,000 )</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(14,000 )</w:t>
            </w:r>
          </w:p>
        </w:tc>
        <w:tc>
          <w:tcPr>
            <w:tcW w:w="0" w:type="dxa"/>
            <w:vAlign w:val="bottom"/>
          </w:tcPr>
          <w:p>
            <w:pPr>
              <w:spacing w:after="0"/>
              <w:rPr>
                <w:sz w:val="1"/>
                <w:szCs w:val="1"/>
                <w:color w:val="auto"/>
              </w:rPr>
            </w:pPr>
          </w:p>
        </w:tc>
      </w:tr>
      <w:tr>
        <w:trPr>
          <w:trHeight w:val="175"/>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1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(25,467 )</w:t>
            </w: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(25,467 )</w:t>
            </w:r>
          </w:p>
        </w:tc>
        <w:tc>
          <w:tcPr>
            <w:tcW w:w="0" w:type="dxa"/>
            <w:vAlign w:val="bottom"/>
          </w:tcPr>
          <w:p>
            <w:pPr>
              <w:spacing w:after="0"/>
              <w:rPr>
                <w:sz w:val="1"/>
                <w:szCs w:val="1"/>
                <w:color w:val="auto"/>
              </w:rPr>
            </w:pPr>
          </w:p>
        </w:tc>
      </w:tr>
      <w:tr>
        <w:trPr>
          <w:trHeight w:val="185"/>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($0.18 per share)</w:t>
            </w: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45,560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45,560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(142,294 )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(142,294 )</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March 31, 2022</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141,626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1,325,644</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895,661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(146,262</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2,075,043</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January 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135,601</w:t>
            </w:r>
          </w:p>
        </w:tc>
        <w:tc>
          <w:tcPr>
            <w:tcW w:w="24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1,211,780</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760,861</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35,349</w:t>
            </w:r>
          </w:p>
        </w:tc>
        <w:tc>
          <w:tcPr>
            <w:tcW w:w="2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2,007,990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(22 )</w:t>
            </w:r>
          </w:p>
        </w:tc>
        <w:tc>
          <w:tcPr>
            <w:tcW w:w="1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(502 )</w:t>
            </w: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0" w:type="dxa"/>
            <w:vAlign w:val="bottom"/>
          </w:tcPr>
          <w:p>
            <w:pPr>
              <w:spacing w:after="0"/>
              <w:rPr>
                <w:sz w:val="1"/>
                <w:szCs w:val="1"/>
                <w:color w:val="auto"/>
              </w:rPr>
            </w:pPr>
          </w:p>
        </w:tc>
      </w:tr>
      <w:tr>
        <w:trPr>
          <w:trHeight w:val="176"/>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60" w:type="dxa"/>
            <w:vAlign w:val="bottom"/>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Shares issued pursuant to stock-based</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compensation plan</w:t>
            </w:r>
          </w:p>
        </w:tc>
        <w:tc>
          <w:tcPr>
            <w:tcW w:w="11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Cash dividends declared on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(24,495 )</w:t>
            </w: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(24,495 )</w:t>
            </w:r>
          </w:p>
        </w:tc>
        <w:tc>
          <w:tcPr>
            <w:tcW w:w="0" w:type="dxa"/>
            <w:vAlign w:val="bottom"/>
          </w:tcPr>
          <w:p>
            <w:pPr>
              <w:spacing w:after="0"/>
              <w:rPr>
                <w:sz w:val="1"/>
                <w:szCs w:val="1"/>
                <w:color w:val="auto"/>
              </w:rPr>
            </w:pPr>
          </w:p>
        </w:tc>
      </w:tr>
      <w:tr>
        <w:trPr>
          <w:trHeight w:val="185"/>
        </w:trPr>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($0.18 per share)</w:t>
            </w: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Net earnings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63,893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63,893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(28,393 )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(28,393 )</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March 31, 2021</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135,920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1,213,451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800,259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6,956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2,020,666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-1250950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-1233805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-1250950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-1233805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-1250950</wp:posOffset>
            </wp:positionV>
            <wp:extent cx="514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-1233805</wp:posOffset>
            </wp:positionV>
            <wp:extent cx="514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-1250950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-1233805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4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-1233805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-24765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514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43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431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dividends received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114,010</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95,475</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and other fees received</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(1,859 )</w:t>
            </w: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paid to vendors, employees and others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(48,292 )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(56,221 )</w:t>
            </w: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r>
      <w:tr>
        <w:trPr>
          <w:trHeight w:val="210"/>
        </w:trPr>
        <w:tc>
          <w:tcPr>
            <w:tcW w:w="814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change in interest-earning balances from depository institutions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sale of investment securities held-for-sale</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repayment of investment securities available-for-sale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145,783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224,104</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maturity of investment securities available-for-sale</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available-for-sale</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(608,045 )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(661,857 )</w:t>
            </w: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repayment and maturity of investment securities held-to-maturity</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174,125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investment securities held-to-maturity</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(483,426 )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(545,681 )</w:t>
            </w: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increase in equity investments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(4,961 )</w:t>
            </w: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loan and lease finance receivables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64,167</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sale of building, net of selling costs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 of premises and equipment</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(662 )</w:t>
            </w: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BOLI death benefit</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sales of other real estate owned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8"/>
                <w:szCs w:val="18"/>
                <w:color w:val="auto"/>
              </w:rPr>
            </w:pPr>
          </w:p>
        </w:tc>
      </w:tr>
      <w:tr>
        <w:trPr>
          <w:trHeight w:val="216"/>
        </w:trPr>
        <w:tc>
          <w:tcPr>
            <w:tcW w:w="81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 acquired from acquisition, net of cash paid</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329,001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(330,307 )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(864,874 )</w:t>
            </w: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increase in other deposits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336,518</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increase in time deposits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(21,930 )</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decrease in other borrowings</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(decrease) increase in customer repurchase agreements</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(43,479 )</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66,940</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dividends on common stock</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(24,396 )</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(24,408 )</w:t>
            </w: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(13,643 )</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(502 )</w:t>
            </w:r>
          </w:p>
        </w:tc>
      </w:tr>
      <w:tr>
        <w:trPr>
          <w:trHeight w:val="216"/>
        </w:trPr>
        <w:tc>
          <w:tcPr>
            <w:tcW w:w="8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Repurchase of common stock, ASR Plan</w:t>
            </w: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(56,000 )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ASR Contract</w:t>
            </w: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(14,000 )</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Borders>
              <w:bottom w:val="single" w:sz="8" w:color="CFF0FC"/>
            </w:tcBorders>
          </w:tcPr>
          <w:p>
            <w:pPr>
              <w:spacing w:after="0"/>
              <w:rPr>
                <w:sz w:val="18"/>
                <w:szCs w:val="18"/>
                <w:color w:val="auto"/>
              </w:rPr>
            </w:pPr>
          </w:p>
        </w:tc>
      </w:tr>
      <w:tr>
        <w:trPr>
          <w:trHeight w:val="209"/>
        </w:trPr>
        <w:tc>
          <w:tcPr>
            <w:tcW w:w="81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(79,509 )</w:t>
            </w:r>
          </w:p>
        </w:tc>
        <w:tc>
          <w:tcPr>
            <w:tcW w:w="3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(432,861 )</w:t>
            </w:r>
          </w:p>
        </w:tc>
      </w:tr>
      <w:tr>
        <w:trPr>
          <w:trHeight w:val="194"/>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1,653,039</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1,525,299</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-4624070</wp:posOffset>
            </wp:positionV>
            <wp:extent cx="9398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-4624070</wp:posOffset>
            </wp:positionV>
            <wp:extent cx="8509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-2262505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-2262505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-749300</wp:posOffset>
            </wp:positionV>
            <wp:extent cx="9398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-749300</wp:posOffset>
            </wp:positionV>
            <wp:extent cx="8509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jc w:val="cente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Earnings to Net Cash Provided by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building,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sale of other real estate owned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Increase in BOLI</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(1,349 )</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 securities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for acquired loans, net</w:t>
            </w: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(1,843 )</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(4,028 )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(19,500 )</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net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(3,526 )</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other assets and liabilities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00" w:type="dxa"/>
            <w:vAlign w:val="bottom"/>
          </w:tcPr>
          <w:p>
            <w:pPr>
              <w:spacing w:after="0"/>
              <w:rPr>
                <w:sz w:val="18"/>
                <w:szCs w:val="18"/>
                <w:color w:val="auto"/>
              </w:rPr>
            </w:pPr>
          </w:p>
        </w:tc>
      </w:tr>
      <w:tr>
        <w:trPr>
          <w:trHeight w:val="209"/>
        </w:trPr>
        <w:tc>
          <w:tcPr>
            <w:tcW w:w="81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8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10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purchased and not settled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257,979</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80,973</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197,069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-719455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-719455</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ind w:left="3740"/>
        <w:spacing w:after="0"/>
        <w:rPr>
          <w:sz w:val="20"/>
          <w:szCs w:val="20"/>
          <w:color w:val="auto"/>
        </w:rPr>
      </w:pPr>
      <w:r>
        <w:rPr>
          <w:rFonts w:ascii="Times New Roman" w:cs="Times New Roman" w:eastAsia="Times New Roman" w:hAnsi="Times New Roman"/>
          <w:sz w:val="18"/>
          <w:szCs w:val="18"/>
          <w:b w:val="1"/>
          <w:bCs w:val="1"/>
          <w:color w:val="auto"/>
        </w:rPr>
        <w:t>CVB FINANCIAL CORP. AND SUBSIDIARIES</w:t>
      </w:r>
    </w:p>
    <w:p>
      <w:pPr>
        <w:spacing w:after="0" w:line="2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BUSINESS</w:t>
      </w:r>
    </w:p>
    <w:p>
      <w:pPr>
        <w:spacing w:after="0" w:line="216"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77" w:lineRule="exact"/>
        <w:rPr>
          <w:sz w:val="20"/>
          <w:szCs w:val="20"/>
          <w:color w:val="auto"/>
        </w:rPr>
      </w:pPr>
    </w:p>
    <w:p>
      <w:pPr>
        <w:ind w:right="20" w:firstLine="469"/>
        <w:spacing w:after="0" w:line="246" w:lineRule="auto"/>
        <w:rPr>
          <w:sz w:val="20"/>
          <w:szCs w:val="20"/>
          <w:color w:val="auto"/>
        </w:rPr>
      </w:pPr>
      <w:r>
        <w:rPr>
          <w:rFonts w:ascii="Times New Roman" w:cs="Times New Roman" w:eastAsia="Times New Roman" w:hAnsi="Times New Roman"/>
          <w:sz w:val="18"/>
          <w:szCs w:val="18"/>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the Inland Empire, Los Angeles County, Orange County San Diego County, Ventura County, Santa Barbara County, and Central California. As of March 31, 2022, the Bank operated 65 banking centers and three trust office locations. The Company is headquartered in the city of Ontario, California.</w:t>
      </w:r>
    </w:p>
    <w:p>
      <w:pPr>
        <w:spacing w:after="0" w:line="181" w:lineRule="exact"/>
        <w:rPr>
          <w:sz w:val="20"/>
          <w:szCs w:val="20"/>
          <w:color w:val="auto"/>
        </w:rPr>
      </w:pPr>
    </w:p>
    <w:p>
      <w:pPr>
        <w:ind w:right="60" w:firstLine="469"/>
        <w:spacing w:after="0" w:line="244" w:lineRule="auto"/>
        <w:rPr>
          <w:sz w:val="20"/>
          <w:szCs w:val="20"/>
          <w:color w:val="auto"/>
        </w:rPr>
      </w:pPr>
      <w:r>
        <w:rPr>
          <w:rFonts w:ascii="Times New Roman" w:cs="Times New Roman" w:eastAsia="Times New Roman" w:hAnsi="Times New Roman"/>
          <w:sz w:val="18"/>
          <w:szCs w:val="18"/>
          <w:color w:val="auto"/>
        </w:rPr>
        <w:t xml:space="preserve">On January 7, 2022, we completed the acquisition of Suncrest Bank ("Suncrest") with approximately $1.4 billion in total assets, acquired at fair value, and seven banking centers. Total assets at March 31, 2022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Refer to Note 4 –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16" w:lineRule="exact"/>
        <w:rPr>
          <w:sz w:val="20"/>
          <w:szCs w:val="20"/>
          <w:color w:val="auto"/>
        </w:rPr>
      </w:pPr>
    </w:p>
    <w:p>
      <w:pPr>
        <w:ind w:firstLine="469"/>
        <w:spacing w:after="0" w:line="24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months ended March 31, 2022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2021, filed with the SEC. A summary of the significant accounting policies consistently applied in the preparation of the accompanying unaudited condensed consolidated financial statements follows.</w:t>
      </w:r>
    </w:p>
    <w:p>
      <w:pPr>
        <w:spacing w:after="0" w:line="186" w:lineRule="exact"/>
        <w:rPr>
          <w:sz w:val="20"/>
          <w:szCs w:val="20"/>
          <w:color w:val="auto"/>
        </w:rPr>
      </w:pPr>
    </w:p>
    <w:p>
      <w:pPr>
        <w:ind w:right="320" w:firstLine="46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Reclassification </w:t>
      </w:r>
      <w:r>
        <w:rPr>
          <w:rFonts w:ascii="Times New Roman" w:cs="Times New Roman" w:eastAsia="Times New Roman" w:hAnsi="Times New Roman"/>
          <w:sz w:val="18"/>
          <w:szCs w:val="18"/>
          <w:color w:val="auto"/>
        </w:rPr>
        <w:t>— Certain amounts in the prior periods’ unaudited condensed consolidated financial statements and related footnote disclosures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reclassified to conform to the current presentation with no impact on previously reported net income or stockholders’ equity.</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14" w:lineRule="exact"/>
        <w:rPr>
          <w:sz w:val="20"/>
          <w:szCs w:val="20"/>
          <w:color w:val="auto"/>
        </w:rPr>
      </w:pPr>
    </w:p>
    <w:p>
      <w:pPr>
        <w:ind w:right="260" w:firstLine="469"/>
        <w:spacing w:after="0" w:line="251" w:lineRule="auto"/>
        <w:rPr>
          <w:sz w:val="20"/>
          <w:szCs w:val="20"/>
          <w:color w:val="auto"/>
        </w:rPr>
      </w:pPr>
      <w:r>
        <w:rPr>
          <w:rFonts w:ascii="Times New Roman" w:cs="Times New Roman" w:eastAsia="Times New Roman" w:hAnsi="Times New Roman"/>
          <w:sz w:val="18"/>
          <w:szCs w:val="18"/>
          <w:color w:val="auto"/>
        </w:rPr>
        <w:t xml:space="preserve">Except as discussed below, our accounting policies are described in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our audited consolidated financial statements included in our Annual Report on Form 10-K for the year ended December 31, 2021 as filed with the SEC (“Form 10-K”).</w:t>
      </w:r>
    </w:p>
    <w:p>
      <w:pPr>
        <w:spacing w:after="0" w:line="172" w:lineRule="exact"/>
        <w:rPr>
          <w:sz w:val="20"/>
          <w:szCs w:val="20"/>
          <w:color w:val="auto"/>
        </w:rPr>
      </w:pPr>
    </w:p>
    <w:p>
      <w:pPr>
        <w:ind w:firstLine="46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 The preparation of financial statements in conformity with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 w:name="page11"/>
    <w:bookmarkEnd w:id="1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202" w:lineRule="exact"/>
        <w:rPr>
          <w:sz w:val="20"/>
          <w:szCs w:val="20"/>
          <w:color w:val="auto"/>
        </w:rPr>
      </w:pPr>
    </w:p>
    <w:p>
      <w:pPr>
        <w:ind w:right="180" w:firstLine="464"/>
        <w:spacing w:after="0" w:line="250" w:lineRule="auto"/>
        <w:rPr>
          <w:sz w:val="20"/>
          <w:szCs w:val="20"/>
          <w:color w:val="auto"/>
        </w:rPr>
      </w:pPr>
      <w:r>
        <w:rPr>
          <w:rFonts w:ascii="Times New Roman" w:cs="Times New Roman" w:eastAsia="Times New Roman" w:hAnsi="Times New Roman"/>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re-opened as CBB locations on January 10, 2022.</w:t>
      </w:r>
    </w:p>
    <w:p>
      <w:pPr>
        <w:spacing w:after="0" w:line="164" w:lineRule="exact"/>
        <w:rPr>
          <w:sz w:val="20"/>
          <w:szCs w:val="20"/>
          <w:color w:val="auto"/>
        </w:rPr>
      </w:pPr>
    </w:p>
    <w:p>
      <w:pPr>
        <w:ind w:firstLine="464"/>
        <w:spacing w:after="0" w:line="243" w:lineRule="auto"/>
        <w:rPr>
          <w:sz w:val="20"/>
          <w:szCs w:val="20"/>
          <w:color w:val="auto"/>
        </w:rPr>
      </w:pPr>
      <w:r>
        <w:rPr>
          <w:rFonts w:ascii="Times New Roman" w:cs="Times New Roman" w:eastAsia="Times New Roman" w:hAnsi="Times New Roman"/>
          <w:sz w:val="18"/>
          <w:szCs w:val="18"/>
          <w:color w:val="auto"/>
        </w:rPr>
        <w:t>The total fair value of assets acquired approximated $1.38 billion in total assets, including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The assets acquired and liabilities assumed have been accounted for under the acquisition method of accounting. These fair values are estimates and are subject to adjustment for up to one year after the acquisition date or when additional information relative to the closing date fair values becomes available and such information is considered final, whichever is earlier. For the assets acquired and liabilities assumed, the Company considers the fair value of the net loans and the related deferred tax asset to be provisional, specifically the PCD loans, while the Company obtains additional information relevant to the fair value.</w:t>
      </w:r>
    </w:p>
    <w:p>
      <w:pPr>
        <w:spacing w:after="0" w:line="172" w:lineRule="exact"/>
        <w:rPr>
          <w:sz w:val="20"/>
          <w:szCs w:val="20"/>
          <w:color w:val="auto"/>
        </w:rPr>
      </w:pPr>
    </w:p>
    <w:p>
      <w:pPr>
        <w:ind w:right="160" w:firstLine="464"/>
        <w:spacing w:after="0" w:line="258" w:lineRule="auto"/>
        <w:rPr>
          <w:sz w:val="20"/>
          <w:szCs w:val="20"/>
          <w:color w:val="auto"/>
        </w:rPr>
      </w:pPr>
      <w:r>
        <w:rPr>
          <w:rFonts w:ascii="Times New Roman" w:cs="Times New Roman" w:eastAsia="Times New Roman" w:hAnsi="Times New Roman"/>
          <w:sz w:val="18"/>
          <w:szCs w:val="18"/>
          <w:color w:val="auto"/>
        </w:rPr>
        <w:t>We have included the financial results of the business combination in the condensed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69"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the Company incurred non-recurring merger related expenses associated with the Suncrest acquisition of $5.6 million.</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INVESTMENT SECURITIES</w:t>
      </w:r>
    </w:p>
    <w:p>
      <w:pPr>
        <w:spacing w:after="0" w:line="216" w:lineRule="exact"/>
        <w:rPr>
          <w:sz w:val="20"/>
          <w:szCs w:val="20"/>
          <w:color w:val="auto"/>
        </w:rPr>
      </w:pPr>
    </w:p>
    <w:p>
      <w:pPr>
        <w:ind w:right="340" w:firstLine="469"/>
        <w:spacing w:after="0" w:line="258" w:lineRule="auto"/>
        <w:rPr>
          <w:sz w:val="20"/>
          <w:szCs w:val="20"/>
          <w:color w:val="auto"/>
        </w:rPr>
      </w:pPr>
      <w:r>
        <w:rPr>
          <w:rFonts w:ascii="Times New Roman" w:cs="Times New Roman" w:eastAsia="Times New Roman" w:hAnsi="Times New Roman"/>
          <w:sz w:val="18"/>
          <w:szCs w:val="18"/>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7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280" w:type="dxa"/>
            <w:vAlign w:val="bottom"/>
            <w:tcBorders>
              <w:bottom w:val="single" w:sz="8" w:color="auto"/>
            </w:tcBorders>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3,243,037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(166,018 )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3,080,992</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84.47 %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578,213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(41,281 )</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536,997</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14.72 %</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(351 )</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3,850,724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(207,650 )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(52,738 )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518,316</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24.14 %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632,012</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(43,928 )</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588,311</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26.75 %</w:t>
            </w:r>
          </w:p>
        </w:tc>
        <w:tc>
          <w:tcPr>
            <w:tcW w:w="0" w:type="dxa"/>
            <w:vAlign w:val="bottom"/>
          </w:tcPr>
          <w:p>
            <w:pPr>
              <w:spacing w:after="0"/>
              <w:rPr>
                <w:sz w:val="1"/>
                <w:szCs w:val="1"/>
                <w:color w:val="auto"/>
              </w:rPr>
            </w:pPr>
          </w:p>
        </w:tc>
      </w:tr>
      <w:tr>
        <w:trPr>
          <w:trHeight w:val="216"/>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(44,778 )</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773,501</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34.63 %</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342,118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(19,860 )</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323,016</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14.48 %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2,362,741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(161,304 )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2,203,144</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-1508125</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-1508125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-1508125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-1508125</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-1508125</wp:posOffset>
            </wp:positionV>
            <wp:extent cx="145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-650875</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-650875</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-650875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-650875</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-650875</wp:posOffset>
            </wp:positionV>
            <wp:extent cx="1454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3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3"/>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80" w:type="dxa"/>
            <w:vAlign w:val="bottom"/>
            <w:vMerge w:val="restart"/>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320" w:type="dxa"/>
            <w:vAlign w:val="bottom"/>
          </w:tcPr>
          <w:p>
            <w:pPr>
              <w:spacing w:after="0"/>
              <w:rPr>
                <w:sz w:val="20"/>
                <w:szCs w:val="20"/>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2,553,246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(15,905 )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2,563,214</w:t>
            </w:r>
          </w:p>
        </w:tc>
        <w:tc>
          <w:tcPr>
            <w:tcW w:w="3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80.50 %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602,555</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(13,983 )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590,158</w:t>
            </w:r>
          </w:p>
        </w:tc>
        <w:tc>
          <w:tcPr>
            <w:tcW w:w="380" w:type="dxa"/>
            <w:vAlign w:val="bottom"/>
            <w:tcBorders>
              <w:right w:val="single" w:sz="8" w:color="CFF0FC"/>
            </w:tcBorders>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3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80" w:type="dxa"/>
            <w:vAlign w:val="bottom"/>
            <w:tcBorders>
              <w:right w:val="single" w:sz="8" w:color="CFF0FC"/>
            </w:tcBorders>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3,185,249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(29,888 )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3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right w:val="single" w:sz="8" w:color="CFF0FC"/>
            </w:tcBorders>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576,899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(7,312 )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575,494</w:t>
            </w:r>
          </w:p>
        </w:tc>
        <w:tc>
          <w:tcPr>
            <w:tcW w:w="3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29.95 %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647,390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(6,106 )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645,393</w:t>
            </w:r>
          </w:p>
        </w:tc>
        <w:tc>
          <w:tcPr>
            <w:tcW w:w="380" w:type="dxa"/>
            <w:vAlign w:val="bottom"/>
            <w:tcBorders>
              <w:right w:val="single" w:sz="8" w:color="CFF0FC"/>
            </w:tcBorders>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33.61 %</w:t>
            </w: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(5,030 )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486,236</w:t>
            </w:r>
          </w:p>
        </w:tc>
        <w:tc>
          <w:tcPr>
            <w:tcW w:w="3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25.48 %</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211,011</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(1,155 )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214,570</w:t>
            </w:r>
          </w:p>
        </w:tc>
        <w:tc>
          <w:tcPr>
            <w:tcW w:w="380" w:type="dxa"/>
            <w:vAlign w:val="bottom"/>
            <w:tcBorders>
              <w:right w:val="single" w:sz="8" w:color="CFF0FC"/>
            </w:tcBorders>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(19,603 )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3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11240" w:type="dxa"/>
            <w:vAlign w:val="bottom"/>
            <w:gridSpan w:val="20"/>
          </w:tcPr>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about the amount of interest income earned on investment securities which is fully taxable and which is</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exempt from regular federal income tax.</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3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w w:val="79"/>
              </w:rPr>
              <w:t>thousands)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54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4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right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interest income from available-for-sale securities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Taxable</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Tax-advantaged</w:t>
            </w:r>
          </w:p>
        </w:tc>
        <w:tc>
          <w:tcPr>
            <w:tcW w:w="4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right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interest income from held-to-maturity securities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interest income from investment securities</w:t>
            </w:r>
          </w:p>
        </w:tc>
        <w:tc>
          <w:tcPr>
            <w:tcW w:w="8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right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13,099</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-3539490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-3539490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-3539490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-3539490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-3539490</wp:posOffset>
            </wp:positionV>
            <wp:extent cx="1454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-2682240</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-2682240</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-2682240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-2682240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-2682240</wp:posOffset>
            </wp:positionV>
            <wp:extent cx="1454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-882015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-882015</wp:posOffset>
            </wp:positionV>
            <wp:extent cx="431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-316230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-316230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80" w:firstLine="469"/>
        <w:spacing w:after="0" w:line="246" w:lineRule="auto"/>
        <w:rPr>
          <w:sz w:val="20"/>
          <w:szCs w:val="20"/>
          <w:color w:val="auto"/>
        </w:rPr>
      </w:pPr>
      <w:r>
        <w:rPr>
          <w:rFonts w:ascii="Times New Roman" w:cs="Times New Roman" w:eastAsia="Times New Roman" w:hAnsi="Times New Roman"/>
          <w:sz w:val="18"/>
          <w:szCs w:val="18"/>
          <w:color w:val="auto"/>
        </w:rPr>
        <w:t>The adoption of CECL did not and continues to not have a material impact on the Company's accounting for investment securities, as approximately 94% of the total investment securities portfolio at March 31, 2022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new CECL model was zero at March 31, 2022 and December 31, 2021.</w:t>
      </w:r>
    </w:p>
    <w:p>
      <w:pPr>
        <w:spacing w:after="0" w:line="168" w:lineRule="exact"/>
        <w:rPr>
          <w:sz w:val="20"/>
          <w:szCs w:val="20"/>
          <w:color w:val="auto"/>
        </w:rPr>
      </w:pPr>
    </w:p>
    <w:p>
      <w:pPr>
        <w:jc w:val="both"/>
        <w:ind w:right="420" w:firstLine="469"/>
        <w:spacing w:after="0" w:line="258" w:lineRule="auto"/>
        <w:rPr>
          <w:sz w:val="20"/>
          <w:szCs w:val="20"/>
          <w:color w:val="auto"/>
        </w:rPr>
      </w:pPr>
      <w:r>
        <w:rPr>
          <w:rFonts w:ascii="Times New Roman" w:cs="Times New Roman" w:eastAsia="Times New Roman" w:hAnsi="Times New Roman"/>
          <w:sz w:val="18"/>
          <w:szCs w:val="18"/>
          <w:color w:val="auto"/>
        </w:rPr>
        <w:t>We adopted ASU 2016-13 on January 1, 2020, on a prospective basis. Under this ASU, once it is determined that a credit loss has occurred, an allowance for credit losses is established on our AFS and HTM securities. Management determined that there were no credit losses for securities in an unrealized loss position as of March 31, 2022 and December 31, 2021.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March 31, 2022 and December 31,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30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5"/>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24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9"/>
              <w:spacing w:after="0" w:line="14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79"/>
              <w:spacing w:after="0" w:line="14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4"/>
          </w:tcPr>
          <w:p>
            <w:pPr>
              <w:jc w:val="center"/>
              <w:ind w:right="2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gridSpan w:val="2"/>
            <w:vMerge w:val="restart"/>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379"/>
              <w:spacing w:after="0" w:line="17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30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7"/>
          </w:tcPr>
          <w:p>
            <w:pPr>
              <w:jc w:val="right"/>
              <w:ind w:right="67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1,551,620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(92,654 )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851,349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(73,364 )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2,402,969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(166,018 )</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192,973</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(10,983 )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331,988</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(30,298 )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524,961</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(41,281 )</w:t>
            </w: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(351 )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14,990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(351 )</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1,759,583</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(103,988</w:t>
            </w:r>
          </w:p>
        </w:tc>
        <w:tc>
          <w:tcPr>
            <w:tcW w:w="300" w:type="dxa"/>
            <w:vAlign w:val="bottom"/>
            <w:tcBorders>
              <w:bottom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1,183,337</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(103,662</w:t>
            </w:r>
          </w:p>
        </w:tc>
        <w:tc>
          <w:tcPr>
            <w:tcW w:w="240" w:type="dxa"/>
            <w:vAlign w:val="bottom"/>
            <w:tcBorders>
              <w:bottom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2,942,920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(207,650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Government agency/GSE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242,300</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(21,492 )</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242,589</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(31,246 )</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484,889</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(52,738 )</w:t>
            </w: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560,752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(43,438 )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(490 )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565,270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(43,928 )</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773,501</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(44,778 )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773,501</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(44,778 )</w:t>
            </w: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178,881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(12,670 )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58,587</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(7,190 )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237,468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(19,860 )</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1,755,434</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(122,378</w:t>
            </w:r>
          </w:p>
        </w:tc>
        <w:tc>
          <w:tcPr>
            <w:tcW w:w="300" w:type="dxa"/>
            <w:vAlign w:val="bottom"/>
            <w:tcBorders>
              <w:bottom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305,694</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(38,926</w:t>
            </w:r>
          </w:p>
        </w:tc>
        <w:tc>
          <w:tcPr>
            <w:tcW w:w="240" w:type="dxa"/>
            <w:vAlign w:val="bottom"/>
            <w:tcBorders>
              <w:bottom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2,061,128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(161,304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383"/>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8"/>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7"/>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3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7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5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99"/>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99"/>
              <w:spacing w:after="0" w:line="16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79"/>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99"/>
              <w:spacing w:after="0" w:line="173" w:lineRule="exact"/>
              <w:rPr>
                <w:sz w:val="20"/>
                <w:szCs w:val="20"/>
                <w:color w:val="auto"/>
              </w:rPr>
            </w:pPr>
            <w:r>
              <w:rPr>
                <w:rFonts w:ascii="Times New Roman" w:cs="Times New Roman" w:eastAsia="Times New Roman" w:hAnsi="Times New Roman"/>
                <w:sz w:val="16"/>
                <w:szCs w:val="16"/>
                <w:b w:val="1"/>
                <w:bCs w:val="1"/>
                <w:color w:val="auto"/>
              </w:rPr>
              <w:t>Holding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99"/>
              <w:spacing w:after="0" w:line="173" w:lineRule="exact"/>
              <w:rPr>
                <w:sz w:val="20"/>
                <w:szCs w:val="20"/>
                <w:color w:val="auto"/>
              </w:rPr>
            </w:pPr>
            <w:r>
              <w:rPr>
                <w:rFonts w:ascii="Times New Roman" w:cs="Times New Roman" w:eastAsia="Times New Roman" w:hAnsi="Times New Roman"/>
                <w:sz w:val="16"/>
                <w:szCs w:val="16"/>
                <w:b w:val="1"/>
                <w:bCs w:val="1"/>
                <w:color w:val="auto"/>
              </w:rPr>
              <w:t>Holding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59"/>
              <w:spacing w:after="0" w:line="173" w:lineRule="exact"/>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7"/>
          </w:tcPr>
          <w:p>
            <w:pPr>
              <w:jc w:val="center"/>
              <w:ind w:right="3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1,465,647</w:t>
            </w:r>
          </w:p>
        </w:tc>
        <w:tc>
          <w:tcPr>
            <w:tcW w:w="20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(15,099 )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44,244</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(806 )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1,509,891</w:t>
            </w:r>
          </w:p>
        </w:tc>
        <w:tc>
          <w:tcPr>
            <w:tcW w:w="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(15,905 )</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CMO/REMIC</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450,393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(11,515 )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53,745</w:t>
            </w: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(2,468 )</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504,138</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(13,983 )</w:t>
            </w: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Municipal bonds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1,916,040</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(26,614</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97,989</w:t>
            </w:r>
          </w:p>
        </w:tc>
        <w:tc>
          <w:tcPr>
            <w:tcW w:w="32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22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2,014,029</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(29,888</w:t>
            </w:r>
          </w:p>
        </w:tc>
        <w:tc>
          <w:tcPr>
            <w:tcW w:w="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-2493645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-2476500</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-2493645</wp:posOffset>
            </wp:positionV>
            <wp:extent cx="596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-2476500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-2493645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-2476500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-2493645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-2476500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-2493645</wp:posOffset>
            </wp:positionV>
            <wp:extent cx="342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-2476500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-2493645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-2476500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-1687830</wp:posOffset>
            </wp:positionV>
            <wp:extent cx="431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-1671320</wp:posOffset>
            </wp:positionV>
            <wp:extent cx="431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-1687830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-1671320</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-1687830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-1671320</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-1687830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-1671320</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-1687830</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-1671320</wp:posOffset>
            </wp:positionV>
            <wp:extent cx="342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-1687830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-1671320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740" w:firstLine="469"/>
        <w:spacing w:after="0" w:line="312" w:lineRule="auto"/>
        <w:rPr>
          <w:sz w:val="20"/>
          <w:szCs w:val="20"/>
          <w:color w:val="auto"/>
        </w:rPr>
      </w:pPr>
      <w:r>
        <w:rPr>
          <w:rFonts w:ascii="Times New Roman" w:cs="Times New Roman" w:eastAsia="Times New Roman" w:hAnsi="Times New Roman"/>
          <w:sz w:val="17"/>
          <w:szCs w:val="17"/>
          <w:color w:val="auto"/>
        </w:rPr>
        <w:t>At March 31, 2022 and December 31, 2021, investment securities having a carrying value of approximately $2.53 billion and $2.18 billion, respectively, were pledged to secure public deposits, short and long-term borrowings, and for other purposes as required or permitted by law.</w:t>
      </w:r>
    </w:p>
    <w:p>
      <w:pPr>
        <w:spacing w:after="0" w:line="113" w:lineRule="exact"/>
        <w:rPr>
          <w:sz w:val="20"/>
          <w:szCs w:val="20"/>
          <w:color w:val="auto"/>
        </w:rPr>
      </w:pPr>
    </w:p>
    <w:p>
      <w:pPr>
        <w:ind w:right="260" w:firstLine="464"/>
        <w:spacing w:after="0" w:line="250" w:lineRule="auto"/>
        <w:rPr>
          <w:sz w:val="20"/>
          <w:szCs w:val="20"/>
          <w:color w:val="auto"/>
        </w:rPr>
      </w:pPr>
      <w:r>
        <w:rPr>
          <w:rFonts w:ascii="Times New Roman" w:cs="Times New Roman" w:eastAsia="Times New Roman" w:hAnsi="Times New Roman"/>
          <w:sz w:val="18"/>
          <w:szCs w:val="18"/>
          <w:color w:val="auto"/>
        </w:rPr>
        <w:t>The amortized cost and fair value of debt securities at March 31, 2022,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Due after ten years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Borders>
              <w:top w:val="single" w:sz="8" w:color="auto"/>
              <w:bottom w:val="single" w:sz="8" w:color="auto"/>
            </w:tcBorders>
          </w:tcPr>
          <w:p>
            <w:pPr>
              <w:spacing w:after="0"/>
              <w:rPr>
                <w:sz w:val="14"/>
                <w:szCs w:val="14"/>
                <w:color w:val="auto"/>
              </w:rPr>
            </w:pPr>
          </w:p>
        </w:tc>
        <w:tc>
          <w:tcPr>
            <w:tcW w:w="2740" w:type="dxa"/>
            <w:vAlign w:val="bottom"/>
            <w:tcBorders>
              <w:top w:val="single" w:sz="8" w:color="auto"/>
              <w:bottom w:val="single" w:sz="8" w:color="auto"/>
            </w:tcBorders>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660" w:type="dxa"/>
            <w:vAlign w:val="bottom"/>
            <w:tcBorders>
              <w:top w:val="single" w:sz="8" w:color="auto"/>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69"/>
        </w:trPr>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i w:val="1"/>
                <w:iCs w:val="1"/>
                <w:color w:val="auto"/>
              </w:rPr>
              <w:t>(Dollars</w:t>
            </w:r>
          </w:p>
        </w:tc>
        <w:tc>
          <w:tcPr>
            <w:tcW w:w="30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i w:val="1"/>
                <w:iCs w:val="1"/>
                <w:color w:val="auto"/>
              </w:rPr>
              <w:t>in</w:t>
            </w:r>
          </w:p>
        </w:tc>
        <w:tc>
          <w:tcPr>
            <w:tcW w:w="1260" w:type="dxa"/>
            <w:vAlign w:val="bottom"/>
            <w:gridSpan w:val="2"/>
          </w:tcPr>
          <w:p>
            <w:pPr>
              <w:jc w:val="right"/>
              <w:ind w:right="688"/>
              <w:spacing w:after="0" w:line="160" w:lineRule="exact"/>
              <w:rPr>
                <w:sz w:val="20"/>
                <w:szCs w:val="20"/>
                <w:color w:val="auto"/>
              </w:rPr>
            </w:pPr>
            <w:r>
              <w:rPr>
                <w:rFonts w:ascii="Times New Roman" w:cs="Times New Roman" w:eastAsia="Times New Roman" w:hAnsi="Times New Roman"/>
                <w:sz w:val="14"/>
                <w:szCs w:val="14"/>
                <w:i w:val="1"/>
                <w:iCs w:val="1"/>
                <w:color w:val="auto"/>
                <w:w w:val="78"/>
              </w:rPr>
              <w:t>thousands)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5"/>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14,945</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9,188</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9,044</w:t>
            </w:r>
          </w:p>
        </w:tc>
      </w:tr>
      <w:tr>
        <w:trPr>
          <w:trHeight w:val="175"/>
        </w:trPr>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1,270,685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1,220,048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628,543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601,064</w:t>
            </w:r>
          </w:p>
        </w:tc>
      </w:tr>
      <w:tr>
        <w:trPr>
          <w:trHeight w:val="176"/>
        </w:trPr>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1,904,250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1,782,675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537,429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503,542</w:t>
            </w:r>
          </w:p>
        </w:tc>
      </w:tr>
      <w:tr>
        <w:trPr>
          <w:trHeight w:val="185"/>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660,844</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629,644</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1,187,581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1,089,494</w:t>
            </w:r>
          </w:p>
        </w:tc>
      </w:tr>
      <w:tr>
        <w:trPr>
          <w:trHeight w:val="16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3,850,724</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3,647,330</w:t>
            </w:r>
          </w:p>
        </w:tc>
        <w:tc>
          <w:tcPr>
            <w:tcW w:w="3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2,362,741</w:t>
            </w:r>
          </w:p>
        </w:tc>
        <w:tc>
          <w:tcPr>
            <w:tcW w:w="280" w:type="dxa"/>
            <w:vAlign w:val="bottom"/>
          </w:tcPr>
          <w:p>
            <w:pPr>
              <w:spacing w:after="0"/>
              <w:rPr>
                <w:sz w:val="14"/>
                <w:szCs w:val="14"/>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2,203,144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-590550</wp:posOffset>
            </wp:positionV>
            <wp:extent cx="7132320" cy="111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-367665</wp:posOffset>
            </wp:positionV>
            <wp:extent cx="7132320" cy="1117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-136525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520" w:space="720"/>
            <w:col w:w="6000"/>
          </w:cols>
          <w:pgMar w:left="320" w:top="580" w:right="339" w:bottom="1440" w:gutter="0" w:footer="0" w:header="0"/>
          <w:type w:val="continuous"/>
        </w:sectPr>
      </w:pPr>
    </w:p>
    <w:p>
      <w:pPr>
        <w:ind w:right="400" w:firstLine="469"/>
        <w:spacing w:after="0" w:line="266" w:lineRule="auto"/>
        <w:rPr>
          <w:sz w:val="20"/>
          <w:szCs w:val="20"/>
          <w:color w:val="auto"/>
        </w:rPr>
      </w:pPr>
      <w:r>
        <w:rPr>
          <w:rFonts w:ascii="Times New Roman" w:cs="Times New Roman" w:eastAsia="Times New Roman" w:hAnsi="Times New Roman"/>
          <w:sz w:val="18"/>
          <w:szCs w:val="18"/>
          <w:color w:val="auto"/>
        </w:rPr>
        <w:t>The investment in FHLB stock is periodically evaluated for impairment based on, among other things, the capital adequacy of the FHLB and its overall financial condition. No impairment losses have been recorded through March 31,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3" w:name="page14"/>
    <w:bookmarkEnd w:id="13"/>
    <w:p>
      <w:pPr>
        <w:ind w:left="480" w:right="3500" w:hanging="472"/>
        <w:spacing w:after="0" w:line="505" w:lineRule="auto"/>
        <w:tabs>
          <w:tab w:leader="none" w:pos="331"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LOANS AND LEASE FINANCE RECEIVABLES AND ALLOWANCE FOR CREDIT LOSSES </w:t>
      </w:r>
      <w:r>
        <w:rPr>
          <w:rFonts w:ascii="Times New Roman" w:cs="Times New Roman" w:eastAsia="Times New Roman" w:hAnsi="Times New Roman"/>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0"/>
                <w:szCs w:val="20"/>
                <w:color w:val="auto"/>
              </w:rPr>
            </w:pPr>
          </w:p>
        </w:tc>
      </w:tr>
      <w:tr>
        <w:trPr>
          <w:trHeight w:val="206"/>
        </w:trPr>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340" w:type="dxa"/>
            <w:vAlign w:val="bottom"/>
            <w:gridSpan w:val="3"/>
          </w:tcPr>
          <w:p>
            <w:pPr>
              <w:jc w:val="right"/>
              <w:ind w:right="133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r>
      <w:tr>
        <w:trPr>
          <w:trHeight w:val="220"/>
        </w:trPr>
        <w:tc>
          <w:tcPr>
            <w:tcW w:w="6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6,470,841</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5,789,730</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62,264</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311,238</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288,600</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924,780</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813,063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FF0FC"/>
          </w:tcPr>
          <w:p>
            <w:pPr>
              <w:spacing w:after="0"/>
              <w:rPr>
                <w:sz w:val="18"/>
                <w:szCs w:val="18"/>
                <w:color w:val="auto"/>
              </w:rPr>
            </w:pPr>
          </w:p>
        </w:tc>
      </w:tr>
      <w:tr>
        <w:trPr>
          <w:trHeight w:val="216"/>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4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76,695</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8,591,684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18"/>
                <w:szCs w:val="18"/>
                <w:color w:val="auto"/>
              </w:rPr>
            </w:pPr>
          </w:p>
        </w:tc>
      </w:tr>
      <w:tr>
        <w:trPr>
          <w:trHeight w:val="216"/>
        </w:trPr>
        <w:tc>
          <w:tcPr>
            <w:tcW w:w="6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(76,119 )</w:t>
            </w: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(65,019 )</w:t>
            </w:r>
          </w:p>
        </w:tc>
      </w:tr>
      <w:tr>
        <w:trPr>
          <w:trHeight w:val="209"/>
        </w:trPr>
        <w:tc>
          <w:tcPr>
            <w:tcW w:w="684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8,515,565</w:t>
            </w:r>
          </w:p>
        </w:tc>
        <w:tc>
          <w:tcPr>
            <w:tcW w:w="4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-454025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-454025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March 31, 2022, 79.14% of the Company’s total loan portfolio consisted of real estate loans, with commercial real estate loans representing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75.32% of total loans. The Company’s real estate loans and construction loans are secured by real properties primarily located in California. As of March</w:t>
      </w:r>
    </w:p>
    <w:p>
      <w:pPr>
        <w:spacing w:after="0" w:line="234" w:lineRule="auto"/>
        <w:rPr>
          <w:sz w:val="20"/>
          <w:szCs w:val="20"/>
          <w:color w:val="auto"/>
        </w:rPr>
      </w:pPr>
      <w:r>
        <w:rPr>
          <w:rFonts w:ascii="Times New Roman" w:cs="Times New Roman" w:eastAsia="Times New Roman" w:hAnsi="Times New Roman"/>
          <w:sz w:val="18"/>
          <w:szCs w:val="18"/>
          <w:color w:val="auto"/>
        </w:rPr>
        <w:t>31, 2022, $504.5 million, or 7.80% of the total commercial real estate loans included loans secured by farmland, compared to $364.4 million, or 6.29%,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The loans secured by farmland included $134.5 million for loans secured by dairy &amp; livestock land and $370.0 million for loans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by agricultural land at March 31, 2022, compared to $134.9 million for loans secured by dairy &amp; livestock land and $229.5 million for loans</w:t>
      </w:r>
    </w:p>
    <w:p>
      <w:pPr>
        <w:spacing w:after="0" w:line="234" w:lineRule="auto"/>
        <w:rPr>
          <w:sz w:val="20"/>
          <w:szCs w:val="20"/>
          <w:color w:val="auto"/>
        </w:rPr>
      </w:pPr>
      <w:r>
        <w:rPr>
          <w:rFonts w:ascii="Times New Roman" w:cs="Times New Roman" w:eastAsia="Times New Roman" w:hAnsi="Times New Roman"/>
          <w:sz w:val="18"/>
          <w:szCs w:val="18"/>
          <w:color w:val="auto"/>
        </w:rPr>
        <w:t>secured by agricultural land at December 31, 2021. As of March 31, 2022, dairy &amp; livestock and agribusiness loans of $292.8 million were comprised of</w:t>
      </w:r>
    </w:p>
    <w:p>
      <w:pPr>
        <w:spacing w:after="0" w:line="235" w:lineRule="auto"/>
        <w:rPr>
          <w:sz w:val="20"/>
          <w:szCs w:val="20"/>
          <w:color w:val="auto"/>
        </w:rPr>
      </w:pPr>
      <w:r>
        <w:rPr>
          <w:rFonts w:ascii="Times New Roman" w:cs="Times New Roman" w:eastAsia="Times New Roman" w:hAnsi="Times New Roman"/>
          <w:sz w:val="18"/>
          <w:szCs w:val="18"/>
          <w:color w:val="auto"/>
        </w:rPr>
        <w:t>$241.7 million for dairy &amp; livestock loans and $51.1 million for agribusiness loans, compared to $386.2 million were comprised of $351.7 million for dairy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 livestock loans and $34.5 million for agribusiness loans at December 31, 2021.</w:t>
      </w:r>
    </w:p>
    <w:p>
      <w:pPr>
        <w:spacing w:after="0" w:line="192"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loans totaling $4.09 billion and $3.96 billion, respectively, were pledged to secure the borrowings and available lines of credit from the FHLB and the Federal Reserve Bank.</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were no outstanding loans held-for-sale as of March 31, 2022 and December 31, 2021.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02" w:lineRule="exact"/>
        <w:rPr>
          <w:sz w:val="20"/>
          <w:szCs w:val="20"/>
          <w:color w:val="auto"/>
        </w:rPr>
      </w:pPr>
    </w:p>
    <w:p>
      <w:pPr>
        <w:ind w:right="80" w:firstLine="469"/>
        <w:spacing w:after="0" w:line="282" w:lineRule="auto"/>
        <w:rPr>
          <w:sz w:val="20"/>
          <w:szCs w:val="20"/>
          <w:color w:val="auto"/>
        </w:rPr>
      </w:pPr>
      <w:r>
        <w:rPr>
          <w:rFonts w:ascii="Times New Roman" w:cs="Times New Roman" w:eastAsia="Times New Roman" w:hAnsi="Times New Roman"/>
          <w:sz w:val="18"/>
          <w:szCs w:val="18"/>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135" w:lineRule="exact"/>
        <w:rPr>
          <w:sz w:val="20"/>
          <w:szCs w:val="20"/>
          <w:color w:val="auto"/>
        </w:rPr>
      </w:pPr>
    </w:p>
    <w:p>
      <w:pPr>
        <w:jc w:val="both"/>
        <w:ind w:right="180" w:firstLine="469"/>
        <w:spacing w:after="0" w:line="246" w:lineRule="auto"/>
        <w:rPr>
          <w:sz w:val="20"/>
          <w:szCs w:val="20"/>
          <w:color w:val="auto"/>
        </w:rPr>
      </w:pPr>
      <w:r>
        <w:rPr>
          <w:rFonts w:ascii="Times New Roman" w:cs="Times New Roman" w:eastAsia="Times New Roman" w:hAnsi="Times New Roman"/>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1"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62" w:lineRule="exact"/>
        <w:rPr>
          <w:sz w:val="20"/>
          <w:szCs w:val="20"/>
          <w:color w:val="auto"/>
        </w:rPr>
      </w:pPr>
    </w:p>
    <w:p>
      <w:pPr>
        <w:ind w:right="80" w:firstLine="469"/>
        <w:spacing w:after="0" w:line="250" w:lineRule="auto"/>
        <w:rPr>
          <w:sz w:val="20"/>
          <w:szCs w:val="20"/>
          <w:color w:val="auto"/>
        </w:rPr>
      </w:pPr>
      <w:r>
        <w:rPr>
          <w:rFonts w:ascii="Times New Roman" w:cs="Times New Roman" w:eastAsia="Times New Roman" w:hAnsi="Times New Roman"/>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jc w:val="both"/>
        <w:ind w:right="160" w:firstLine="469"/>
        <w:spacing w:after="0" w:line="258" w:lineRule="auto"/>
        <w:rPr>
          <w:sz w:val="20"/>
          <w:szCs w:val="20"/>
          <w:color w:val="auto"/>
        </w:rPr>
      </w:pPr>
      <w:r>
        <w:rPr>
          <w:rFonts w:ascii="Times New Roman" w:cs="Times New Roman" w:eastAsia="Times New Roman" w:hAnsi="Times New Roman"/>
          <w:sz w:val="18"/>
          <w:szCs w:val="18"/>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69" w:lineRule="exact"/>
        <w:rPr>
          <w:sz w:val="20"/>
          <w:szCs w:val="20"/>
          <w:color w:val="auto"/>
        </w:rPr>
      </w:pPr>
    </w:p>
    <w:p>
      <w:pPr>
        <w:jc w:val="both"/>
        <w:ind w:right="220" w:firstLine="469"/>
        <w:spacing w:after="0" w:line="250" w:lineRule="auto"/>
        <w:rPr>
          <w:sz w:val="20"/>
          <w:szCs w:val="20"/>
          <w:color w:val="auto"/>
        </w:rPr>
      </w:pPr>
      <w:r>
        <w:rPr>
          <w:rFonts w:ascii="Times New Roman" w:cs="Times New Roman" w:eastAsia="Times New Roman" w:hAnsi="Times New Roman"/>
          <w:sz w:val="18"/>
          <w:szCs w:val="18"/>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77" w:lineRule="exact"/>
        <w:rPr>
          <w:sz w:val="20"/>
          <w:szCs w:val="20"/>
          <w:color w:val="auto"/>
        </w:rPr>
      </w:pPr>
    </w:p>
    <w:p>
      <w:pPr>
        <w:ind w:right="240" w:firstLine="469"/>
        <w:spacing w:after="0" w:line="266" w:lineRule="auto"/>
        <w:rPr>
          <w:sz w:val="20"/>
          <w:szCs w:val="20"/>
          <w:color w:val="auto"/>
        </w:rPr>
      </w:pPr>
      <w:r>
        <w:rPr>
          <w:rFonts w:ascii="Times New Roman" w:cs="Times New Roman" w:eastAsia="Times New Roman" w:hAnsi="Times New Roman"/>
          <w:sz w:val="18"/>
          <w:szCs w:val="18"/>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62" w:lineRule="exact"/>
        <w:rPr>
          <w:sz w:val="20"/>
          <w:szCs w:val="20"/>
          <w:color w:val="auto"/>
        </w:rPr>
      </w:pPr>
    </w:p>
    <w:p>
      <w:pPr>
        <w:jc w:val="both"/>
        <w:ind w:right="120" w:firstLine="469"/>
        <w:spacing w:after="0" w:line="250" w:lineRule="auto"/>
        <w:rPr>
          <w:sz w:val="20"/>
          <w:szCs w:val="20"/>
          <w:color w:val="auto"/>
        </w:rPr>
      </w:pPr>
      <w:r>
        <w:rPr>
          <w:rFonts w:ascii="Times New Roman" w:cs="Times New Roman" w:eastAsia="Times New Roman" w:hAnsi="Times New Roman"/>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77" w:lineRule="exact"/>
        <w:rPr>
          <w:sz w:val="20"/>
          <w:szCs w:val="20"/>
          <w:color w:val="auto"/>
        </w:rPr>
      </w:pPr>
    </w:p>
    <w:p>
      <w:pPr>
        <w:ind w:right="32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 summarizes loans by type and origination year, including acquired Suncrest loans in the year of origination, according to our internal risk ratings as of the dates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Revolving loans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converted to</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March 31, 2022</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2018</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cost basis</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6"/>
          </w:tcPr>
          <w:p>
            <w:pPr>
              <w:jc w:val="right"/>
              <w:ind w:right="57"/>
              <w:spacing w:after="0"/>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9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309,734</w:t>
            </w:r>
          </w:p>
        </w:tc>
        <w:tc>
          <w:tcPr>
            <w:tcW w:w="38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1,266,416</w:t>
            </w:r>
          </w:p>
        </w:tc>
        <w:tc>
          <w:tcPr>
            <w:tcW w:w="34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1,034,822</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650,330</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584,265</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2,195,297</w:t>
            </w:r>
          </w:p>
        </w:tc>
        <w:tc>
          <w:tcPr>
            <w:tcW w:w="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203,627</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34,407</w:t>
            </w:r>
          </w:p>
        </w:tc>
        <w:tc>
          <w:tcPr>
            <w:tcW w:w="36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6,278,898</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26,868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86,656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3,524</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14,153</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28,272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real</w:t>
            </w:r>
          </w:p>
        </w:tc>
        <w:tc>
          <w:tcPr>
            <w:tcW w:w="2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310,245</w:t>
            </w:r>
          </w:p>
        </w:tc>
        <w:tc>
          <w:tcPr>
            <w:tcW w:w="38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1,276,308</w:t>
            </w:r>
          </w:p>
        </w:tc>
        <w:tc>
          <w:tcPr>
            <w:tcW w:w="34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1,062,243</w:t>
            </w:r>
          </w:p>
        </w:tc>
        <w:tc>
          <w:tcPr>
            <w:tcW w:w="34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663,980</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612,528</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2,296,106</w:t>
            </w:r>
          </w:p>
        </w:tc>
        <w:tc>
          <w:tcPr>
            <w:tcW w:w="280" w:type="dxa"/>
            <w:vAlign w:val="bottom"/>
            <w:gridSpan w:val="3"/>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209,412</w:t>
            </w:r>
          </w:p>
        </w:tc>
        <w:tc>
          <w:tcPr>
            <w:tcW w:w="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40,019</w:t>
            </w:r>
          </w:p>
        </w:tc>
        <w:tc>
          <w:tcPr>
            <w:tcW w:w="36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6,470,841</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gridSpan w:val="3"/>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38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20,766</w:t>
            </w:r>
          </w:p>
        </w:tc>
        <w:tc>
          <w:tcPr>
            <w:tcW w:w="3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24,308</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Construction</w:t>
            </w:r>
          </w:p>
        </w:tc>
        <w:tc>
          <w:tcPr>
            <w:tcW w:w="2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38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20,766</w:t>
            </w:r>
          </w:p>
        </w:tc>
        <w:tc>
          <w:tcPr>
            <w:tcW w:w="34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24,308</w:t>
            </w:r>
          </w:p>
        </w:tc>
        <w:tc>
          <w:tcPr>
            <w:tcW w:w="3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5,171</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20,083</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73,478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29,451</w:t>
            </w:r>
          </w:p>
        </w:tc>
        <w:tc>
          <w:tcPr>
            <w:tcW w:w="38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65,744</w:t>
            </w:r>
          </w:p>
        </w:tc>
        <w:tc>
          <w:tcPr>
            <w:tcW w:w="34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36,025</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11,881</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31,312</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116,138</w:t>
            </w:r>
          </w:p>
        </w:tc>
        <w:tc>
          <w:tcPr>
            <w:tcW w:w="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290,752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9,857</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10,625</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29,451</w:t>
            </w:r>
          </w:p>
        </w:tc>
        <w:tc>
          <w:tcPr>
            <w:tcW w:w="18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65,744</w:t>
            </w:r>
          </w:p>
        </w:tc>
        <w:tc>
          <w:tcPr>
            <w:tcW w:w="16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37,879</w:t>
            </w:r>
          </w:p>
        </w:tc>
        <w:tc>
          <w:tcPr>
            <w:tcW w:w="18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13,222</w:t>
            </w:r>
          </w:p>
        </w:tc>
        <w:tc>
          <w:tcPr>
            <w:tcW w:w="18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33,522</w:t>
            </w:r>
          </w:p>
        </w:tc>
        <w:tc>
          <w:tcPr>
            <w:tcW w:w="18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131,219</w:t>
            </w:r>
          </w:p>
        </w:tc>
        <w:tc>
          <w:tcPr>
            <w:tcW w:w="1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4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311,238</w:t>
            </w:r>
          </w:p>
        </w:tc>
        <w:tc>
          <w:tcPr>
            <w:tcW w:w="4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112,623</w:t>
            </w:r>
          </w:p>
        </w:tc>
        <w:tc>
          <w:tcPr>
            <w:tcW w:w="3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7,867</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113,320</w:t>
            </w:r>
          </w:p>
        </w:tc>
        <w:tc>
          <w:tcPr>
            <w:tcW w:w="3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7,869</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9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44,239</w:t>
            </w:r>
          </w:p>
        </w:tc>
        <w:tc>
          <w:tcPr>
            <w:tcW w:w="38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163,488</w:t>
            </w:r>
          </w:p>
        </w:tc>
        <w:tc>
          <w:tcPr>
            <w:tcW w:w="34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90,575</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119,147</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53,297</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112,214</w:t>
            </w:r>
          </w:p>
        </w:tc>
        <w:tc>
          <w:tcPr>
            <w:tcW w:w="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307,641</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36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897,555</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4,381</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10,030</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and</w:t>
            </w:r>
          </w:p>
        </w:tc>
        <w:tc>
          <w:tcPr>
            <w:tcW w:w="2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44,239</w:t>
            </w:r>
          </w:p>
        </w:tc>
        <w:tc>
          <w:tcPr>
            <w:tcW w:w="180" w:type="dxa"/>
            <w:vAlign w:val="bottom"/>
            <w:gridSpan w:val="2"/>
            <w:vMerge w:val="restart"/>
            <w:shd w:val="clear" w:color="auto" w:fill="CFF0FC"/>
          </w:tcPr>
          <w:p>
            <w:pPr>
              <w:spacing w:after="0"/>
              <w:rPr>
                <w:sz w:val="9"/>
                <w:szCs w:val="9"/>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165,583</w:t>
            </w:r>
          </w:p>
        </w:tc>
        <w:tc>
          <w:tcPr>
            <w:tcW w:w="16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92,633</w:t>
            </w:r>
          </w:p>
        </w:tc>
        <w:tc>
          <w:tcPr>
            <w:tcW w:w="180" w:type="dxa"/>
            <w:vAlign w:val="bottom"/>
            <w:gridSpan w:val="2"/>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122,880</w:t>
            </w:r>
          </w:p>
        </w:tc>
        <w:tc>
          <w:tcPr>
            <w:tcW w:w="18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59,465</w:t>
            </w:r>
          </w:p>
        </w:tc>
        <w:tc>
          <w:tcPr>
            <w:tcW w:w="18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113,542</w:t>
            </w:r>
          </w:p>
        </w:tc>
        <w:tc>
          <w:tcPr>
            <w:tcW w:w="140" w:type="dxa"/>
            <w:vAlign w:val="bottom"/>
            <w:gridSpan w:val="2"/>
            <w:vMerge w:val="restart"/>
            <w:shd w:val="clear" w:color="auto" w:fill="CFF0FC"/>
          </w:tcPr>
          <w:p>
            <w:pPr>
              <w:spacing w:after="0"/>
              <w:rPr>
                <w:sz w:val="9"/>
                <w:szCs w:val="9"/>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316,489</w:t>
            </w:r>
          </w:p>
        </w:tc>
        <w:tc>
          <w:tcPr>
            <w:tcW w:w="140" w:type="dxa"/>
            <w:vAlign w:val="bottom"/>
            <w:gridSpan w:val="2"/>
            <w:vMerge w:val="restart"/>
            <w:shd w:val="clear" w:color="auto" w:fill="CFF0FC"/>
          </w:tcPr>
          <w:p>
            <w:pPr>
              <w:spacing w:after="0"/>
              <w:rPr>
                <w:sz w:val="9"/>
                <w:szCs w:val="9"/>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9,949</w:t>
            </w:r>
          </w:p>
        </w:tc>
        <w:tc>
          <w:tcPr>
            <w:tcW w:w="160" w:type="dxa"/>
            <w:vAlign w:val="bottom"/>
            <w:gridSpan w:val="2"/>
            <w:vMerge w:val="restart"/>
            <w:shd w:val="clear" w:color="auto" w:fill="CFF0FC"/>
          </w:tcPr>
          <w:p>
            <w:pPr>
              <w:spacing w:after="0"/>
              <w:rPr>
                <w:sz w:val="9"/>
                <w:szCs w:val="9"/>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924,780</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-3608070</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-3608070</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-3608070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-3608070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-3608070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-3608070</wp:posOffset>
            </wp:positionV>
            <wp:extent cx="260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-3608070</wp:posOffset>
            </wp:positionV>
            <wp:extent cx="260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-3608070</wp:posOffset>
            </wp:positionV>
            <wp:extent cx="25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-3608070</wp:posOffset>
            </wp:positionV>
            <wp:extent cx="260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-2879725</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-2879725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-2879725</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-2879725</wp:posOffset>
            </wp:positionV>
            <wp:extent cx="342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-2879725</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-2879725</wp:posOffset>
            </wp:positionV>
            <wp:extent cx="260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-2879725</wp:posOffset>
            </wp:positionV>
            <wp:extent cx="260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-2879725</wp:posOffset>
            </wp:positionV>
            <wp:extent cx="254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-2879725</wp:posOffset>
            </wp:positionV>
            <wp:extent cx="260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-1851025</wp:posOffset>
            </wp:positionV>
            <wp:extent cx="342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-1851025</wp:posOffset>
            </wp:positionV>
            <wp:extent cx="342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-1851025</wp:posOffset>
            </wp:positionV>
            <wp:extent cx="342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-1851025</wp:posOffset>
            </wp:positionV>
            <wp:extent cx="342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-1851025</wp:posOffset>
            </wp:positionV>
            <wp:extent cx="342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-1851025</wp:posOffset>
            </wp:positionV>
            <wp:extent cx="26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-1851025</wp:posOffset>
            </wp:positionV>
            <wp:extent cx="260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-1851025</wp:posOffset>
            </wp:positionV>
            <wp:extent cx="25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-1851025</wp:posOffset>
            </wp:positionV>
            <wp:extent cx="26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-1122045</wp:posOffset>
            </wp:positionV>
            <wp:extent cx="342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-1122045</wp:posOffset>
            </wp:positionV>
            <wp:extent cx="34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-1122045</wp:posOffset>
            </wp:positionV>
            <wp:extent cx="34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-1122045</wp:posOffset>
            </wp:positionV>
            <wp:extent cx="342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-1122045</wp:posOffset>
            </wp:positionV>
            <wp:extent cx="342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-1122045</wp:posOffset>
            </wp:positionV>
            <wp:extent cx="260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-1122045</wp:posOffset>
            </wp:positionV>
            <wp:extent cx="26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-1122045</wp:posOffset>
            </wp:positionV>
            <wp:extent cx="254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-1122045</wp:posOffset>
            </wp:positionV>
            <wp:extent cx="26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34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260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260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254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5"/>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Revolving loans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8"/>
              </w:rPr>
              <w:t>converted to</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March 31, 2022</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2019</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2018</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cost basis</w:t>
            </w: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6"/>
          </w:tcPr>
          <w:p>
            <w:pPr>
              <w:jc w:val="right"/>
              <w:ind w:right="57"/>
              <w:spacing w:after="0"/>
              <w:rPr>
                <w:sz w:val="20"/>
                <w:szCs w:val="20"/>
                <w:color w:val="auto"/>
              </w:rPr>
            </w:pPr>
            <w:r>
              <w:rPr>
                <w:rFonts w:ascii="Times New Roman" w:cs="Times New Roman" w:eastAsia="Times New Roman" w:hAnsi="Times New Roman"/>
                <w:sz w:val="13"/>
                <w:szCs w:val="13"/>
                <w:i w:val="1"/>
                <w:iCs w:val="1"/>
                <w:color w:val="auto"/>
                <w:w w:val="96"/>
              </w:rPr>
              <w:t>(Dollars in thousands)</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96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38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4,012</w:t>
            </w:r>
          </w:p>
        </w:tc>
        <w:tc>
          <w:tcPr>
            <w:tcW w:w="34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263,440</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36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275,387</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3,426</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12,167</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Dairy &amp; livestock</w:t>
            </w:r>
          </w:p>
        </w:tc>
        <w:tc>
          <w:tcPr>
            <w:tcW w:w="2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2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38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4,012</w:t>
            </w:r>
          </w:p>
        </w:tc>
        <w:tc>
          <w:tcPr>
            <w:tcW w:w="34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3,138</w:t>
            </w:r>
          </w:p>
        </w:tc>
        <w:tc>
          <w:tcPr>
            <w:tcW w:w="34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2,232</w:t>
            </w:r>
          </w:p>
        </w:tc>
        <w:tc>
          <w:tcPr>
            <w:tcW w:w="280" w:type="dxa"/>
            <w:vAlign w:val="bottom"/>
            <w:gridSpan w:val="3"/>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270,813</w:t>
            </w:r>
          </w:p>
        </w:tc>
        <w:tc>
          <w:tcPr>
            <w:tcW w:w="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7,731</w:t>
            </w:r>
          </w:p>
        </w:tc>
        <w:tc>
          <w:tcPr>
            <w:tcW w:w="36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292,784</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340" w:type="dxa"/>
            <w:vAlign w:val="bottom"/>
            <w:gridSpan w:val="3"/>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4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62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80" w:type="dxa"/>
            <w:vAlign w:val="bottom"/>
            <w:gridSpan w:val="3"/>
            <w:vMerge w:val="continue"/>
            <w:shd w:val="clear" w:color="auto" w:fill="CFF0FC"/>
          </w:tcPr>
          <w:p>
            <w:pPr>
              <w:spacing w:after="0"/>
              <w:rPr>
                <w:sz w:val="13"/>
                <w:szCs w:val="13"/>
                <w:color w:val="auto"/>
              </w:rPr>
            </w:pPr>
          </w:p>
        </w:tc>
        <w:tc>
          <w:tcPr>
            <w:tcW w:w="780" w:type="dxa"/>
            <w:vAlign w:val="bottom"/>
            <w:vMerge w:val="continue"/>
            <w:shd w:val="clear" w:color="auto" w:fill="CFF0FC"/>
          </w:tcPr>
          <w:p>
            <w:pPr>
              <w:spacing w:after="0"/>
              <w:rPr>
                <w:sz w:val="13"/>
                <w:szCs w:val="13"/>
                <w:color w:val="auto"/>
              </w:rPr>
            </w:pPr>
          </w:p>
        </w:tc>
        <w:tc>
          <w:tcPr>
            <w:tcW w:w="240" w:type="dxa"/>
            <w:vAlign w:val="bottom"/>
            <w:gridSpan w:val="3"/>
            <w:vMerge w:val="continue"/>
            <w:shd w:val="clear" w:color="auto" w:fill="CFF0FC"/>
          </w:tcPr>
          <w:p>
            <w:pPr>
              <w:spacing w:after="0"/>
              <w:rPr>
                <w:sz w:val="13"/>
                <w:szCs w:val="13"/>
                <w:color w:val="auto"/>
              </w:rPr>
            </w:pPr>
          </w:p>
        </w:tc>
        <w:tc>
          <w:tcPr>
            <w:tcW w:w="84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2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13,087</w:t>
            </w:r>
          </w:p>
        </w:tc>
        <w:tc>
          <w:tcPr>
            <w:tcW w:w="3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5,196</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34,896</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Municipal lease</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2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13,087</w:t>
            </w:r>
          </w:p>
        </w:tc>
        <w:tc>
          <w:tcPr>
            <w:tcW w:w="34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7,416</w:t>
            </w:r>
          </w:p>
        </w:tc>
        <w:tc>
          <w:tcPr>
            <w:tcW w:w="3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5,196</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35,427</w:t>
            </w:r>
          </w:p>
        </w:tc>
        <w:tc>
          <w:tcPr>
            <w:tcW w:w="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65,543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29,913</w:t>
            </w:r>
          </w:p>
        </w:tc>
        <w:tc>
          <w:tcPr>
            <w:tcW w:w="38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48,149</w:t>
            </w:r>
          </w:p>
        </w:tc>
        <w:tc>
          <w:tcPr>
            <w:tcW w:w="34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47,066</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39,231</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18,257</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69,355</w:t>
            </w:r>
          </w:p>
        </w:tc>
        <w:tc>
          <w:tcPr>
            <w:tcW w:w="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252,422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SFR mortgage</w:t>
            </w:r>
          </w:p>
        </w:tc>
        <w:tc>
          <w:tcPr>
            <w:tcW w:w="2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29,913</w:t>
            </w:r>
          </w:p>
        </w:tc>
        <w:tc>
          <w:tcPr>
            <w:tcW w:w="38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48,149</w:t>
            </w:r>
          </w:p>
        </w:tc>
        <w:tc>
          <w:tcPr>
            <w:tcW w:w="34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48,027</w:t>
            </w:r>
          </w:p>
        </w:tc>
        <w:tc>
          <w:tcPr>
            <w:tcW w:w="34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39,231</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18,257</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70,705</w:t>
            </w:r>
          </w:p>
        </w:tc>
        <w:tc>
          <w:tcPr>
            <w:tcW w:w="280" w:type="dxa"/>
            <w:vAlign w:val="bottom"/>
            <w:gridSpan w:val="3"/>
            <w:vMerge w:val="restart"/>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2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36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255,136</w:t>
            </w: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40" w:type="dxa"/>
            <w:vAlign w:val="bottom"/>
            <w:gridSpan w:val="3"/>
            <w:vMerge w:val="continue"/>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2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4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4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5,613</w:t>
            </w:r>
          </w:p>
        </w:tc>
        <w:tc>
          <w:tcPr>
            <w:tcW w:w="38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4,379</w:t>
            </w:r>
          </w:p>
        </w:tc>
        <w:tc>
          <w:tcPr>
            <w:tcW w:w="3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34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55,811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w:t>
            </w:r>
          </w:p>
        </w:tc>
        <w:tc>
          <w:tcPr>
            <w:tcW w:w="36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Consumer and</w:t>
            </w:r>
          </w:p>
        </w:tc>
        <w:tc>
          <w:tcPr>
            <w:tcW w:w="2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5,613</w:t>
            </w:r>
          </w:p>
        </w:tc>
        <w:tc>
          <w:tcPr>
            <w:tcW w:w="38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5,150</w:t>
            </w:r>
          </w:p>
        </w:tc>
        <w:tc>
          <w:tcPr>
            <w:tcW w:w="34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34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1,487</w:t>
            </w:r>
          </w:p>
        </w:tc>
        <w:tc>
          <w:tcPr>
            <w:tcW w:w="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56,406</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4,525</w:t>
            </w:r>
          </w:p>
        </w:tc>
        <w:tc>
          <w:tcPr>
            <w:tcW w:w="36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76,695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422,849</w:t>
            </w:r>
          </w:p>
        </w:tc>
        <w:tc>
          <w:tcPr>
            <w:tcW w:w="38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1,698,664</w:t>
            </w:r>
          </w:p>
        </w:tc>
        <w:tc>
          <w:tcPr>
            <w:tcW w:w="34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1,253,006</w:t>
            </w:r>
          </w:p>
        </w:tc>
        <w:tc>
          <w:tcPr>
            <w:tcW w:w="34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827,483</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695,279</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2,530,706</w:t>
            </w:r>
          </w:p>
        </w:tc>
        <w:tc>
          <w:tcPr>
            <w:tcW w:w="2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851,254</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44,971</w:t>
            </w:r>
          </w:p>
        </w:tc>
        <w:tc>
          <w:tcPr>
            <w:tcW w:w="36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8,324,212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9,550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31,735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3,905</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13,926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27,494</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7,441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10,008</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64,108</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423,360</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1,712,119</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1,285,302</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846,207</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737,496</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2,650,718</w:t>
            </w: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873,855</w:t>
            </w: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62,627</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8,591,684</w:t>
            </w:r>
          </w:p>
        </w:tc>
        <w:tc>
          <w:tcPr>
            <w:tcW w:w="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-3865245</wp:posOffset>
            </wp:positionV>
            <wp:extent cx="342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-3865245</wp:posOffset>
            </wp:positionV>
            <wp:extent cx="342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-3865245</wp:posOffset>
            </wp:positionV>
            <wp:extent cx="342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-3865245</wp:posOffset>
            </wp:positionV>
            <wp:extent cx="431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-3865245</wp:posOffset>
            </wp:positionV>
            <wp:extent cx="342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-3865245</wp:posOffset>
            </wp:positionV>
            <wp:extent cx="26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-3865245</wp:posOffset>
            </wp:positionV>
            <wp:extent cx="260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-3865245</wp:posOffset>
            </wp:positionV>
            <wp:extent cx="254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-3865245</wp:posOffset>
            </wp:positionV>
            <wp:extent cx="260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-3051175</wp:posOffset>
            </wp:positionV>
            <wp:extent cx="342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-3051175</wp:posOffset>
            </wp:positionV>
            <wp:extent cx="342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-3051175</wp:posOffset>
            </wp:positionV>
            <wp:extent cx="342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-3051175</wp:posOffset>
            </wp:positionV>
            <wp:extent cx="431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-3051175</wp:posOffset>
            </wp:positionV>
            <wp:extent cx="342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-3051175</wp:posOffset>
            </wp:positionV>
            <wp:extent cx="26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-3051175</wp:posOffset>
            </wp:positionV>
            <wp:extent cx="260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-3051175</wp:posOffset>
            </wp:positionV>
            <wp:extent cx="254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-3051175</wp:posOffset>
            </wp:positionV>
            <wp:extent cx="260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-1868170</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-1868170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-1868170</wp:posOffset>
            </wp:positionV>
            <wp:extent cx="342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-1868170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-1868170</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-1868170</wp:posOffset>
            </wp:positionV>
            <wp:extent cx="260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-1868170</wp:posOffset>
            </wp:positionV>
            <wp:extent cx="260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-1868170</wp:posOffset>
            </wp:positionV>
            <wp:extent cx="254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-1868170</wp:posOffset>
            </wp:positionV>
            <wp:extent cx="260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-1053465</wp:posOffset>
            </wp:positionV>
            <wp:extent cx="342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-1053465</wp:posOffset>
            </wp:positionV>
            <wp:extent cx="342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-1053465</wp:posOffset>
            </wp:positionV>
            <wp:extent cx="34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-1053465</wp:posOffset>
            </wp:positionV>
            <wp:extent cx="431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-1053465</wp:posOffset>
            </wp:positionV>
            <wp:extent cx="34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-1053465</wp:posOffset>
            </wp:positionV>
            <wp:extent cx="26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-1053465</wp:posOffset>
            </wp:positionV>
            <wp:extent cx="26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-1053465</wp:posOffset>
            </wp:positionV>
            <wp:extent cx="254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-1053465</wp:posOffset>
            </wp:positionV>
            <wp:extent cx="26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-24765</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-7620</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431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260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260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260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260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254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254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Revolving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Revolving loans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5"/>
            <w:vMerge w:val="restart"/>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7"/>
              <w:spacing w:after="0" w:line="124" w:lineRule="exact"/>
              <w:rPr>
                <w:sz w:val="20"/>
                <w:szCs w:val="20"/>
                <w:color w:val="auto"/>
              </w:rPr>
            </w:pPr>
            <w:r>
              <w:rPr>
                <w:rFonts w:ascii="Times New Roman" w:cs="Times New Roman" w:eastAsia="Times New Roman" w:hAnsi="Times New Roman"/>
                <w:sz w:val="13"/>
                <w:szCs w:val="13"/>
                <w:b w:val="1"/>
                <w:bCs w:val="1"/>
                <w:color w:val="auto"/>
                <w:w w:val="96"/>
              </w:rPr>
              <w:t>loans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5"/>
              </w:rPr>
              <w:t>converted to</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57"/>
              <w:spacing w:after="0" w:line="146" w:lineRule="exact"/>
              <w:rPr>
                <w:sz w:val="20"/>
                <w:szCs w:val="20"/>
                <w:color w:val="auto"/>
              </w:rPr>
            </w:pPr>
            <w:r>
              <w:rPr>
                <w:rFonts w:ascii="Times New Roman" w:cs="Times New Roman" w:eastAsia="Times New Roman" w:hAnsi="Times New Roman"/>
                <w:sz w:val="13"/>
                <w:szCs w:val="13"/>
                <w:b w:val="1"/>
                <w:bCs w:val="1"/>
                <w:color w:val="auto"/>
                <w:w w:val="95"/>
              </w:rPr>
              <w:t>cost basis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6"/>
          </w:tcPr>
          <w:p>
            <w:pPr>
              <w:jc w:val="right"/>
              <w:ind w:right="77"/>
              <w:spacing w:after="0"/>
              <w:rPr>
                <w:sz w:val="20"/>
                <w:szCs w:val="20"/>
                <w:color w:val="auto"/>
              </w:rPr>
            </w:pPr>
            <w:r>
              <w:rPr>
                <w:rFonts w:ascii="Times New Roman" w:cs="Times New Roman" w:eastAsia="Times New Roman" w:hAnsi="Times New Roman"/>
                <w:sz w:val="13"/>
                <w:szCs w:val="13"/>
                <w:i w:val="1"/>
                <w:iCs w:val="1"/>
                <w:color w:val="auto"/>
                <w:w w:val="93"/>
              </w:rPr>
              <w:t>(Dollars in thousands)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Commercial real estate</w:t>
            </w:r>
          </w:p>
        </w:tc>
        <w:tc>
          <w:tcPr>
            <w:tcW w:w="2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1,137,714</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963,697</w:t>
            </w:r>
          </w:p>
        </w:tc>
        <w:tc>
          <w:tcPr>
            <w:tcW w:w="4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591,202</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534,468</w:t>
            </w:r>
          </w:p>
        </w:tc>
        <w:tc>
          <w:tcPr>
            <w:tcW w:w="40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484,721</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1,704,267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156,841</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33,564</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5,606,474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6,933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real</w:t>
            </w: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1,140,847</w:t>
            </w:r>
          </w:p>
        </w:tc>
        <w:tc>
          <w:tcPr>
            <w:tcW w:w="42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984,337</w:t>
            </w:r>
          </w:p>
        </w:tc>
        <w:tc>
          <w:tcPr>
            <w:tcW w:w="400" w:type="dxa"/>
            <w:vAlign w:val="bottom"/>
            <w:gridSpan w:val="3"/>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608,538</w:t>
            </w:r>
          </w:p>
        </w:tc>
        <w:tc>
          <w:tcPr>
            <w:tcW w:w="38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557,498</w:t>
            </w:r>
          </w:p>
        </w:tc>
        <w:tc>
          <w:tcPr>
            <w:tcW w:w="40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532,629</w:t>
            </w:r>
          </w:p>
        </w:tc>
        <w:tc>
          <w:tcPr>
            <w:tcW w:w="40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1,755,641</w:t>
            </w:r>
          </w:p>
        </w:tc>
        <w:tc>
          <w:tcPr>
            <w:tcW w:w="32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169,762</w:t>
            </w:r>
          </w:p>
        </w:tc>
        <w:tc>
          <w:tcPr>
            <w:tcW w:w="30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40,478</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5,789,730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estate loans:</w:t>
            </w:r>
          </w:p>
        </w:tc>
        <w:tc>
          <w:tcPr>
            <w:tcW w:w="20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00" w:type="dxa"/>
            <w:vAlign w:val="bottom"/>
            <w:gridSpan w:val="3"/>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2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Construction loans:</w:t>
            </w: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10,511</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25,262</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Construction</w:t>
            </w: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10,511</w:t>
            </w:r>
          </w:p>
        </w:tc>
        <w:tc>
          <w:tcPr>
            <w:tcW w:w="42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15,896</w:t>
            </w:r>
          </w:p>
        </w:tc>
        <w:tc>
          <w:tcPr>
            <w:tcW w:w="40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7,236</w:t>
            </w:r>
          </w:p>
        </w:tc>
        <w:tc>
          <w:tcPr>
            <w:tcW w:w="3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3,359</w:t>
            </w:r>
          </w:p>
        </w:tc>
        <w:tc>
          <w:tcPr>
            <w:tcW w:w="40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25,262</w:t>
            </w:r>
          </w:p>
        </w:tc>
        <w:tc>
          <w:tcPr>
            <w:tcW w:w="3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62,264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0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SBA loans:</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70,929</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4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36,068</w:t>
            </w:r>
          </w:p>
        </w:tc>
        <w:tc>
          <w:tcPr>
            <w:tcW w:w="40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38,504</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78,527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5,342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loans:</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70,929</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36,468</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11,129</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36,853</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46,652</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86,569</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288,600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SBA - PPP loans: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183,614</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SBA - PPP loans: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183,614</w:t>
            </w:r>
          </w:p>
        </w:tc>
        <w:tc>
          <w:tcPr>
            <w:tcW w:w="42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2,971</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0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Commercial and</w:t>
            </w:r>
          </w:p>
        </w:tc>
        <w:tc>
          <w:tcPr>
            <w:tcW w:w="2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145,494</w:t>
            </w:r>
          </w:p>
        </w:tc>
        <w:tc>
          <w:tcPr>
            <w:tcW w:w="42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81,944</w:t>
            </w:r>
          </w:p>
        </w:tc>
        <w:tc>
          <w:tcPr>
            <w:tcW w:w="40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126,647</w:t>
            </w:r>
          </w:p>
        </w:tc>
        <w:tc>
          <w:tcPr>
            <w:tcW w:w="38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54,690</w:t>
            </w:r>
          </w:p>
        </w:tc>
        <w:tc>
          <w:tcPr>
            <w:tcW w:w="40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32,455</w:t>
            </w:r>
          </w:p>
        </w:tc>
        <w:tc>
          <w:tcPr>
            <w:tcW w:w="40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73,600</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267,659</w:t>
            </w:r>
          </w:p>
        </w:tc>
        <w:tc>
          <w:tcPr>
            <w:tcW w:w="3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6,992</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789,481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3,073</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Commercial and</w:t>
            </w: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147,294</w:t>
            </w:r>
          </w:p>
        </w:tc>
        <w:tc>
          <w:tcPr>
            <w:tcW w:w="220" w:type="dxa"/>
            <w:vAlign w:val="bottom"/>
            <w:gridSpan w:val="2"/>
            <w:vMerge w:val="restart"/>
            <w:shd w:val="clear" w:color="auto" w:fill="CFF0FC"/>
          </w:tcPr>
          <w:p>
            <w:pPr>
              <w:spacing w:after="0"/>
              <w:rPr>
                <w:sz w:val="9"/>
                <w:szCs w:val="9"/>
                <w:color w:val="auto"/>
              </w:rPr>
            </w:pP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83,879</w:t>
            </w:r>
          </w:p>
        </w:tc>
        <w:tc>
          <w:tcPr>
            <w:tcW w:w="240" w:type="dxa"/>
            <w:vAlign w:val="bottom"/>
            <w:gridSpan w:val="2"/>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127,376</w:t>
            </w:r>
          </w:p>
        </w:tc>
        <w:tc>
          <w:tcPr>
            <w:tcW w:w="220" w:type="dxa"/>
            <w:vAlign w:val="bottom"/>
            <w:gridSpan w:val="2"/>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57,798</w:t>
            </w:r>
          </w:p>
        </w:tc>
        <w:tc>
          <w:tcPr>
            <w:tcW w:w="240" w:type="dxa"/>
            <w:vAlign w:val="bottom"/>
            <w:gridSpan w:val="2"/>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33,354</w:t>
            </w:r>
          </w:p>
        </w:tc>
        <w:tc>
          <w:tcPr>
            <w:tcW w:w="22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74,101</w:t>
            </w:r>
          </w:p>
        </w:tc>
        <w:tc>
          <w:tcPr>
            <w:tcW w:w="200" w:type="dxa"/>
            <w:vAlign w:val="bottom"/>
            <w:gridSpan w:val="2"/>
            <w:vMerge w:val="restart"/>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279,019</w:t>
            </w:r>
          </w:p>
        </w:tc>
        <w:tc>
          <w:tcPr>
            <w:tcW w:w="200" w:type="dxa"/>
            <w:vAlign w:val="bottom"/>
            <w:gridSpan w:val="2"/>
            <w:vMerge w:val="restart"/>
            <w:shd w:val="clear" w:color="auto" w:fill="CFF0FC"/>
          </w:tcPr>
          <w:p>
            <w:pPr>
              <w:spacing w:after="0"/>
              <w:rPr>
                <w:sz w:val="9"/>
                <w:szCs w:val="9"/>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10,242</w:t>
            </w:r>
          </w:p>
        </w:tc>
        <w:tc>
          <w:tcPr>
            <w:tcW w:w="20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813,063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industrial loans:</w:t>
            </w: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-3608070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-3608070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-3608070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-3608070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-3608070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-3608070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-3608070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-3608070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-3608070</wp:posOffset>
            </wp:positionV>
            <wp:extent cx="596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-2879725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-2879725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-2879725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-2879725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-2879725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-2879725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-2879725</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-2879725</wp:posOffset>
            </wp:positionV>
            <wp:extent cx="596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-2879725</wp:posOffset>
            </wp:positionV>
            <wp:extent cx="596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-1851025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-1851025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-1851025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-1851025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-1851025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-1851025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-1851025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-1851025</wp:posOffset>
            </wp:positionV>
            <wp:extent cx="596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-1851025</wp:posOffset>
            </wp:positionV>
            <wp:extent cx="596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-1122045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-1122045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-1122045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-1122045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-1122045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-1122045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-1122045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-1122045</wp:posOffset>
            </wp:positionV>
            <wp:extent cx="59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-1122045</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Origination Year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Revolving loans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Revolving loans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20" w:type="dxa"/>
            <w:vAlign w:val="bottom"/>
            <w:tcBorders>
              <w:bottom w:val="single" w:sz="8" w:color="auto"/>
            </w:tcBorders>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December 31, 2021</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84"/>
              </w:rPr>
              <w:t>2018</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cost basis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17"/>
              <w:spacing w:after="0" w:line="146" w:lineRule="exact"/>
              <w:rPr>
                <w:sz w:val="20"/>
                <w:szCs w:val="20"/>
                <w:color w:val="auto"/>
              </w:rPr>
            </w:pPr>
            <w:r>
              <w:rPr>
                <w:rFonts w:ascii="Times New Roman" w:cs="Times New Roman" w:eastAsia="Times New Roman" w:hAnsi="Times New Roman"/>
                <w:sz w:val="13"/>
                <w:szCs w:val="13"/>
                <w:b w:val="1"/>
                <w:bCs w:val="1"/>
                <w:color w:val="auto"/>
              </w:rPr>
              <w:t>term loans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6"/>
          </w:tcPr>
          <w:p>
            <w:pPr>
              <w:jc w:val="right"/>
              <w:ind w:right="37"/>
              <w:spacing w:after="0"/>
              <w:rPr>
                <w:sz w:val="20"/>
                <w:szCs w:val="20"/>
                <w:color w:val="auto"/>
              </w:rPr>
            </w:pPr>
            <w:r>
              <w:rPr>
                <w:rFonts w:ascii="Times New Roman" w:cs="Times New Roman" w:eastAsia="Times New Roman" w:hAnsi="Times New Roman"/>
                <w:sz w:val="13"/>
                <w:szCs w:val="13"/>
                <w:i w:val="1"/>
                <w:iCs w:val="1"/>
                <w:color w:val="auto"/>
                <w:w w:val="89"/>
              </w:rPr>
              <w:t>(Dollars 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Dairy &amp; livestock and</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agribusiness loans:</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46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36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364,312</w:t>
            </w:r>
          </w:p>
        </w:tc>
        <w:tc>
          <w:tcPr>
            <w:tcW w:w="2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6,676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Dairy &amp; livestock</w:t>
            </w: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and agribusiness</w:t>
            </w: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2,808</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46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1,072</w:t>
            </w:r>
          </w:p>
        </w:tc>
        <w:tc>
          <w:tcPr>
            <w:tcW w:w="36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80" w:type="dxa"/>
            <w:vAlign w:val="bottom"/>
            <w:gridSpan w:val="3"/>
            <w:vMerge w:val="restart"/>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371,291</w:t>
            </w:r>
          </w:p>
        </w:tc>
        <w:tc>
          <w:tcPr>
            <w:tcW w:w="280" w:type="dxa"/>
            <w:vAlign w:val="bottom"/>
            <w:gridSpan w:val="3"/>
            <w:vMerge w:val="restart"/>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8,431</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386,219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shd w:val="clear" w:color="auto" w:fill="CFF0FC"/>
          </w:tcPr>
          <w:p>
            <w:pPr>
              <w:spacing w:after="0"/>
              <w:rPr>
                <w:sz w:val="13"/>
                <w:szCs w:val="13"/>
                <w:color w:val="auto"/>
              </w:rPr>
            </w:pPr>
          </w:p>
        </w:tc>
        <w:tc>
          <w:tcPr>
            <w:tcW w:w="680" w:type="dxa"/>
            <w:vAlign w:val="bottom"/>
            <w:vMerge w:val="continue"/>
            <w:shd w:val="clear" w:color="auto" w:fill="CFF0FC"/>
          </w:tcPr>
          <w:p>
            <w:pPr>
              <w:spacing w:after="0"/>
              <w:rPr>
                <w:sz w:val="13"/>
                <w:szCs w:val="13"/>
                <w:color w:val="auto"/>
              </w:rPr>
            </w:pPr>
          </w:p>
        </w:tc>
        <w:tc>
          <w:tcPr>
            <w:tcW w:w="40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380" w:type="dxa"/>
            <w:vAlign w:val="bottom"/>
            <w:gridSpan w:val="3"/>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460" w:type="dxa"/>
            <w:vAlign w:val="bottom"/>
            <w:gridSpan w:val="3"/>
            <w:vMerge w:val="continue"/>
            <w:shd w:val="clear" w:color="auto" w:fill="CFF0FC"/>
          </w:tcPr>
          <w:p>
            <w:pPr>
              <w:spacing w:after="0"/>
              <w:rPr>
                <w:sz w:val="13"/>
                <w:szCs w:val="13"/>
                <w:color w:val="auto"/>
              </w:rPr>
            </w:pPr>
          </w:p>
        </w:tc>
        <w:tc>
          <w:tcPr>
            <w:tcW w:w="50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58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80" w:type="dxa"/>
            <w:vAlign w:val="bottom"/>
            <w:gridSpan w:val="3"/>
            <w:vMerge w:val="continue"/>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280" w:type="dxa"/>
            <w:vAlign w:val="bottom"/>
            <w:gridSpan w:val="3"/>
            <w:vMerge w:val="continue"/>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360" w:type="dxa"/>
            <w:vAlign w:val="bottom"/>
            <w:gridSpan w:val="3"/>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Municipal lease finance</w:t>
            </w: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receivables loans: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18,811</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Municipal lease</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finance receivables</w:t>
            </w: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9,310</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38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36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9,528</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19,150</w:t>
            </w: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60" w:type="dxa"/>
            <w:vAlign w:val="bottom"/>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80" w:type="dxa"/>
            <w:vAlign w:val="bottom"/>
            <w:gridSpan w:val="3"/>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SFR mortgage loans: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48,813</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49,261</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41,776</w:t>
            </w:r>
          </w:p>
        </w:tc>
        <w:tc>
          <w:tcPr>
            <w:tcW w:w="46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36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16,046</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61,965</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2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SFR mortgage</w:t>
            </w:r>
          </w:p>
        </w:tc>
        <w:tc>
          <w:tcPr>
            <w:tcW w:w="20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48,821</w:t>
            </w:r>
          </w:p>
        </w:tc>
        <w:tc>
          <w:tcPr>
            <w:tcW w:w="400" w:type="dxa"/>
            <w:vAlign w:val="bottom"/>
            <w:gridSpan w:val="3"/>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49,261</w:t>
            </w:r>
          </w:p>
        </w:tc>
        <w:tc>
          <w:tcPr>
            <w:tcW w:w="38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41,776</w:t>
            </w:r>
          </w:p>
        </w:tc>
        <w:tc>
          <w:tcPr>
            <w:tcW w:w="460" w:type="dxa"/>
            <w:vAlign w:val="bottom"/>
            <w:gridSpan w:val="3"/>
            <w:vMerge w:val="restart"/>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360" w:type="dxa"/>
            <w:vAlign w:val="bottom"/>
            <w:gridSpan w:val="3"/>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16,046</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64,017</w:t>
            </w:r>
          </w:p>
        </w:tc>
        <w:tc>
          <w:tcPr>
            <w:tcW w:w="280" w:type="dxa"/>
            <w:vAlign w:val="bottom"/>
            <w:gridSpan w:val="3"/>
            <w:vMerge w:val="restart"/>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280" w:type="dxa"/>
            <w:vAlign w:val="bottom"/>
            <w:gridSpan w:val="3"/>
            <w:vMerge w:val="restart"/>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360" w:type="dxa"/>
            <w:vAlign w:val="bottom"/>
            <w:gridSpan w:val="3"/>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240,654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6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2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Consumer and other</w:t>
            </w:r>
          </w:p>
        </w:tc>
        <w:tc>
          <w:tcPr>
            <w:tcW w:w="2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60" w:type="dxa"/>
            <w:vAlign w:val="bottom"/>
            <w:tcBorders>
              <w:top w:val="single" w:sz="8" w:color="CFF0F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5,145</w:t>
            </w:r>
          </w:p>
        </w:tc>
        <w:tc>
          <w:tcPr>
            <w:tcW w:w="40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38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46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3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2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58,060</w:t>
            </w:r>
          </w:p>
        </w:tc>
        <w:tc>
          <w:tcPr>
            <w:tcW w:w="28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w:t>
            </w:r>
          </w:p>
        </w:tc>
        <w:tc>
          <w:tcPr>
            <w:tcW w:w="3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Consumer and</w:t>
            </w:r>
          </w:p>
        </w:tc>
        <w:tc>
          <w:tcPr>
            <w:tcW w:w="2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5,984</w:t>
            </w:r>
          </w:p>
        </w:tc>
        <w:tc>
          <w:tcPr>
            <w:tcW w:w="40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1,947</w:t>
            </w:r>
          </w:p>
        </w:tc>
        <w:tc>
          <w:tcPr>
            <w:tcW w:w="38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460" w:type="dxa"/>
            <w:vAlign w:val="bottom"/>
            <w:gridSpan w:val="3"/>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36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58,656</w:t>
            </w:r>
          </w:p>
        </w:tc>
        <w:tc>
          <w:tcPr>
            <w:tcW w:w="2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4,032</w:t>
            </w:r>
          </w:p>
        </w:tc>
        <w:tc>
          <w:tcPr>
            <w:tcW w:w="360" w:type="dxa"/>
            <w:vAlign w:val="bottom"/>
            <w:gridSpan w:val="3"/>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74,665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other loans:</w:t>
            </w:r>
          </w:p>
        </w:tc>
        <w:tc>
          <w:tcPr>
            <w:tcW w:w="2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Risk Rating:</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Pass</w:t>
            </w: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1,613,286</w:t>
            </w:r>
          </w:p>
        </w:tc>
        <w:tc>
          <w:tcPr>
            <w:tcW w:w="400" w:type="dxa"/>
            <w:vAlign w:val="bottom"/>
            <w:gridSpan w:val="3"/>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1,160,790</w:t>
            </w:r>
          </w:p>
        </w:tc>
        <w:tc>
          <w:tcPr>
            <w:tcW w:w="38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780,690</w:t>
            </w:r>
          </w:p>
        </w:tc>
        <w:tc>
          <w:tcPr>
            <w:tcW w:w="460" w:type="dxa"/>
            <w:vAlign w:val="bottom"/>
            <w:gridSpan w:val="3"/>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646,886</w:t>
            </w:r>
          </w:p>
        </w:tc>
        <w:tc>
          <w:tcPr>
            <w:tcW w:w="360" w:type="dxa"/>
            <w:vAlign w:val="bottom"/>
            <w:gridSpan w:val="3"/>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581,735</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1,939,076</w:t>
            </w:r>
          </w:p>
        </w:tc>
        <w:tc>
          <w:tcPr>
            <w:tcW w:w="2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872,585</w:t>
            </w:r>
          </w:p>
        </w:tc>
        <w:tc>
          <w:tcPr>
            <w:tcW w:w="2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44,388</w:t>
            </w:r>
          </w:p>
        </w:tc>
        <w:tc>
          <w:tcPr>
            <w:tcW w:w="360" w:type="dxa"/>
            <w:vAlign w:val="bottom"/>
            <w:gridSpan w:val="3"/>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7,639,436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Special Mention</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Substandard</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9,467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9,243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15,213</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7,947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10,519</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Doubtful &amp; Loss</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1,620,118</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1,183,367</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798,755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677,205</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638,690</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2,001,549</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904,441</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63,588</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7,887,713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-3865245</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-3865245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-3865245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-3865245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-3865245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-3865245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-3865245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-3865245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-3051175</wp:posOffset>
            </wp:positionV>
            <wp:extent cx="774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-3051175</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-3051175</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-3051175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-3051175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-3051175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-3051175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-3051175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-1868170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-1868170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-1868170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-1868170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-1868170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-1868170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-1868170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-1868170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-1053465</wp:posOffset>
            </wp:positionV>
            <wp:extent cx="774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-1053465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-1053465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-1053465</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-1053465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-1053465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-1053465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-1053465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-24765</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-7620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("ACL")</w:t>
      </w:r>
    </w:p>
    <w:p>
      <w:pPr>
        <w:spacing w:after="0" w:line="216" w:lineRule="exact"/>
        <w:rPr>
          <w:sz w:val="20"/>
          <w:szCs w:val="20"/>
          <w:color w:val="auto"/>
        </w:rPr>
      </w:pPr>
    </w:p>
    <w:p>
      <w:pPr>
        <w:ind w:right="20" w:firstLine="469"/>
        <w:spacing w:after="0"/>
        <w:rPr>
          <w:sz w:val="20"/>
          <w:szCs w:val="20"/>
          <w:color w:val="auto"/>
        </w:rPr>
      </w:pPr>
      <w:r>
        <w:rPr>
          <w:rFonts w:ascii="Times New Roman" w:cs="Times New Roman" w:eastAsia="Times New Roman" w:hAnsi="Times New Roman"/>
          <w:sz w:val="18"/>
          <w:szCs w:val="18"/>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portfolio, and expectations for macroeconomic changes. Our methodology for assessing the appropriateness of the allowance is reviewed on a regular basis and considers overall risks in the Bank’s loan portfolio.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our Annual Report on Form 10-K for the year ended December 31, 2021 for a more detailed discussion concerning the allowance for credit losses.</w:t>
      </w:r>
    </w:p>
    <w:p>
      <w:pPr>
        <w:spacing w:after="0" w:line="169" w:lineRule="exact"/>
        <w:rPr>
          <w:sz w:val="20"/>
          <w:szCs w:val="20"/>
          <w:color w:val="auto"/>
        </w:rPr>
      </w:pPr>
    </w:p>
    <w:p>
      <w:pPr>
        <w:ind w:firstLine="469"/>
        <w:spacing w:after="0" w:line="242" w:lineRule="auto"/>
        <w:rPr>
          <w:sz w:val="20"/>
          <w:szCs w:val="20"/>
          <w:color w:val="auto"/>
        </w:rPr>
      </w:pPr>
      <w:r>
        <w:rPr>
          <w:rFonts w:ascii="Times New Roman" w:cs="Times New Roman" w:eastAsia="Times New Roman" w:hAnsi="Times New Roman"/>
          <w:sz w:val="18"/>
          <w:szCs w:val="18"/>
          <w:color w:val="auto"/>
        </w:rPr>
        <w:t>The ACL totaled $76.1 million at March 31, 2022, compared to $65.0 million at December 31, 2021. As a result of the acquisition of Suncrest, we recorded a provision for credit loss of $4.9 million on January 7, 2022 to establish the ACL for the acquired loans that were not considered purchased credit deteriorated (“PCD”). The ACL at January 7, 2022, also included $8.6 million for the acquired Suncrest PCD loans. The $11.1 million increase in the ACL from December 31, 2021 to March 31, 2022 is comprised of the $8.6 million for the Suncrest PCD loans and a $2.5 million provision for credit losses for the first quarter of 2022. The $2.5 million provision for credit losses was the net result of the January 7, 2022 provision for credit loss recorded for the acquisition of the Suncrest non-PCD loans and a $2.4 million recapture of provision due to the net impact of improvements in the underlying loan characteristics of certain classified loans and the impact of changes in the economic forecast of certain macroeconomic variables compared to the end of 2021. At March 31, 2022, the ACL as a percentage of total loans and leases, at amortized cost, was 0.89%, or 0.90% of total loans when excluding the $121.2 million in PPP loans. This compares to 0.82% and 0.84% at December 31, 2021, respectively. Net charge-offs were $5,000 for the three months ended March 31, 2022, which compares to $2.4 million in net charge-offs for the same period of 2021. 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Our weighted forecast assumes GDP will increase by 2.6% in 2022, 1.3% for 2023 and then grow by 3% in 2024. The unemployment rate is forecasted to be 4.3% in 2022, 5.2% in 2023 and then decline to 4.7% in 2024.</w:t>
      </w:r>
    </w:p>
    <w:p>
      <w:pPr>
        <w:spacing w:after="0" w:line="170" w:lineRule="exact"/>
        <w:rPr>
          <w:sz w:val="20"/>
          <w:szCs w:val="20"/>
          <w:color w:val="auto"/>
        </w:rPr>
      </w:pPr>
    </w:p>
    <w:p>
      <w:pPr>
        <w:ind w:right="40" w:firstLine="469"/>
        <w:spacing w:after="0" w:line="250" w:lineRule="auto"/>
        <w:rPr>
          <w:sz w:val="20"/>
          <w:szCs w:val="20"/>
          <w:color w:val="auto"/>
        </w:rPr>
      </w:pPr>
      <w:r>
        <w:rPr>
          <w:rFonts w:ascii="Times New Roman" w:cs="Times New Roman" w:eastAsia="Times New Roman" w:hAnsi="Times New Roman"/>
          <w:sz w:val="18"/>
          <w:szCs w:val="18"/>
          <w:color w:val="auto"/>
        </w:rPr>
        <w:t>Management believes that the ACL was appropriate at March 31, 2022 and December 31, 2021. Due to inflationary pressures from global supply chain issues and geopolitical events, as well as the uncertainty around the epidemiological assumptions and ongoing impact of government responses to the pandemic that may impact our economic forecast, no assurance can be given that economic conditions that adversely affect the Company’s service areas or other circumstances will not be reflected in increased provisions for credit losses in the future.</w:t>
      </w:r>
    </w:p>
    <w:p>
      <w:pPr>
        <w:spacing w:after="0" w:line="150" w:lineRule="exact"/>
        <w:rPr>
          <w:sz w:val="20"/>
          <w:szCs w:val="20"/>
          <w:color w:val="auto"/>
        </w:rPr>
      </w:pPr>
    </w:p>
    <w:p>
      <w:pPr>
        <w:ind w:right="20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balance and activity related to the allowance for credit losses for held-for-investment loans by type for the periods presented.</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p>
      <w:pPr>
        <w:spacing w:after="0" w:line="26" w:lineRule="exact"/>
        <w:rPr>
          <w:sz w:val="20"/>
          <w:szCs w:val="20"/>
          <w:color w:val="auto"/>
        </w:rPr>
      </w:pPr>
    </w:p>
    <w:tbl>
      <w:tblPr>
        <w:tblLayout w:type="fixed"/>
        <w:tblInd w:w="2080" w:type="dxa"/>
        <w:tblCellMar>
          <w:top w:w="0" w:type="dxa"/>
          <w:left w:w="0" w:type="dxa"/>
          <w:bottom w:w="0" w:type="dxa"/>
          <w:right w:w="0" w:type="dxa"/>
        </w:tblCellMar>
      </w:tblPr>
      <w:tr>
        <w:trPr>
          <w:trHeight w:val="131"/>
        </w:trPr>
        <w:tc>
          <w:tcPr>
            <w:tcW w:w="1300" w:type="dxa"/>
            <w:vAlign w:val="bottom"/>
            <w:tcBorders>
              <w:top w:val="single" w:sz="8" w:color="auto"/>
            </w:tcBorders>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Initial ACL for</w:t>
            </w:r>
          </w:p>
        </w:tc>
        <w:tc>
          <w:tcPr>
            <w:tcW w:w="12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3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(Recapture of)</w:t>
            </w: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0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PCD Loans at</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Recorded at</w:t>
            </w:r>
          </w:p>
        </w:tc>
        <w:tc>
          <w:tcPr>
            <w:tcW w:w="1320" w:type="dxa"/>
            <w:vAlign w:val="bottom"/>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240" w:type="dxa"/>
            <w:vAlign w:val="bottom"/>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0" w:type="dxa"/>
            <w:vAlign w:val="bottom"/>
          </w:tcPr>
          <w:p>
            <w:pPr>
              <w:spacing w:after="0"/>
              <w:rPr>
                <w:sz w:val="1"/>
                <w:szCs w:val="1"/>
                <w:color w:val="auto"/>
              </w:rPr>
            </w:pPr>
          </w:p>
        </w:tc>
      </w:tr>
      <w:tr>
        <w:trPr>
          <w:trHeight w:val="189"/>
        </w:trPr>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0</wp:posOffset>
            </wp:positionV>
            <wp:extent cx="7372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180" w:lineRule="exact"/>
        <w:rPr>
          <w:sz w:val="20"/>
          <w:szCs w:val="20"/>
          <w:color w:val="auto"/>
        </w:rPr>
      </w:pPr>
    </w:p>
    <w:p>
      <w:pPr>
        <w:ind w:left="20"/>
        <w:spacing w:after="0"/>
        <w:tabs>
          <w:tab w:leader="none" w:pos="2080" w:val="left"/>
        </w:tabs>
        <w:rPr>
          <w:sz w:val="20"/>
          <w:szCs w:val="20"/>
          <w:color w:val="auto"/>
        </w:rPr>
      </w:pPr>
      <w:r>
        <w:rPr>
          <w:rFonts w:ascii="Times New Roman" w:cs="Times New Roman" w:eastAsia="Times New Roman" w:hAnsi="Times New Roman"/>
          <w:sz w:val="14"/>
          <w:szCs w:val="14"/>
          <w:color w:val="auto"/>
        </w:rPr>
        <w:t>Commercial real estate</w:t>
      </w:r>
      <w:r>
        <w:rPr>
          <w:sz w:val="20"/>
          <w:szCs w:val="20"/>
          <w:color w:val="auto"/>
        </w:rPr>
        <w:tab/>
      </w:r>
      <w:r>
        <w:rPr>
          <w:rFonts w:ascii="Times New Roman" w:cs="Times New Roman" w:eastAsia="Times New Roman" w:hAnsi="Times New Roman"/>
          <w:sz w:val="14"/>
          <w:szCs w:val="14"/>
          <w:color w:val="auto"/>
        </w:rPr>
        <w: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Construction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SBA</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 lease finance</w:t>
      </w:r>
    </w:p>
    <w:p>
      <w:pPr>
        <w:ind w:left="20"/>
        <w:spacing w:after="0"/>
        <w:rPr>
          <w:sz w:val="20"/>
          <w:szCs w:val="20"/>
          <w:color w:val="auto"/>
        </w:rPr>
      </w:pPr>
      <w:r>
        <w:rPr>
          <w:rFonts w:ascii="Times New Roman" w:cs="Times New Roman" w:eastAsia="Times New Roman" w:hAnsi="Times New Roman"/>
          <w:sz w:val="14"/>
          <w:szCs w:val="14"/>
          <w:color w:val="auto"/>
        </w:rPr>
        <w:t>receivables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SFR mortgage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Consumer and other loans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xml:space="preserve">Total allowance for credit losses </w:t>
      </w:r>
      <w:r>
        <w:rPr>
          <w:rFonts w:ascii="Times New Roman" w:cs="Times New Roman" w:eastAsia="Times New Roman" w:hAnsi="Times New Roman"/>
          <w:sz w:val="28"/>
          <w:szCs w:val="28"/>
          <w:color w:val="auto"/>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50,950</w:t>
            </w: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60" w:type="dxa"/>
            <w:vAlign w:val="bottom"/>
          </w:tcPr>
          <w:p>
            <w:pPr>
              <w:spacing w:after="0"/>
              <w:rPr>
                <w:sz w:val="15"/>
                <w:szCs w:val="15"/>
                <w:color w:val="auto"/>
              </w:rPr>
            </w:pP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160" w:type="dxa"/>
            <w:vAlign w:val="bottom"/>
            <w:tcBorders>
              <w:left w:val="single" w:sz="8" w:color="CFF0FC"/>
            </w:tcBorders>
          </w:tcPr>
          <w:p>
            <w:pPr>
              <w:spacing w:after="0"/>
              <w:rPr>
                <w:sz w:val="15"/>
                <w:szCs w:val="15"/>
                <w:color w:val="auto"/>
              </w:rPr>
            </w:pPr>
          </w:p>
        </w:tc>
        <w:tc>
          <w:tcPr>
            <w:tcW w:w="420" w:type="dxa"/>
            <w:vAlign w:val="bottom"/>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(2,328 )</w:t>
            </w:r>
          </w:p>
        </w:tc>
        <w:tc>
          <w:tcPr>
            <w:tcW w:w="40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57,835</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765</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2,668</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60" w:type="dxa"/>
            <w:vAlign w:val="bottom"/>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left w:val="single" w:sz="8" w:color="CFF0FC"/>
            </w:tcBorders>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6,669</w:t>
            </w:r>
          </w:p>
        </w:tc>
        <w:tc>
          <w:tcPr>
            <w:tcW w:w="500" w:type="dxa"/>
            <w:vAlign w:val="bottom"/>
          </w:tcPr>
          <w:p>
            <w:pPr>
              <w:spacing w:after="0"/>
              <w:rPr>
                <w:sz w:val="15"/>
                <w:szCs w:val="15"/>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(15 )</w:t>
            </w: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(834 )</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3,066</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w:t>
            </w:r>
          </w:p>
        </w:tc>
        <w:tc>
          <w:tcPr>
            <w:tcW w:w="160" w:type="dxa"/>
            <w:vAlign w:val="bottom"/>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Borders>
              <w:left w:val="single" w:sz="8" w:color="CFF0FC"/>
            </w:tcBorders>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w:t>
            </w:r>
          </w:p>
        </w:tc>
        <w:tc>
          <w:tcPr>
            <w:tcW w:w="5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8"/>
        </w:trPr>
        <w:tc>
          <w:tcPr>
            <w:tcW w:w="6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188</w:t>
            </w:r>
          </w:p>
        </w:tc>
        <w:tc>
          <w:tcPr>
            <w:tcW w:w="500" w:type="dxa"/>
            <w:vAlign w:val="bottom"/>
          </w:tcPr>
          <w:p>
            <w:pPr>
              <w:spacing w:after="0"/>
              <w:rPr>
                <w:sz w:val="6"/>
                <w:szCs w:val="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FF0FC"/>
            </w:tcBorders>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613</w:t>
            </w:r>
          </w:p>
        </w:tc>
        <w:tc>
          <w:tcPr>
            <w:tcW w:w="500" w:type="dxa"/>
            <w:vAlign w:val="bottom"/>
          </w:tcPr>
          <w:p>
            <w:pPr>
              <w:spacing w:after="0"/>
              <w:rPr>
                <w:sz w:val="15"/>
                <w:szCs w:val="15"/>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(1 )</w:t>
            </w:r>
          </w:p>
        </w:tc>
        <w:tc>
          <w:tcPr>
            <w:tcW w:w="5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(53 )</w:t>
            </w: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65,019</w:t>
            </w: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160" w:type="dxa"/>
            <w:vAlign w:val="bottom"/>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4,932</w:t>
            </w:r>
          </w:p>
        </w:tc>
        <w:tc>
          <w:tcPr>
            <w:tcW w:w="160" w:type="dxa"/>
            <w:vAlign w:val="bottom"/>
            <w:tcBorders>
              <w:left w:val="single" w:sz="8" w:color="CFF0FC"/>
            </w:tcBorders>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76,119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-1130935</wp:posOffset>
            </wp:positionV>
            <wp:extent cx="4663440" cy="1111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663440" cy="11112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-908050</wp:posOffset>
            </wp:positionV>
            <wp:extent cx="4663440" cy="1111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663440" cy="11112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-685165</wp:posOffset>
            </wp:positionV>
            <wp:extent cx="4663440" cy="1111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663440" cy="11112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-367665</wp:posOffset>
            </wp:positionV>
            <wp:extent cx="4663440" cy="1111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663440" cy="11112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-145415</wp:posOffset>
            </wp:positionV>
            <wp:extent cx="7132320" cy="146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180" w:space="660"/>
            <w:col w:w="8400"/>
          </w:cols>
          <w:pgMar w:left="320" w:top="364"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408"/>
              <w:spacing w:after="0" w:line="131" w:lineRule="exact"/>
              <w:rPr>
                <w:sz w:val="20"/>
                <w:szCs w:val="20"/>
                <w:color w:val="auto"/>
              </w:rPr>
            </w:pPr>
            <w:r>
              <w:rPr>
                <w:rFonts w:ascii="Times New Roman" w:cs="Times New Roman" w:eastAsia="Times New Roman" w:hAnsi="Times New Roman"/>
                <w:sz w:val="14"/>
                <w:szCs w:val="14"/>
                <w:b w:val="1"/>
                <w:bCs w:val="1"/>
                <w:color w:val="auto"/>
              </w:rPr>
              <w:t>(Recapture of)</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vMerge w:val="restart"/>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240" w:type="dxa"/>
            <w:vAlign w:val="bottom"/>
          </w:tcPr>
          <w:p>
            <w:pPr>
              <w:spacing w:after="0"/>
              <w:rPr>
                <w:sz w:val="13"/>
                <w:szCs w:val="13"/>
                <w:color w:val="auto"/>
              </w:rPr>
            </w:pPr>
          </w:p>
        </w:tc>
        <w:tc>
          <w:tcPr>
            <w:tcW w:w="11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center"/>
              <w:ind w:right="368"/>
              <w:spacing w:after="0" w:line="160" w:lineRule="exact"/>
              <w:rPr>
                <w:sz w:val="20"/>
                <w:szCs w:val="20"/>
                <w:color w:val="auto"/>
              </w:rPr>
            </w:pPr>
            <w:r>
              <w:rPr>
                <w:rFonts w:ascii="Times New Roman" w:cs="Times New Roman" w:eastAsia="Times New Roman" w:hAnsi="Times New Roman"/>
                <w:sz w:val="14"/>
                <w:szCs w:val="14"/>
                <w:b w:val="1"/>
                <w:bCs w:val="1"/>
                <w:color w:val="auto"/>
              </w:rPr>
              <w:t>Provision for</w:t>
            </w:r>
          </w:p>
        </w:tc>
        <w:tc>
          <w:tcPr>
            <w:tcW w:w="140" w:type="dxa"/>
            <w:vAlign w:val="bottom"/>
          </w:tcPr>
          <w:p>
            <w:pPr>
              <w:spacing w:after="0"/>
              <w:rPr>
                <w:sz w:val="13"/>
                <w:szCs w:val="13"/>
                <w:color w:val="auto"/>
              </w:rPr>
            </w:pPr>
          </w:p>
        </w:tc>
        <w:tc>
          <w:tcPr>
            <w:tcW w:w="1300" w:type="dxa"/>
            <w:vAlign w:val="bottom"/>
          </w:tcPr>
          <w:p>
            <w:pPr>
              <w:jc w:val="right"/>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40" w:type="dxa"/>
            <w:vAlign w:val="bottom"/>
          </w:tcPr>
          <w:p>
            <w:pPr>
              <w:spacing w:after="0"/>
              <w:rPr>
                <w:sz w:val="16"/>
                <w:szCs w:val="16"/>
                <w:color w:val="auto"/>
              </w:rPr>
            </w:pPr>
          </w:p>
        </w:tc>
        <w:tc>
          <w:tcPr>
            <w:tcW w:w="13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75,439</w:t>
            </w:r>
          </w:p>
        </w:tc>
        <w:tc>
          <w:tcPr>
            <w:tcW w:w="5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(18,867 )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56,572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(59 )</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(484 )</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(2,475 )</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(1,227 )</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(39 )</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(148 )</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(446 )</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8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93,692</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(2,475</w:t>
            </w:r>
          </w:p>
        </w:tc>
        <w:tc>
          <w:tcPr>
            <w:tcW w:w="300" w:type="dxa"/>
            <w:vAlign w:val="bottom"/>
            <w:tcBorders>
              <w:bottom w:val="single" w:sz="8" w:color="CFF0FC"/>
            </w:tcBorders>
            <w:shd w:val="clear" w:color="auto" w:fill="CFF0FC"/>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(19,500</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71,805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-24765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Past Due and Nonperforming Loans</w:t>
      </w:r>
    </w:p>
    <w:p>
      <w:pPr>
        <w:spacing w:after="0" w:line="216" w:lineRule="exact"/>
        <w:rPr>
          <w:sz w:val="20"/>
          <w:szCs w:val="20"/>
          <w:color w:val="auto"/>
        </w:rPr>
      </w:pPr>
    </w:p>
    <w:p>
      <w:pPr>
        <w:ind w:right="80" w:firstLine="469"/>
        <w:spacing w:after="0" w:line="243" w:lineRule="auto"/>
        <w:rPr>
          <w:sz w:val="20"/>
          <w:szCs w:val="20"/>
          <w:color w:val="auto"/>
        </w:rPr>
      </w:pPr>
      <w:r>
        <w:rPr>
          <w:rFonts w:ascii="Times New Roman" w:cs="Times New Roman" w:eastAsia="Times New Roman" w:hAnsi="Times New Roman"/>
          <w:sz w:val="18"/>
          <w:szCs w:val="18"/>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growth in the loan portfolio, prevailing economic conditions and other factors.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in our Annual Report on Form 10-K for the year ended December 31, 2021, for additional discussion concerning the Bank’s policy for past due and nonperforming loans.</w:t>
      </w:r>
    </w:p>
    <w:p>
      <w:pPr>
        <w:spacing w:after="0" w:line="173" w:lineRule="exact"/>
        <w:rPr>
          <w:sz w:val="20"/>
          <w:szCs w:val="20"/>
          <w:color w:val="auto"/>
        </w:rPr>
      </w:pPr>
    </w:p>
    <w:p>
      <w:pPr>
        <w:ind w:right="380" w:firstLine="46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and the aging of, past due loans (including nonaccrual loans), by type of loans as of the dates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44"/>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60" w:type="dxa"/>
            <w:vAlign w:val="bottom"/>
          </w:tcPr>
          <w:p>
            <w:pPr>
              <w:spacing w:after="0"/>
              <w:rPr>
                <w:sz w:val="12"/>
                <w:szCs w:val="12"/>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30-59 Days Past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60-89 Days Past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Loans Not Past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60" w:type="dxa"/>
            <w:vAlign w:val="bottom"/>
          </w:tcPr>
          <w:p>
            <w:pPr>
              <w:spacing w:after="0"/>
              <w:rPr>
                <w:sz w:val="12"/>
                <w:szCs w:val="12"/>
                <w:color w:val="auto"/>
              </w:rPr>
            </w:pPr>
          </w:p>
        </w:tc>
      </w:tr>
      <w:tr>
        <w:trPr>
          <w:trHeight w:val="187"/>
        </w:trPr>
        <w:tc>
          <w:tcPr>
            <w:tcW w:w="3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Due</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60" w:type="dxa"/>
            <w:vAlign w:val="bottom"/>
          </w:tcPr>
          <w:p>
            <w:pPr>
              <w:spacing w:after="0"/>
              <w:rPr>
                <w:sz w:val="16"/>
                <w:szCs w:val="16"/>
                <w:color w:val="auto"/>
              </w:rPr>
            </w:pPr>
          </w:p>
        </w:tc>
      </w:tr>
      <w:tr>
        <w:trPr>
          <w:trHeight w:val="169"/>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1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2,386,781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2,393,206</w:t>
            </w:r>
          </w:p>
        </w:tc>
        <w:tc>
          <w:tcPr>
            <w:tcW w:w="60" w:type="dxa"/>
            <w:vAlign w:val="bottom"/>
          </w:tcPr>
          <w:p>
            <w:pPr>
              <w:spacing w:after="0"/>
              <w:rPr>
                <w:sz w:val="15"/>
                <w:szCs w:val="15"/>
                <w:color w:val="auto"/>
              </w:rPr>
            </w:pPr>
          </w:p>
        </w:tc>
      </w:tr>
      <w:tr>
        <w:trPr>
          <w:trHeight w:val="175"/>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4,077,070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4,077,635</w:t>
            </w:r>
          </w:p>
        </w:tc>
        <w:tc>
          <w:tcPr>
            <w:tcW w:w="60" w:type="dxa"/>
            <w:vAlign w:val="bottom"/>
            <w:shd w:val="clear" w:color="auto" w:fill="CFF0FC"/>
          </w:tcPr>
          <w:p>
            <w:pPr>
              <w:spacing w:after="0"/>
              <w:rPr>
                <w:sz w:val="15"/>
                <w:szCs w:val="15"/>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65,022</w:t>
            </w:r>
          </w:p>
        </w:tc>
        <w:tc>
          <w:tcPr>
            <w:tcW w:w="60" w:type="dxa"/>
            <w:vAlign w:val="bottom"/>
            <w:shd w:val="clear" w:color="auto" w:fill="CFF0FC"/>
          </w:tcPr>
          <w:p>
            <w:pPr>
              <w:spacing w:after="0"/>
              <w:rPr>
                <w:sz w:val="15"/>
                <w:szCs w:val="15"/>
                <w:color w:val="auto"/>
              </w:rPr>
            </w:pPr>
          </w:p>
        </w:tc>
      </w:tr>
      <w:tr>
        <w:trPr>
          <w:trHeight w:val="175"/>
        </w:trPr>
        <w:tc>
          <w:tcPr>
            <w:tcW w:w="30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60" w:type="dxa"/>
            <w:vAlign w:val="bottom"/>
          </w:tcPr>
          <w:p>
            <w:pPr>
              <w:spacing w:after="0"/>
              <w:rPr>
                <w:sz w:val="15"/>
                <w:szCs w:val="15"/>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309,114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311,238</w:t>
            </w:r>
          </w:p>
        </w:tc>
        <w:tc>
          <w:tcPr>
            <w:tcW w:w="60" w:type="dxa"/>
            <w:vAlign w:val="bottom"/>
            <w:shd w:val="clear" w:color="auto" w:fill="CFF0FC"/>
          </w:tcPr>
          <w:p>
            <w:pPr>
              <w:spacing w:after="0"/>
              <w:rPr>
                <w:sz w:val="15"/>
                <w:szCs w:val="15"/>
                <w:color w:val="auto"/>
              </w:rPr>
            </w:pPr>
          </w:p>
        </w:tc>
      </w:tr>
      <w:tr>
        <w:trPr>
          <w:trHeight w:val="176"/>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 PPP</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121,189</w:t>
            </w:r>
          </w:p>
        </w:tc>
        <w:tc>
          <w:tcPr>
            <w:tcW w:w="60" w:type="dxa"/>
            <w:vAlign w:val="bottom"/>
          </w:tcPr>
          <w:p>
            <w:pPr>
              <w:spacing w:after="0"/>
              <w:rPr>
                <w:sz w:val="15"/>
                <w:szCs w:val="15"/>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923,616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924,780</w:t>
            </w:r>
          </w:p>
        </w:tc>
        <w:tc>
          <w:tcPr>
            <w:tcW w:w="60" w:type="dxa"/>
            <w:vAlign w:val="bottom"/>
            <w:shd w:val="clear" w:color="auto" w:fill="CFF0FC"/>
          </w:tcPr>
          <w:p>
            <w:pPr>
              <w:spacing w:after="0"/>
              <w:rPr>
                <w:sz w:val="15"/>
                <w:szCs w:val="15"/>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289,372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292,784</w:t>
            </w:r>
          </w:p>
        </w:tc>
        <w:tc>
          <w:tcPr>
            <w:tcW w:w="60" w:type="dxa"/>
            <w:vAlign w:val="bottom"/>
          </w:tcPr>
          <w:p>
            <w:pPr>
              <w:spacing w:after="0"/>
              <w:rPr>
                <w:sz w:val="15"/>
                <w:szCs w:val="15"/>
                <w:color w:val="auto"/>
              </w:rPr>
            </w:pPr>
          </w:p>
        </w:tc>
      </w:tr>
      <w:tr>
        <w:trPr>
          <w:trHeight w:val="175"/>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65,543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65,543</w:t>
            </w:r>
          </w:p>
        </w:tc>
        <w:tc>
          <w:tcPr>
            <w:tcW w:w="60" w:type="dxa"/>
            <w:vAlign w:val="bottom"/>
            <w:shd w:val="clear" w:color="auto" w:fill="CFF0FC"/>
          </w:tcPr>
          <w:p>
            <w:pPr>
              <w:spacing w:after="0"/>
              <w:rPr>
                <w:sz w:val="15"/>
                <w:szCs w:val="15"/>
                <w:color w:val="auto"/>
              </w:rPr>
            </w:pPr>
          </w:p>
        </w:tc>
      </w:tr>
      <w:tr>
        <w:trPr>
          <w:trHeight w:val="17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254,733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255,136</w:t>
            </w:r>
          </w:p>
        </w:tc>
        <w:tc>
          <w:tcPr>
            <w:tcW w:w="60" w:type="dxa"/>
            <w:vAlign w:val="bottom"/>
          </w:tcPr>
          <w:p>
            <w:pPr>
              <w:spacing w:after="0"/>
              <w:rPr>
                <w:sz w:val="15"/>
                <w:szCs w:val="15"/>
                <w:color w:val="auto"/>
              </w:rPr>
            </w:pPr>
          </w:p>
        </w:tc>
      </w:tr>
      <w:tr>
        <w:trPr>
          <w:trHeight w:val="175"/>
        </w:trPr>
        <w:tc>
          <w:tcPr>
            <w:tcW w:w="3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76,655</w:t>
            </w: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76,695</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30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4,201</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8,577,549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8,591,684</w:t>
            </w:r>
          </w:p>
        </w:tc>
        <w:tc>
          <w:tcPr>
            <w:tcW w:w="60" w:type="dxa"/>
            <w:vAlign w:val="bottom"/>
          </w:tcPr>
          <w:p>
            <w:pPr>
              <w:spacing w:after="0"/>
              <w:rPr>
                <w:sz w:val="14"/>
                <w:szCs w:val="14"/>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-145415</wp:posOffset>
            </wp:positionV>
            <wp:extent cx="431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-145415</wp:posOffset>
            </wp:positionV>
            <wp:extent cx="43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-145415</wp:posOffset>
            </wp:positionV>
            <wp:extent cx="342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-145415</wp:posOffset>
            </wp:positionV>
            <wp:extent cx="342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-145415</wp:posOffset>
            </wp:positionV>
            <wp:extent cx="3429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-145415</wp:posOffset>
            </wp:positionV>
            <wp:extent cx="342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42"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1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3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Greater than 89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Total Loans and</w:t>
            </w:r>
          </w:p>
        </w:tc>
        <w:tc>
          <w:tcPr>
            <w:tcW w:w="100" w:type="dxa"/>
            <w:vAlign w:val="bottom"/>
          </w:tcPr>
          <w:p>
            <w:pPr>
              <w:spacing w:after="0"/>
              <w:rPr>
                <w:sz w:val="12"/>
                <w:szCs w:val="12"/>
                <w:color w:val="auto"/>
              </w:rPr>
            </w:pPr>
          </w:p>
        </w:tc>
      </w:tr>
      <w:tr>
        <w:trPr>
          <w:trHeight w:val="148"/>
        </w:trPr>
        <w:tc>
          <w:tcPr>
            <w:tcW w:w="3100" w:type="dxa"/>
            <w:vAlign w:val="bottom"/>
          </w:tcPr>
          <w:p>
            <w:pPr>
              <w:spacing w:after="0"/>
              <w:rPr>
                <w:sz w:val="12"/>
                <w:szCs w:val="12"/>
                <w:color w:val="auto"/>
              </w:rPr>
            </w:pPr>
          </w:p>
        </w:tc>
        <w:tc>
          <w:tcPr>
            <w:tcW w:w="11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30-59 Days Past</w:t>
            </w:r>
          </w:p>
        </w:tc>
        <w:tc>
          <w:tcPr>
            <w:tcW w:w="240" w:type="dxa"/>
            <w:vAlign w:val="bottom"/>
          </w:tcPr>
          <w:p>
            <w:pPr>
              <w:spacing w:after="0"/>
              <w:rPr>
                <w:sz w:val="12"/>
                <w:szCs w:val="12"/>
                <w:color w:val="auto"/>
              </w:rPr>
            </w:pPr>
          </w:p>
        </w:tc>
        <w:tc>
          <w:tcPr>
            <w:tcW w:w="11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60-89 Days Past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Loans Not Past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100" w:type="dxa"/>
            <w:vAlign w:val="bottom"/>
          </w:tcPr>
          <w:p>
            <w:pPr>
              <w:spacing w:after="0"/>
              <w:rPr>
                <w:sz w:val="12"/>
                <w:szCs w:val="12"/>
                <w:color w:val="auto"/>
              </w:rPr>
            </w:pPr>
          </w:p>
        </w:tc>
      </w:tr>
      <w:tr>
        <w:trPr>
          <w:trHeight w:val="187"/>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Due</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00" w:type="dxa"/>
            <w:vAlign w:val="bottom"/>
          </w:tcPr>
          <w:p>
            <w:pPr>
              <w:spacing w:after="0"/>
              <w:rPr>
                <w:sz w:val="16"/>
                <w:szCs w:val="16"/>
                <w:color w:val="auto"/>
              </w:rPr>
            </w:pPr>
          </w:p>
        </w:tc>
      </w:tr>
      <w:tr>
        <w:trPr>
          <w:trHeight w:val="169"/>
        </w:trPr>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Owner occupied</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2,127,979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2,131,800</w:t>
            </w:r>
          </w:p>
        </w:tc>
        <w:tc>
          <w:tcPr>
            <w:tcW w:w="100" w:type="dxa"/>
            <w:vAlign w:val="bottom"/>
          </w:tcPr>
          <w:p>
            <w:pPr>
              <w:spacing w:after="0"/>
              <w:rPr>
                <w:sz w:val="15"/>
                <w:szCs w:val="15"/>
                <w:color w:val="auto"/>
              </w:rPr>
            </w:pPr>
          </w:p>
        </w:tc>
      </w:tr>
      <w:tr>
        <w:trPr>
          <w:trHeight w:val="176"/>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Non-owner occupied</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3,657,930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3,657,930</w:t>
            </w:r>
          </w:p>
        </w:tc>
        <w:tc>
          <w:tcPr>
            <w:tcW w:w="100" w:type="dxa"/>
            <w:vAlign w:val="bottom"/>
            <w:shd w:val="clear" w:color="auto" w:fill="CFF0FC"/>
          </w:tcPr>
          <w:p>
            <w:pPr>
              <w:spacing w:after="0"/>
              <w:rPr>
                <w:sz w:val="15"/>
                <w:szCs w:val="15"/>
                <w:color w:val="auto"/>
              </w:rPr>
            </w:pPr>
          </w:p>
        </w:tc>
      </w:tr>
      <w:tr>
        <w:trPr>
          <w:trHeight w:val="175"/>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Speculative (1)</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44,859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44,859</w:t>
            </w:r>
          </w:p>
        </w:tc>
        <w:tc>
          <w:tcPr>
            <w:tcW w:w="100" w:type="dxa"/>
            <w:vAlign w:val="bottom"/>
            <w:shd w:val="clear" w:color="auto" w:fill="CFF0FC"/>
          </w:tcPr>
          <w:p>
            <w:pPr>
              <w:spacing w:after="0"/>
              <w:rPr>
                <w:sz w:val="15"/>
                <w:szCs w:val="15"/>
                <w:color w:val="auto"/>
              </w:rPr>
            </w:pPr>
          </w:p>
        </w:tc>
      </w:tr>
      <w:tr>
        <w:trPr>
          <w:trHeight w:val="176"/>
        </w:trPr>
        <w:tc>
          <w:tcPr>
            <w:tcW w:w="3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Non-speculative</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17,405</w:t>
            </w:r>
          </w:p>
        </w:tc>
        <w:tc>
          <w:tcPr>
            <w:tcW w:w="100" w:type="dxa"/>
            <w:vAlign w:val="bottom"/>
          </w:tcPr>
          <w:p>
            <w:pPr>
              <w:spacing w:after="0"/>
              <w:rPr>
                <w:sz w:val="15"/>
                <w:szCs w:val="15"/>
                <w:color w:val="auto"/>
              </w:rPr>
            </w:pPr>
          </w:p>
        </w:tc>
      </w:tr>
      <w:tr>
        <w:trPr>
          <w:trHeight w:val="17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SBA</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286,699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288,600</w:t>
            </w:r>
          </w:p>
        </w:tc>
        <w:tc>
          <w:tcPr>
            <w:tcW w:w="100" w:type="dxa"/>
            <w:vAlign w:val="bottom"/>
            <w:shd w:val="clear" w:color="auto" w:fill="CFF0FC"/>
          </w:tcPr>
          <w:p>
            <w:pPr>
              <w:spacing w:after="0"/>
              <w:rPr>
                <w:sz w:val="15"/>
                <w:szCs w:val="15"/>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 PPP</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186,585</w:t>
            </w:r>
          </w:p>
        </w:tc>
        <w:tc>
          <w:tcPr>
            <w:tcW w:w="100" w:type="dxa"/>
            <w:vAlign w:val="bottom"/>
          </w:tcPr>
          <w:p>
            <w:pPr>
              <w:spacing w:after="0"/>
              <w:rPr>
                <w:sz w:val="15"/>
                <w:szCs w:val="15"/>
                <w:color w:val="auto"/>
              </w:rPr>
            </w:pPr>
          </w:p>
        </w:tc>
      </w:tr>
      <w:tr>
        <w:trPr>
          <w:trHeight w:val="17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811,691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813,063</w:t>
            </w:r>
          </w:p>
        </w:tc>
        <w:tc>
          <w:tcPr>
            <w:tcW w:w="100" w:type="dxa"/>
            <w:vAlign w:val="bottom"/>
            <w:shd w:val="clear" w:color="auto" w:fill="CFF0FC"/>
          </w:tcPr>
          <w:p>
            <w:pPr>
              <w:spacing w:after="0"/>
              <w:rPr>
                <w:sz w:val="15"/>
                <w:szCs w:val="15"/>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386,219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386,219</w:t>
            </w:r>
          </w:p>
        </w:tc>
        <w:tc>
          <w:tcPr>
            <w:tcW w:w="100" w:type="dxa"/>
            <w:vAlign w:val="bottom"/>
          </w:tcPr>
          <w:p>
            <w:pPr>
              <w:spacing w:after="0"/>
              <w:rPr>
                <w:sz w:val="15"/>
                <w:szCs w:val="15"/>
                <w:color w:val="auto"/>
              </w:rPr>
            </w:pPr>
          </w:p>
        </w:tc>
      </w:tr>
      <w:tr>
        <w:trPr>
          <w:trHeight w:val="17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Municipal lease finance receivables</w:t>
            </w: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45,933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45,933</w:t>
            </w:r>
          </w:p>
        </w:tc>
        <w:tc>
          <w:tcPr>
            <w:tcW w:w="100" w:type="dxa"/>
            <w:vAlign w:val="bottom"/>
            <w:shd w:val="clear" w:color="auto" w:fill="CFF0FC"/>
          </w:tcPr>
          <w:p>
            <w:pPr>
              <w:spacing w:after="0"/>
              <w:rPr>
                <w:sz w:val="15"/>
                <w:szCs w:val="15"/>
                <w:color w:val="auto"/>
              </w:rPr>
            </w:pPr>
          </w:p>
        </w:tc>
      </w:tr>
      <w:tr>
        <w:trPr>
          <w:trHeight w:val="17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mortgage</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239,614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240,654</w:t>
            </w:r>
          </w:p>
        </w:tc>
        <w:tc>
          <w:tcPr>
            <w:tcW w:w="100" w:type="dxa"/>
            <w:vAlign w:val="bottom"/>
          </w:tcPr>
          <w:p>
            <w:pPr>
              <w:spacing w:after="0"/>
              <w:rPr>
                <w:sz w:val="15"/>
                <w:szCs w:val="15"/>
                <w:color w:val="auto"/>
              </w:rPr>
            </w:pPr>
          </w:p>
        </w:tc>
      </w:tr>
      <w:tr>
        <w:trPr>
          <w:trHeight w:val="176"/>
        </w:trPr>
        <w:tc>
          <w:tcPr>
            <w:tcW w:w="3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 and other loans</w:t>
            </w: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74,623</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74,665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3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8,176</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7,879,537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7,887,713</w:t>
            </w:r>
          </w:p>
        </w:tc>
        <w:tc>
          <w:tcPr>
            <w:tcW w:w="100" w:type="dxa"/>
            <w:vAlign w:val="bottom"/>
          </w:tcPr>
          <w:p>
            <w:pPr>
              <w:spacing w:after="0"/>
              <w:rPr>
                <w:sz w:val="14"/>
                <w:szCs w:val="14"/>
                <w:color w:val="auto"/>
              </w:rPr>
            </w:pPr>
          </w:p>
        </w:tc>
      </w:tr>
      <w:tr>
        <w:trPr>
          <w:trHeight w:val="20"/>
        </w:trPr>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-144780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-144780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-144780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-144780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-144780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217"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Amortized cost of our finance receivables and loans that are on nonaccrual status, including loans with no allowance are presented as of March 31, 2022 and December 31, 2021 by type of loan.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60"/>
        </w:trPr>
        <w:tc>
          <w:tcPr>
            <w:tcW w:w="628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Nonaccrual with</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6280" w:type="dxa"/>
            <w:vAlign w:val="bottom"/>
          </w:tcPr>
          <w:p>
            <w:pPr>
              <w:spacing w:after="0"/>
              <w:rPr>
                <w:sz w:val="16"/>
                <w:szCs w:val="16"/>
                <w:color w:val="auto"/>
              </w:rPr>
            </w:pPr>
          </w:p>
        </w:tc>
        <w:tc>
          <w:tcPr>
            <w:tcW w:w="1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No Allowance for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b w:val="1"/>
                <w:bCs w:val="1"/>
                <w:color w:val="auto"/>
              </w:rPr>
              <w:t>Nonaccrual</w:t>
            </w:r>
          </w:p>
        </w:tc>
        <w:tc>
          <w:tcPr>
            <w:tcW w:w="14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Over 89 Days Still</w:t>
            </w:r>
          </w:p>
        </w:tc>
        <w:tc>
          <w:tcPr>
            <w:tcW w:w="60" w:type="dxa"/>
            <w:vAlign w:val="bottom"/>
          </w:tcPr>
          <w:p>
            <w:pPr>
              <w:spacing w:after="0"/>
              <w:rPr>
                <w:sz w:val="16"/>
                <w:szCs w:val="16"/>
                <w:color w:val="auto"/>
              </w:rPr>
            </w:pPr>
          </w:p>
        </w:tc>
      </w:tr>
      <w:tr>
        <w:trPr>
          <w:trHeight w:val="238"/>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Accruing</w:t>
            </w: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w w:val="89"/>
              </w:rPr>
              <w:t>(Dollars in thousands)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2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240" w:type="dxa"/>
            <w:vAlign w:val="bottom"/>
          </w:tcPr>
          <w:p>
            <w:pPr>
              <w:spacing w:after="0"/>
              <w:rPr>
                <w:sz w:val="18"/>
                <w:szCs w:val="18"/>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-170815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514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2" w:lineRule="exact"/>
        <w:rPr>
          <w:sz w:val="20"/>
          <w:szCs w:val="20"/>
          <w:color w:val="auto"/>
        </w:rPr>
      </w:pPr>
    </w:p>
    <w:p>
      <w:pPr>
        <w:ind w:left="760" w:right="180" w:hanging="378"/>
        <w:spacing w:after="0" w:line="249" w:lineRule="auto"/>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2022, $1.8 million of nonaccruing loans were current, $1.1 million were 30-59 days past due, $6.2 million were 60-89 days past due, and $4.2 million were 90+ days past due.</w:t>
      </w:r>
    </w:p>
    <w:p>
      <w:pPr>
        <w:ind w:left="760" w:hanging="378"/>
        <w:spacing w:after="0"/>
        <w:tabs>
          <w:tab w:leader="none" w:pos="7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0"/>
        </w:trPr>
        <w:tc>
          <w:tcPr>
            <w:tcW w:w="6240" w:type="dxa"/>
            <w:vAlign w:val="bottom"/>
          </w:tcPr>
          <w:p>
            <w:pPr>
              <w:spacing w:after="0"/>
              <w:rPr>
                <w:sz w:val="13"/>
                <w:szCs w:val="13"/>
                <w:color w:val="auto"/>
              </w:rPr>
            </w:pPr>
          </w:p>
        </w:tc>
        <w:tc>
          <w:tcPr>
            <w:tcW w:w="1440" w:type="dxa"/>
            <w:vAlign w:val="bottom"/>
            <w:gridSpan w:val="2"/>
          </w:tcPr>
          <w:p>
            <w:pPr>
              <w:jc w:val="right"/>
              <w:ind w:right="10"/>
              <w:spacing w:after="0" w:line="160" w:lineRule="exact"/>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80" w:type="dxa"/>
            <w:vAlign w:val="bottom"/>
          </w:tcPr>
          <w:p>
            <w:pPr>
              <w:spacing w:after="0"/>
              <w:rPr>
                <w:sz w:val="13"/>
                <w:szCs w:val="13"/>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Loans Past Due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240" w:type="dxa"/>
            <w:vAlign w:val="bottom"/>
          </w:tcPr>
          <w:p>
            <w:pPr>
              <w:spacing w:after="0"/>
              <w:rPr>
                <w:sz w:val="16"/>
                <w:szCs w:val="16"/>
                <w:color w:val="auto"/>
              </w:rPr>
            </w:pPr>
          </w:p>
        </w:tc>
        <w:tc>
          <w:tcPr>
            <w:tcW w:w="14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No Allowance for</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rPr>
              <w:t>Nonaccrual</w:t>
            </w:r>
          </w:p>
        </w:tc>
        <w:tc>
          <w:tcPr>
            <w:tcW w:w="28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Over 89 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80" w:type="dxa"/>
            <w:vAlign w:val="bottom"/>
          </w:tcPr>
          <w:p>
            <w:pPr>
              <w:spacing w:after="0"/>
              <w:rPr>
                <w:sz w:val="20"/>
                <w:szCs w:val="20"/>
                <w:color w:val="auto"/>
              </w:rPr>
            </w:pPr>
          </w:p>
        </w:tc>
        <w:tc>
          <w:tcPr>
            <w:tcW w:w="13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Still Accruing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(Dollars in thousands)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5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Speculative (2)</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Non-speculative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PPP</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5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-170815</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760" w:right="300" w:hanging="378"/>
        <w:spacing w:after="0" w:line="249"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$1.2 million of nonaccruing loans were current, $332,000 were 30-59 days past due, $267,000 were 60-89 days past due, and $5.1 million were 90+ days past due.</w:t>
      </w: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Speculative construction loans are generally for properties where there is no identified buyer or renter.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Dependent Loans</w:t>
      </w:r>
    </w:p>
    <w:p>
      <w:pPr>
        <w:spacing w:after="0" w:line="216" w:lineRule="exact"/>
        <w:rPr>
          <w:sz w:val="20"/>
          <w:szCs w:val="20"/>
          <w:color w:val="auto"/>
        </w:rPr>
      </w:pPr>
    </w:p>
    <w:p>
      <w:pPr>
        <w:ind w:right="220" w:firstLine="464"/>
        <w:spacing w:after="0" w:line="258" w:lineRule="auto"/>
        <w:rPr>
          <w:sz w:val="20"/>
          <w:szCs w:val="20"/>
          <w:color w:val="auto"/>
        </w:rPr>
      </w:pPr>
      <w:r>
        <w:rPr>
          <w:rFonts w:ascii="Times New Roman" w:cs="Times New Roman" w:eastAsia="Times New Roman" w:hAnsi="Times New Roman"/>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rPr>
              <w:t>Dependent 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60" w:type="dxa"/>
            <w:vAlign w:val="bottom"/>
            <w:vMerge w:val="continue"/>
          </w:tcPr>
          <w:p>
            <w:pPr>
              <w:spacing w:after="0"/>
              <w:rPr>
                <w:sz w:val="17"/>
                <w:szCs w:val="17"/>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13,298</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-161925</wp:posOffset>
            </wp:positionV>
            <wp:extent cx="431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-161925</wp:posOffset>
            </wp:positionV>
            <wp:extent cx="431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342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-161925</wp:posOffset>
            </wp:positionV>
            <wp:extent cx="342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Loans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Business Assets</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2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Dependent 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w:t>
            </w:r>
          </w:p>
        </w:tc>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SBA</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SBA - PPP</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Dairy &amp; livestock and agribusiness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SFR mortgage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collateral-dependent loans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-161925</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-161925</wp:posOffset>
            </wp:positionV>
            <wp:extent cx="774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-161925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Unfunded Loan Commitments</w:t>
      </w:r>
    </w:p>
    <w:p>
      <w:pPr>
        <w:spacing w:after="0" w:line="216" w:lineRule="exact"/>
        <w:rPr>
          <w:sz w:val="20"/>
          <w:szCs w:val="20"/>
          <w:color w:val="auto"/>
        </w:rPr>
      </w:pPr>
    </w:p>
    <w:p>
      <w:pPr>
        <w:ind w:right="100" w:firstLine="469"/>
        <w:spacing w:after="0" w:line="246" w:lineRule="auto"/>
        <w:rPr>
          <w:sz w:val="20"/>
          <w:szCs w:val="20"/>
          <w:color w:val="auto"/>
        </w:rPr>
      </w:pPr>
      <w:r>
        <w:rPr>
          <w:rFonts w:ascii="Times New Roman" w:cs="Times New Roman" w:eastAsia="Times New Roman" w:hAnsi="Times New Roman"/>
          <w:sz w:val="18"/>
          <w:szCs w:val="18"/>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March 31, 2022. There was no provision or recapture of provision for unfunded loan commitments for the three months ended March 31, 2022 and 2021. As of March 31, 2022 and December 31, 2021, the balance in this reserve was $8.0 million and was included in other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 (“TDRs”)</w:t>
      </w:r>
    </w:p>
    <w:p>
      <w:pPr>
        <w:spacing w:after="0" w:line="216" w:lineRule="exact"/>
        <w:rPr>
          <w:sz w:val="20"/>
          <w:szCs w:val="20"/>
          <w:color w:val="auto"/>
        </w:rPr>
      </w:pPr>
    </w:p>
    <w:p>
      <w:pPr>
        <w:ind w:right="160" w:firstLine="469"/>
        <w:spacing w:after="0" w:line="245" w:lineRule="auto"/>
        <w:rPr>
          <w:sz w:val="20"/>
          <w:szCs w:val="20"/>
          <w:color w:val="auto"/>
        </w:rPr>
      </w:pPr>
      <w:r>
        <w:rPr>
          <w:rFonts w:ascii="Times New Roman" w:cs="Times New Roman" w:eastAsia="Times New Roman" w:hAnsi="Times New Roman"/>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our Annual Report on Form 10-K for the year ended December 31, 2021 for a more detailed discussion regarding TDRs.</w:t>
      </w:r>
    </w:p>
    <w:p>
      <w:pPr>
        <w:spacing w:after="0" w:line="181" w:lineRule="exact"/>
        <w:rPr>
          <w:sz w:val="20"/>
          <w:szCs w:val="20"/>
          <w:color w:val="auto"/>
        </w:rPr>
      </w:pPr>
    </w:p>
    <w:p>
      <w:pPr>
        <w:ind w:right="120" w:firstLine="469"/>
        <w:spacing w:after="0" w:line="246" w:lineRule="auto"/>
        <w:rPr>
          <w:sz w:val="20"/>
          <w:szCs w:val="20"/>
          <w:color w:val="auto"/>
        </w:rPr>
      </w:pPr>
      <w:r>
        <w:rPr>
          <w:rFonts w:ascii="Times New Roman" w:cs="Times New Roman" w:eastAsia="Times New Roman" w:hAnsi="Times New Roman"/>
          <w:sz w:val="18"/>
          <w:szCs w:val="18"/>
          <w:color w:val="auto"/>
        </w:rPr>
        <w:t>As of March 31, 2022, there were $5.3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March 31, 2022, performing TDRs were comprised of three commercial and industrial loans of $1.9 million, one commercial real estate loan of $2.4 million, and five SFR mortgage loans of $1.0 million.</w:t>
      </w:r>
    </w:p>
    <w:p>
      <w:pPr>
        <w:spacing w:after="0" w:line="181" w:lineRule="exact"/>
        <w:rPr>
          <w:sz w:val="20"/>
          <w:szCs w:val="20"/>
          <w:color w:val="auto"/>
        </w:rPr>
      </w:pPr>
    </w:p>
    <w:p>
      <w:pPr>
        <w:ind w:right="380" w:firstLine="469"/>
        <w:spacing w:after="0" w:line="266" w:lineRule="auto"/>
        <w:rPr>
          <w:sz w:val="20"/>
          <w:szCs w:val="20"/>
          <w:color w:val="auto"/>
        </w:rPr>
      </w:pPr>
      <w:r>
        <w:rPr>
          <w:rFonts w:ascii="Times New Roman" w:cs="Times New Roman" w:eastAsia="Times New Roman" w:hAnsi="Times New Roman"/>
          <w:sz w:val="18"/>
          <w:szCs w:val="18"/>
          <w:color w:val="auto"/>
        </w:rPr>
        <w:t>The majority of TDRs have no specific allowance allocated as any impairment amount is normally charged off at the time the loan is considered uncollectible. We have no allocated allowance to TDRs as of March 31, 2022 and December 31, 2021.</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the activity related to TDRs for the periods presented.</w:t>
      </w:r>
    </w:p>
    <w:p>
      <w:pPr>
        <w:spacing w:after="0" w:line="208"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Performing TDRs:</w:t>
            </w:r>
          </w:p>
        </w:tc>
        <w:tc>
          <w:tcPr>
            <w:tcW w:w="26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3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38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New modifications</w:t>
            </w:r>
          </w:p>
        </w:tc>
        <w:tc>
          <w:tcPr>
            <w:tcW w:w="26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(34 )</w:t>
            </w:r>
          </w:p>
        </w:tc>
        <w:tc>
          <w:tcPr>
            <w:tcW w:w="6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(989 )</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26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2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FF0FC"/>
            </w:tcBorders>
            <w:shd w:val="clear" w:color="auto" w:fill="CFF0FC"/>
          </w:tcPr>
          <w:p>
            <w:pPr>
              <w:jc w:val="center"/>
              <w:ind w:right="1850"/>
              <w:spacing w:after="0"/>
              <w:rPr>
                <w:sz w:val="20"/>
                <w:szCs w:val="20"/>
                <w:color w:val="auto"/>
              </w:rPr>
            </w:pPr>
            <w:r>
              <w:rPr>
                <w:rFonts w:ascii="Times New Roman" w:cs="Times New Roman" w:eastAsia="Times New Roman" w:hAnsi="Times New Roman"/>
                <w:sz w:val="18"/>
                <w:szCs w:val="18"/>
                <w:color w:val="auto"/>
              </w:rPr>
              <w:t>Ending balance</w:t>
            </w:r>
          </w:p>
        </w:tc>
        <w:tc>
          <w:tcPr>
            <w:tcW w:w="26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3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Nonperforming TDRs:</w:t>
            </w: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Beginning balance</w:t>
            </w:r>
          </w:p>
        </w:tc>
        <w:tc>
          <w:tcPr>
            <w:tcW w:w="3920" w:type="dxa"/>
            <w:vAlign w:val="bottom"/>
            <w:gridSpan w:val="2"/>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modifications</w:t>
            </w: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Charge-offs</w:t>
            </w:r>
          </w:p>
        </w:tc>
        <w:tc>
          <w:tcPr>
            <w:tcW w:w="26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Payoffs/payments, net and other</w:t>
            </w:r>
          </w:p>
        </w:tc>
        <w:tc>
          <w:tcPr>
            <w:tcW w:w="2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TDRs returned to accrual status</w:t>
            </w:r>
          </w:p>
        </w:tc>
        <w:tc>
          <w:tcPr>
            <w:tcW w:w="26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TDRs placed on nonaccrual status</w:t>
            </w:r>
          </w:p>
        </w:tc>
        <w:tc>
          <w:tcPr>
            <w:tcW w:w="26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FF0FC"/>
            </w:tcBorders>
            <w:shd w:val="clear" w:color="auto" w:fill="CFF0FC"/>
          </w:tcPr>
          <w:p>
            <w:pPr>
              <w:jc w:val="center"/>
              <w:ind w:right="1850"/>
              <w:spacing w:after="0"/>
              <w:rPr>
                <w:sz w:val="20"/>
                <w:szCs w:val="20"/>
                <w:color w:val="auto"/>
              </w:rPr>
            </w:pPr>
            <w:r>
              <w:rPr>
                <w:rFonts w:ascii="Times New Roman" w:cs="Times New Roman" w:eastAsia="Times New Roman" w:hAnsi="Times New Roman"/>
                <w:sz w:val="18"/>
                <w:szCs w:val="18"/>
                <w:color w:val="auto"/>
              </w:rPr>
              <w:t>Ending balance</w:t>
            </w:r>
          </w:p>
        </w:tc>
        <w:tc>
          <w:tcPr>
            <w:tcW w:w="26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Total TDRs</w:t>
            </w:r>
          </w:p>
        </w:tc>
        <w:tc>
          <w:tcPr>
            <w:tcW w:w="3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38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62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-1756410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-1756410</wp:posOffset>
            </wp:positionV>
            <wp:extent cx="59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-642620</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-642620</wp:posOffset>
            </wp:positionV>
            <wp:extent cx="596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8"/>
          <w:szCs w:val="18"/>
          <w:color w:val="auto"/>
        </w:rPr>
        <w:t>The following tables summarize loans modified as TDRs for the period presented.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Modifications (1)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9"/>
          </w:tcPr>
          <w:p>
            <w:pPr>
              <w:ind w:left="1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100" w:type="dxa"/>
            <w:vAlign w:val="bottom"/>
          </w:tcPr>
          <w:p>
            <w:pPr>
              <w:spacing w:after="0"/>
              <w:rPr>
                <w:sz w:val="11"/>
                <w:szCs w:val="11"/>
                <w:color w:val="auto"/>
              </w:rPr>
            </w:pPr>
          </w:p>
        </w:tc>
        <w:tc>
          <w:tcPr>
            <w:tcW w:w="174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1680" w:type="dxa"/>
            <w:vAlign w:val="bottom"/>
            <w:gridSpan w:val="5"/>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Financial Effect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184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3"/>
                <w:szCs w:val="13"/>
                <w:color w:val="auto"/>
              </w:rPr>
            </w:pPr>
          </w:p>
        </w:tc>
        <w:tc>
          <w:tcPr>
            <w:tcW w:w="1660" w:type="dxa"/>
            <w:vAlign w:val="bottom"/>
            <w:gridSpan w:val="4"/>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Investment at March</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Resulting From</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17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Modifications (2)</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gridSpan w:val="3"/>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0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4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00" w:type="dxa"/>
            <w:vAlign w:val="bottom"/>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gridSpan w:val="3"/>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SFR mortgage:</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gridSpan w:val="3"/>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920" w:type="dxa"/>
            <w:vAlign w:val="bottom"/>
            <w:tcBorders>
              <w:bottom w:val="single" w:sz="8" w:color="auto"/>
            </w:tcBorders>
            <w:gridSpan w:val="2"/>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Total loans</w:t>
            </w:r>
          </w:p>
        </w:tc>
        <w:tc>
          <w:tcPr>
            <w:tcW w:w="9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9"/>
          </w:tcPr>
          <w:p>
            <w:pPr>
              <w:ind w:left="14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2021</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100" w:type="dxa"/>
            <w:vAlign w:val="bottom"/>
          </w:tcPr>
          <w:p>
            <w:pPr>
              <w:spacing w:after="0"/>
              <w:rPr>
                <w:sz w:val="11"/>
                <w:szCs w:val="11"/>
                <w:color w:val="auto"/>
              </w:rPr>
            </w:pPr>
          </w:p>
        </w:tc>
        <w:tc>
          <w:tcPr>
            <w:tcW w:w="174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20" w:type="dxa"/>
            <w:vAlign w:val="bottom"/>
          </w:tcPr>
          <w:p>
            <w:pPr>
              <w:spacing w:after="0"/>
              <w:rPr>
                <w:sz w:val="11"/>
                <w:szCs w:val="11"/>
                <w:color w:val="auto"/>
              </w:rPr>
            </w:pPr>
          </w:p>
        </w:tc>
        <w:tc>
          <w:tcPr>
            <w:tcW w:w="1660" w:type="dxa"/>
            <w:vAlign w:val="bottom"/>
            <w:gridSpan w:val="4"/>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center"/>
              <w:ind w:left="48"/>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100" w:type="dxa"/>
            <w:vAlign w:val="bottom"/>
          </w:tcPr>
          <w:p>
            <w:pPr>
              <w:spacing w:after="0"/>
              <w:rPr>
                <w:sz w:val="13"/>
                <w:szCs w:val="13"/>
                <w:color w:val="auto"/>
              </w:rPr>
            </w:pPr>
          </w:p>
        </w:tc>
        <w:tc>
          <w:tcPr>
            <w:tcW w:w="174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Outstanding Recorded</w:t>
            </w:r>
          </w:p>
        </w:tc>
        <w:tc>
          <w:tcPr>
            <w:tcW w:w="20" w:type="dxa"/>
            <w:vAlign w:val="bottom"/>
          </w:tcPr>
          <w:p>
            <w:pPr>
              <w:spacing w:after="0"/>
              <w:rPr>
                <w:sz w:val="13"/>
                <w:szCs w:val="13"/>
                <w:color w:val="auto"/>
              </w:rPr>
            </w:pPr>
          </w:p>
        </w:tc>
        <w:tc>
          <w:tcPr>
            <w:tcW w:w="1660" w:type="dxa"/>
            <w:vAlign w:val="bottom"/>
            <w:gridSpan w:val="4"/>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Investment at March</w:t>
            </w:r>
          </w:p>
        </w:tc>
        <w:tc>
          <w:tcPr>
            <w:tcW w:w="20" w:type="dxa"/>
            <w:vAlign w:val="bottom"/>
          </w:tcPr>
          <w:p>
            <w:pPr>
              <w:spacing w:after="0"/>
              <w:rPr>
                <w:sz w:val="13"/>
                <w:szCs w:val="13"/>
                <w:color w:val="auto"/>
              </w:rPr>
            </w:pPr>
          </w:p>
        </w:tc>
        <w:tc>
          <w:tcPr>
            <w:tcW w:w="168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Financial Effect Resulting</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17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0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From Modifications (2)</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gridSpan w:val="3"/>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4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8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6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540" w:type="dxa"/>
            <w:vAlign w:val="bottom"/>
            <w:gridSpan w:val="2"/>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gridSpan w:val="3"/>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4,643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4,443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SFR mortgage:</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Interest rate reduction</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800" w:type="dxa"/>
            <w:vAlign w:val="bottom"/>
            <w:gridSpan w:val="3"/>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Change in amortization period</w:t>
            </w:r>
          </w:p>
        </w:tc>
        <w:tc>
          <w:tcPr>
            <w:tcW w:w="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or maturity</w:t>
            </w:r>
          </w:p>
        </w:tc>
        <w:tc>
          <w:tcPr>
            <w:tcW w:w="9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tcBorders>
            <w:gridSpan w:val="2"/>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Total loans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4,643</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4,443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tables above exclude modified loans that were paid off prior to the end of the period.</w:t>
      </w:r>
    </w:p>
    <w:p>
      <w:pPr>
        <w:spacing w:after="0" w:line="2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effects resulting from modifications represent charge-offs and current allowance for credit losses at modification date.</w:t>
      </w:r>
    </w:p>
    <w:p>
      <w:pPr>
        <w:spacing w:after="0" w:line="199" w:lineRule="exact"/>
        <w:rPr>
          <w:sz w:val="20"/>
          <w:szCs w:val="20"/>
          <w:color w:val="auto"/>
        </w:rPr>
      </w:pPr>
    </w:p>
    <w:p>
      <w:pPr>
        <w:ind w:right="80" w:firstLine="469"/>
        <w:spacing w:after="0" w:line="266" w:lineRule="auto"/>
        <w:rPr>
          <w:sz w:val="20"/>
          <w:szCs w:val="20"/>
          <w:color w:val="auto"/>
        </w:rPr>
      </w:pPr>
      <w:r>
        <w:rPr>
          <w:rFonts w:ascii="Times New Roman" w:cs="Times New Roman" w:eastAsia="Times New Roman" w:hAnsi="Times New Roman"/>
          <w:sz w:val="18"/>
          <w:szCs w:val="18"/>
          <w:color w:val="auto"/>
        </w:rPr>
        <w:t>As of March 31, 2022 and 2021, there were no loans that were modified as a TDR within the previous 12 months that subsequently defaulted during the three months ended March 31, 2022 and 2021, respectively.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 RECONCILIATION</w:t>
      </w:r>
    </w:p>
    <w:p>
      <w:pPr>
        <w:spacing w:after="0" w:line="216" w:lineRule="exact"/>
        <w:rPr>
          <w:sz w:val="20"/>
          <w:szCs w:val="20"/>
          <w:color w:val="auto"/>
        </w:rPr>
      </w:pPr>
    </w:p>
    <w:p>
      <w:pPr>
        <w:ind w:right="80" w:firstLine="469"/>
        <w:spacing w:after="0" w:line="246" w:lineRule="auto"/>
        <w:rPr>
          <w:sz w:val="20"/>
          <w:szCs w:val="20"/>
          <w:color w:val="auto"/>
        </w:rPr>
      </w:pPr>
      <w:r>
        <w:rPr>
          <w:rFonts w:ascii="Times New Roman" w:cs="Times New Roman" w:eastAsia="Times New Roman" w:hAnsi="Times New Roman"/>
          <w:sz w:val="18"/>
          <w:szCs w:val="18"/>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months ended March 31, 2022 and March 31, 2021, shares deemed to be antidilutive, and thus excluded from the computation of earnings per common share, were 374,000 and 117,000, respectively.</w:t>
      </w:r>
    </w:p>
    <w:p>
      <w:pPr>
        <w:spacing w:after="0" w:line="181" w:lineRule="exact"/>
        <w:rPr>
          <w:sz w:val="20"/>
          <w:szCs w:val="20"/>
          <w:color w:val="auto"/>
        </w:rPr>
      </w:pPr>
    </w:p>
    <w:p>
      <w:pPr>
        <w:ind w:right="220" w:firstLine="469"/>
        <w:spacing w:after="0" w:line="266" w:lineRule="auto"/>
        <w:rPr>
          <w:sz w:val="20"/>
          <w:szCs w:val="20"/>
          <w:color w:val="auto"/>
        </w:rPr>
      </w:pPr>
      <w:r>
        <w:rPr>
          <w:rFonts w:ascii="Times New Roman" w:cs="Times New Roman" w:eastAsia="Times New Roman" w:hAnsi="Times New Roman"/>
          <w:sz w:val="18"/>
          <w:szCs w:val="18"/>
          <w:color w:val="auto"/>
        </w:rPr>
        <w:t>The table below shows earnings per common share and diluted earnings per common share, and reconciles the numerator and denominator of both earnings per common share calculations.</w:t>
      </w:r>
    </w:p>
    <w:p>
      <w:pPr>
        <w:spacing w:after="0" w:line="158"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80" w:type="dxa"/>
            <w:vAlign w:val="bottom"/>
            <w:gridSpan w:val="5"/>
          </w:tcPr>
          <w:p>
            <w:pPr>
              <w:jc w:val="right"/>
              <w:ind w:right="41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394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Net earnings allocated to restricted stock</w:t>
            </w:r>
          </w:p>
        </w:tc>
        <w:tc>
          <w:tcPr>
            <w:tcW w:w="28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allocated to common shareholders</w:t>
            </w:r>
          </w:p>
        </w:tc>
        <w:tc>
          <w:tcPr>
            <w:tcW w:w="394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8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144,725</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135,175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94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394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45,307</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8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144,725</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135,175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64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Incremental shares from assumed exercise of</w:t>
            </w:r>
          </w:p>
        </w:tc>
        <w:tc>
          <w:tcPr>
            <w:tcW w:w="2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options</w:t>
            </w:r>
          </w:p>
        </w:tc>
        <w:tc>
          <w:tcPr>
            <w:tcW w:w="28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135,428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940" w:type="dxa"/>
            <w:vAlign w:val="bottom"/>
            <w:gridSpan w:val="2"/>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86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25</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6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-2082165</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-2082165</wp:posOffset>
            </wp:positionV>
            <wp:extent cx="431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16" w:lineRule="exact"/>
        <w:rPr>
          <w:sz w:val="20"/>
          <w:szCs w:val="20"/>
          <w:color w:val="auto"/>
        </w:rPr>
      </w:pPr>
    </w:p>
    <w:p>
      <w:pPr>
        <w:ind w:right="300" w:firstLine="469"/>
        <w:spacing w:after="0" w:line="266" w:lineRule="auto"/>
        <w:rPr>
          <w:sz w:val="20"/>
          <w:szCs w:val="20"/>
          <w:color w:val="auto"/>
        </w:rPr>
      </w:pPr>
      <w:r>
        <w:rPr>
          <w:rFonts w:ascii="Times New Roman" w:cs="Times New Roman" w:eastAsia="Times New Roman" w:hAnsi="Times New Roman"/>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right="20" w:firstLine="469"/>
        <w:spacing w:after="0" w:line="266" w:lineRule="auto"/>
        <w:rPr>
          <w:sz w:val="20"/>
          <w:szCs w:val="20"/>
          <w:color w:val="auto"/>
        </w:rPr>
      </w:pPr>
      <w:r>
        <w:rPr>
          <w:rFonts w:ascii="Times New Roman" w:cs="Times New Roman" w:eastAsia="Times New Roman" w:hAnsi="Times New Roman"/>
          <w:sz w:val="18"/>
          <w:szCs w:val="18"/>
          <w:color w:val="auto"/>
        </w:rPr>
        <w:t xml:space="preserve">The valuation methodologies for financial assets and liabilities measured at fair value on a recurring and non-recurring basis are described in Note 18 — </w:t>
      </w:r>
      <w:r>
        <w:rPr>
          <w:rFonts w:ascii="Times New Roman" w:cs="Times New Roman" w:eastAsia="Times New Roman" w:hAnsi="Times New Roman"/>
          <w:sz w:val="18"/>
          <w:szCs w:val="18"/>
          <w:i w:val="1"/>
          <w:iCs w:val="1"/>
          <w:color w:val="auto"/>
        </w:rPr>
        <w:t>Fair Value Information,</w:t>
      </w:r>
      <w:r>
        <w:rPr>
          <w:rFonts w:ascii="Times New Roman" w:cs="Times New Roman" w:eastAsia="Times New Roman" w:hAnsi="Times New Roman"/>
          <w:sz w:val="18"/>
          <w:szCs w:val="18"/>
          <w:color w:val="auto"/>
        </w:rPr>
        <w:t xml:space="preserve"> included in our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tables below present the balances of assets and liabilities measured at fair value on a recurring basis as of the dates presented.</w:t>
      </w:r>
    </w:p>
    <w:p>
      <w:pPr>
        <w:spacing w:after="0" w:line="21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b w:val="1"/>
          <w:bCs w:val="1"/>
          <w:color w:val="auto"/>
        </w:rPr>
        <w:t>Quoted Prices</w:t>
      </w:r>
    </w:p>
    <w:p>
      <w:pPr>
        <w:ind w:left="6120"/>
        <w:spacing w:after="0" w:line="228" w:lineRule="auto"/>
        <w:rPr>
          <w:sz w:val="20"/>
          <w:szCs w:val="20"/>
          <w:color w:val="auto"/>
        </w:rPr>
      </w:pPr>
      <w:r>
        <w:rPr>
          <w:rFonts w:ascii="Times New Roman" w:cs="Times New Roman" w:eastAsia="Times New Roman" w:hAnsi="Times New Roman"/>
          <w:sz w:val="16"/>
          <w:szCs w:val="16"/>
          <w:b w:val="1"/>
          <w:bCs w:val="1"/>
          <w:color w:val="auto"/>
        </w:rPr>
        <w:t>in Active</w:t>
      </w:r>
    </w:p>
    <w:tbl>
      <w:tblPr>
        <w:tblLayout w:type="fixed"/>
        <w:tblInd w:w="0" w:type="dxa"/>
        <w:tblCellMar>
          <w:top w:w="0" w:type="dxa"/>
          <w:left w:w="0" w:type="dxa"/>
          <w:bottom w:w="0" w:type="dxa"/>
          <w:right w:w="0" w:type="dxa"/>
        </w:tblCellMar>
      </w:tblPr>
      <w:tr>
        <w:trPr>
          <w:trHeight w:val="145"/>
        </w:trPr>
        <w:tc>
          <w:tcPr>
            <w:tcW w:w="3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Pr>
          <w:p>
            <w:pPr>
              <w:jc w:val="center"/>
              <w:ind w:left="81"/>
              <w:spacing w:after="0" w:line="145" w:lineRule="exact"/>
              <w:rPr>
                <w:sz w:val="20"/>
                <w:szCs w:val="20"/>
                <w:color w:val="auto"/>
              </w:rPr>
            </w:pPr>
            <w:r>
              <w:rPr>
                <w:rFonts w:ascii="Times New Roman" w:cs="Times New Roman" w:eastAsia="Times New Roman" w:hAnsi="Times New Roman"/>
                <w:sz w:val="16"/>
                <w:szCs w:val="16"/>
                <w:b w:val="1"/>
                <w:bCs w:val="1"/>
                <w:color w:val="auto"/>
              </w:rPr>
              <w:t>Markets for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w w:val="99"/>
              </w:rPr>
              <w:t>Carrying Value at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jc w:val="center"/>
              <w:ind w:left="81"/>
              <w:spacing w:after="0" w:line="175"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gridSpan w:val="8"/>
          </w:tcPr>
          <w:p>
            <w:pPr>
              <w:jc w:val="right"/>
              <w:ind w:right="1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3,080,992</w:t>
            </w:r>
          </w:p>
        </w:tc>
        <w:tc>
          <w:tcPr>
            <w:tcW w:w="1780" w:type="dxa"/>
            <w:vAlign w:val="bottom"/>
            <w:gridSpan w:val="3"/>
            <w:shd w:val="clear" w:color="auto" w:fill="CFF0FC"/>
          </w:tcPr>
          <w:p>
            <w:pPr>
              <w:jc w:val="right"/>
              <w:ind w:right="13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3,080,992</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536,997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536,997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28,231</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28,231</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1,110</w:t>
            </w: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1,110</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3,647,330</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3,647,330</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3,653</w:t>
            </w: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3,653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3,650,983</w:t>
            </w:r>
          </w:p>
        </w:tc>
        <w:tc>
          <w:tcPr>
            <w:tcW w:w="26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auto"/>
            </w:tcBorders>
            <w:gridSpan w:val="2"/>
            <w:shd w:val="clear" w:color="auto" w:fill="CFF0FC"/>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3,650,983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3,653</w:t>
            </w:r>
          </w:p>
        </w:tc>
        <w:tc>
          <w:tcPr>
            <w:tcW w:w="26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gridSpan w:val="2"/>
            <w:shd w:val="clear" w:color="auto" w:fill="CFF0FC"/>
          </w:tcPr>
          <w:p>
            <w:pPr>
              <w:jc w:val="right"/>
              <w:ind w:right="1341"/>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3,653</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3,653</w:t>
            </w:r>
          </w:p>
        </w:tc>
        <w:tc>
          <w:tcPr>
            <w:tcW w:w="1780" w:type="dxa"/>
            <w:vAlign w:val="bottom"/>
            <w:gridSpan w:val="3"/>
          </w:tcPr>
          <w:p>
            <w:pPr>
              <w:jc w:val="right"/>
              <w:ind w:right="13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3,653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jc w:val="center"/>
              <w:ind w:left="41"/>
              <w:spacing w:after="0" w:line="175" w:lineRule="exact"/>
              <w:rPr>
                <w:sz w:val="20"/>
                <w:szCs w:val="20"/>
                <w:color w:val="auto"/>
              </w:rPr>
            </w:pPr>
            <w:r>
              <w:rPr>
                <w:rFonts w:ascii="Times New Roman" w:cs="Times New Roman" w:eastAsia="Times New Roman" w:hAnsi="Times New Roman"/>
                <w:sz w:val="16"/>
                <w:szCs w:val="16"/>
                <w:b w:val="1"/>
                <w:bCs w:val="1"/>
                <w:color w:val="auto"/>
                <w:w w:val="98"/>
              </w:rPr>
              <w:t>in Active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Carrying Value at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ind w:left="81"/>
              <w:spacing w:after="0" w:line="165" w:lineRule="exact"/>
              <w:rPr>
                <w:sz w:val="20"/>
                <w:szCs w:val="20"/>
                <w:color w:val="auto"/>
              </w:rPr>
            </w:pPr>
            <w:r>
              <w:rPr>
                <w:rFonts w:ascii="Times New Roman" w:cs="Times New Roman" w:eastAsia="Times New Roman" w:hAnsi="Times New Roman"/>
                <w:sz w:val="16"/>
                <w:szCs w:val="16"/>
                <w:b w:val="1"/>
                <w:bCs w:val="1"/>
                <w:color w:val="auto"/>
              </w:rPr>
              <w:t>Markets for</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jc w:val="center"/>
              <w:ind w:left="81"/>
              <w:spacing w:after="0" w:line="173"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80"/>
              <w:spacing w:after="0" w:line="173"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40"/>
              <w:spacing w:after="0" w:line="173"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gridSpan w:val="8"/>
          </w:tcPr>
          <w:p>
            <w:pPr>
              <w:jc w:val="right"/>
              <w:ind w:right="1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assets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securities - AFS: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2,563,214</w:t>
            </w:r>
          </w:p>
        </w:tc>
        <w:tc>
          <w:tcPr>
            <w:tcW w:w="40" w:type="dxa"/>
            <w:vAlign w:val="bottom"/>
            <w:shd w:val="clear" w:color="auto" w:fill="CFF0FC"/>
          </w:tcPr>
          <w:p>
            <w:pPr>
              <w:spacing w:after="0"/>
              <w:rPr>
                <w:sz w:val="17"/>
                <w:szCs w:val="17"/>
                <w:color w:val="auto"/>
              </w:rPr>
            </w:pPr>
          </w:p>
        </w:tc>
        <w:tc>
          <w:tcPr>
            <w:tcW w:w="1780" w:type="dxa"/>
            <w:vAlign w:val="bottom"/>
            <w:gridSpan w:val="3"/>
            <w:shd w:val="clear" w:color="auto" w:fill="CFF0FC"/>
          </w:tcPr>
          <w:p>
            <w:pPr>
              <w:jc w:val="right"/>
              <w:ind w:right="13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2,563,214</w:t>
            </w:r>
          </w:p>
        </w:tc>
        <w:tc>
          <w:tcPr>
            <w:tcW w:w="40" w:type="dxa"/>
            <w:vAlign w:val="bottom"/>
            <w:shd w:val="clear" w:color="auto" w:fill="CFF0FC"/>
          </w:tcPr>
          <w:p>
            <w:pPr>
              <w:spacing w:after="0"/>
              <w:rPr>
                <w:sz w:val="17"/>
                <w:szCs w:val="17"/>
                <w:color w:val="auto"/>
              </w:rPr>
            </w:pP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CMO/REMIC</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590,158</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590,158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Municipal bonds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29,468</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securities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investment securities - AFS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3,183,923</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3,183,923</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3,198,086</w:t>
            </w:r>
          </w:p>
        </w:tc>
        <w:tc>
          <w:tcPr>
            <w:tcW w:w="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gridSpan w:val="2"/>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13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3,198,086</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 of liability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rate swaps</w:t>
            </w: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2"/>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3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 w:type="dxa"/>
            <w:vAlign w:val="bottom"/>
          </w:tcPr>
          <w:p>
            <w:pPr>
              <w:spacing w:after="0"/>
              <w:rPr>
                <w:sz w:val="17"/>
                <w:szCs w:val="17"/>
                <w:color w:val="auto"/>
              </w:rPr>
            </w:pPr>
          </w:p>
        </w:tc>
        <w:tc>
          <w:tcPr>
            <w:tcW w:w="1780" w:type="dxa"/>
            <w:vAlign w:val="bottom"/>
            <w:gridSpan w:val="3"/>
          </w:tcPr>
          <w:p>
            <w:pPr>
              <w:jc w:val="right"/>
              <w:ind w:right="132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14,163</w:t>
            </w:r>
          </w:p>
        </w:tc>
        <w:tc>
          <w:tcPr>
            <w:tcW w:w="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-2819400</wp:posOffset>
            </wp:positionV>
            <wp:extent cx="431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-2802255</wp:posOffset>
            </wp:positionV>
            <wp:extent cx="43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-2819400</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-2802255</wp:posOffset>
            </wp:positionV>
            <wp:extent cx="431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-2819400</wp:posOffset>
            </wp:positionV>
            <wp:extent cx="342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-2802255</wp:posOffset>
            </wp:positionV>
            <wp:extent cx="342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-2819400</wp:posOffset>
            </wp:positionV>
            <wp:extent cx="342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-2802255</wp:posOffset>
            </wp:positionV>
            <wp:extent cx="342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-2536825</wp:posOffset>
            </wp:positionV>
            <wp:extent cx="431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-2536825</wp:posOffset>
            </wp:positionV>
            <wp:extent cx="431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-2536825</wp:posOffset>
            </wp:positionV>
            <wp:extent cx="342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-2536825</wp:posOffset>
            </wp:positionV>
            <wp:extent cx="342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-445135</wp:posOffset>
            </wp:positionV>
            <wp:extent cx="768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-427990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-445135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-427990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-445135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-427990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-162560</wp:posOffset>
            </wp:positionV>
            <wp:extent cx="76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16" w:lineRule="exact"/>
        <w:rPr>
          <w:sz w:val="20"/>
          <w:szCs w:val="20"/>
          <w:color w:val="auto"/>
        </w:rPr>
      </w:pPr>
    </w:p>
    <w:p>
      <w:pPr>
        <w:ind w:right="540" w:firstLine="469"/>
        <w:spacing w:after="0" w:line="266" w:lineRule="auto"/>
        <w:rPr>
          <w:sz w:val="20"/>
          <w:szCs w:val="20"/>
          <w:color w:val="auto"/>
        </w:rPr>
      </w:pPr>
      <w:r>
        <w:rPr>
          <w:rFonts w:ascii="Times New Roman" w:cs="Times New Roman" w:eastAsia="Times New Roman" w:hAnsi="Times New Roman"/>
          <w:sz w:val="18"/>
          <w:szCs w:val="18"/>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62" w:lineRule="exact"/>
        <w:rPr>
          <w:sz w:val="20"/>
          <w:szCs w:val="20"/>
          <w:color w:val="auto"/>
        </w:rPr>
      </w:pPr>
    </w:p>
    <w:p>
      <w:pPr>
        <w:ind w:right="120" w:firstLine="469"/>
        <w:spacing w:after="0" w:line="250" w:lineRule="auto"/>
        <w:rPr>
          <w:sz w:val="20"/>
          <w:szCs w:val="20"/>
          <w:color w:val="auto"/>
        </w:rPr>
      </w:pPr>
      <w:r>
        <w:rPr>
          <w:rFonts w:ascii="Times New Roman" w:cs="Times New Roman" w:eastAsia="Times New Roman" w:hAnsi="Times New Roman"/>
          <w:sz w:val="18"/>
          <w:szCs w:val="18"/>
          <w:color w:val="auto"/>
        </w:rPr>
        <w:t>For assets measured at fair value on a non-recurring basis that were held on the balance sheet at March 31, 2022 and December 31, 2021, respectively, the following tables provide the level of valuation assumptions used to determine each adjustment and the carrying value of the related assets that had losses during the period. These losses on collateral dependent loans represent the amount of the allowance for credit losses and/or charge-offs during the period applicable to loans held at period-end. The amount of the allowance is included in the ACL.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Total Losses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left="124"/>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224"/>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left="84"/>
              <w:spacing w:after="0" w:line="162" w:lineRule="exact"/>
              <w:rPr>
                <w:sz w:val="20"/>
                <w:szCs w:val="20"/>
                <w:color w:val="auto"/>
              </w:rPr>
            </w:pPr>
            <w:r>
              <w:rPr>
                <w:rFonts w:ascii="Times New Roman" w:cs="Times New Roman" w:eastAsia="Times New Roman" w:hAnsi="Times New Roman"/>
                <w:sz w:val="15"/>
                <w:szCs w:val="15"/>
                <w:b w:val="1"/>
                <w:bCs w:val="1"/>
                <w:color w:val="auto"/>
              </w:rPr>
              <w:t>Value at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4"/>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March 31, 2022</w:t>
            </w:r>
          </w:p>
        </w:tc>
        <w:tc>
          <w:tcPr>
            <w:tcW w:w="1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March 31, 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Commercial real estate</w:t>
            </w: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66"/>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4"/>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3,003</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Construction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SBA</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CFF0FC"/>
          </w:tcPr>
          <w:p>
            <w:pPr>
              <w:spacing w:after="0"/>
              <w:rPr>
                <w:sz w:val="11"/>
                <w:szCs w:val="11"/>
                <w:color w:val="auto"/>
              </w:rPr>
            </w:pPr>
          </w:p>
        </w:tc>
        <w:tc>
          <w:tcPr>
            <w:tcW w:w="2600" w:type="dxa"/>
            <w:vAlign w:val="bottom"/>
            <w:shd w:val="clear" w:color="auto" w:fill="CFF0FC"/>
          </w:tcPr>
          <w:p>
            <w:pPr>
              <w:ind w:left="220"/>
              <w:spacing w:after="0" w:line="135" w:lineRule="exact"/>
              <w:rPr>
                <w:sz w:val="20"/>
                <w:szCs w:val="20"/>
                <w:color w:val="auto"/>
              </w:rPr>
            </w:pPr>
            <w:r>
              <w:rPr>
                <w:rFonts w:ascii="Times New Roman" w:cs="Times New Roman" w:eastAsia="Times New Roman" w:hAnsi="Times New Roman"/>
                <w:sz w:val="15"/>
                <w:szCs w:val="15"/>
                <w:color w:val="auto"/>
              </w:rPr>
              <w:t>Dairy &amp; livestock and</w:t>
            </w: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FF0FC"/>
          </w:tcPr>
          <w:p>
            <w:pPr>
              <w:spacing w:after="0"/>
              <w:rPr>
                <w:sz w:val="18"/>
                <w:szCs w:val="18"/>
                <w:color w:val="auto"/>
              </w:rPr>
            </w:pPr>
          </w:p>
        </w:tc>
        <w:tc>
          <w:tcPr>
            <w:tcW w:w="26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agribusiness</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2,638</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2,497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600" w:type="dxa"/>
            <w:vAlign w:val="bottom"/>
          </w:tcPr>
          <w:p>
            <w:pPr>
              <w:ind w:left="220"/>
              <w:spacing w:after="0" w:line="135" w:lineRule="exact"/>
              <w:rPr>
                <w:sz w:val="20"/>
                <w:szCs w:val="20"/>
                <w:color w:val="auto"/>
              </w:rPr>
            </w:pPr>
            <w:r>
              <w:rPr>
                <w:rFonts w:ascii="Times New Roman" w:cs="Times New Roman" w:eastAsia="Times New Roman" w:hAnsi="Times New Roman"/>
                <w:sz w:val="15"/>
                <w:szCs w:val="15"/>
                <w:color w:val="auto"/>
              </w:rPr>
              <w:t>Municipal lease finance</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6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receivables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CFF0FC"/>
          </w:tcPr>
          <w:p>
            <w:pPr>
              <w:spacing w:after="0"/>
              <w:rPr>
                <w:sz w:val="16"/>
                <w:szCs w:val="16"/>
                <w:color w:val="auto"/>
              </w:rPr>
            </w:pPr>
          </w:p>
        </w:tc>
        <w:tc>
          <w:tcPr>
            <w:tcW w:w="2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SFR mortgage</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color w:val="auto"/>
              </w:rPr>
              <w:t>Other real estate owned</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Asset held-for-sale</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6,414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1266"/>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6,414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3,911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40" w:type="dxa"/>
            <w:vAlign w:val="bottom"/>
          </w:tcPr>
          <w:p>
            <w:pPr>
              <w:spacing w:after="0"/>
              <w:rPr>
                <w:sz w:val="24"/>
                <w:szCs w:val="24"/>
                <w:color w:val="auto"/>
              </w:rPr>
            </w:pPr>
          </w:p>
        </w:tc>
        <w:tc>
          <w:tcPr>
            <w:tcW w:w="1280" w:type="dxa"/>
            <w:vAlign w:val="bottom"/>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left="84"/>
              <w:spacing w:after="0" w:line="156" w:lineRule="exact"/>
              <w:rPr>
                <w:sz w:val="20"/>
                <w:szCs w:val="20"/>
                <w:color w:val="auto"/>
              </w:rPr>
            </w:pPr>
            <w:r>
              <w:rPr>
                <w:rFonts w:ascii="Times New Roman" w:cs="Times New Roman" w:eastAsia="Times New Roman" w:hAnsi="Times New Roman"/>
                <w:sz w:val="15"/>
                <w:szCs w:val="15"/>
                <w:b w:val="1"/>
                <w:bCs w:val="1"/>
                <w:color w:val="auto"/>
              </w:rPr>
              <w:t>in Active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left="364"/>
              <w:spacing w:after="0" w:line="162" w:lineRule="exact"/>
              <w:rPr>
                <w:sz w:val="20"/>
                <w:szCs w:val="20"/>
                <w:color w:val="auto"/>
              </w:rPr>
            </w:pPr>
            <w:r>
              <w:rPr>
                <w:rFonts w:ascii="Times New Roman" w:cs="Times New Roman" w:eastAsia="Times New Roman" w:hAnsi="Times New Roman"/>
                <w:sz w:val="15"/>
                <w:szCs w:val="15"/>
                <w:b w:val="1"/>
                <w:bCs w:val="1"/>
                <w:color w:val="auto"/>
              </w:rPr>
              <w:t>Value at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left="84"/>
              <w:spacing w:after="0" w:line="162" w:lineRule="exact"/>
              <w:rPr>
                <w:sz w:val="20"/>
                <w:szCs w:val="20"/>
                <w:color w:val="auto"/>
              </w:rPr>
            </w:pPr>
            <w:r>
              <w:rPr>
                <w:rFonts w:ascii="Times New Roman" w:cs="Times New Roman" w:eastAsia="Times New Roman" w:hAnsi="Times New Roman"/>
                <w:sz w:val="15"/>
                <w:szCs w:val="15"/>
                <w:b w:val="1"/>
                <w:bCs w:val="1"/>
                <w:color w:val="auto"/>
              </w:rPr>
              <w:t>Markets for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Significant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84"/>
              <w:spacing w:after="0" w:line="16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Total Losses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December 31,</w:t>
            </w:r>
          </w:p>
        </w:tc>
        <w:tc>
          <w:tcPr>
            <w:tcW w:w="140" w:type="dxa"/>
            <w:vAlign w:val="bottom"/>
          </w:tcPr>
          <w:p>
            <w:pPr>
              <w:spacing w:after="0"/>
              <w:rPr>
                <w:sz w:val="12"/>
                <w:szCs w:val="12"/>
                <w:color w:val="auto"/>
              </w:rPr>
            </w:pPr>
          </w:p>
        </w:tc>
        <w:tc>
          <w:tcPr>
            <w:tcW w:w="1280" w:type="dxa"/>
            <w:vAlign w:val="bottom"/>
          </w:tcPr>
          <w:p>
            <w:pPr>
              <w:jc w:val="center"/>
              <w:ind w:left="84"/>
              <w:spacing w:after="0" w:line="149" w:lineRule="exact"/>
              <w:rPr>
                <w:sz w:val="20"/>
                <w:szCs w:val="20"/>
                <w:color w:val="auto"/>
              </w:rPr>
            </w:pPr>
            <w:r>
              <w:rPr>
                <w:rFonts w:ascii="Times New Roman" w:cs="Times New Roman" w:eastAsia="Times New Roman" w:hAnsi="Times New Roman"/>
                <w:sz w:val="15"/>
                <w:szCs w:val="15"/>
                <w:b w:val="1"/>
                <w:bCs w:val="1"/>
                <w:color w:val="auto"/>
              </w:rPr>
              <w:t>Identical Assets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center"/>
              <w:ind w:left="6"/>
              <w:spacing w:after="0" w:line="149" w:lineRule="exact"/>
              <w:rPr>
                <w:sz w:val="20"/>
                <w:szCs w:val="20"/>
                <w:color w:val="auto"/>
              </w:rPr>
            </w:pPr>
            <w:r>
              <w:rPr>
                <w:rFonts w:ascii="Times New Roman" w:cs="Times New Roman" w:eastAsia="Times New Roman" w:hAnsi="Times New Roman"/>
                <w:sz w:val="15"/>
                <w:szCs w:val="15"/>
                <w:b w:val="1"/>
                <w:bCs w:val="1"/>
                <w:color w:val="auto"/>
              </w:rPr>
              <w:t>Observable Inputs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Unobservable Inputs</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5"/>
                <w:szCs w:val="15"/>
                <w:b w:val="1"/>
                <w:bCs w:val="1"/>
                <w:color w:val="auto"/>
                <w:w w:val="99"/>
              </w:rPr>
              <w:t>the Year Ended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gridSpan w:val="2"/>
          </w:tcPr>
          <w:p>
            <w:pPr>
              <w:jc w:val="center"/>
              <w:ind w:left="584"/>
              <w:spacing w:after="0"/>
              <w:rPr>
                <w:sz w:val="20"/>
                <w:szCs w:val="20"/>
                <w:color w:val="auto"/>
              </w:rPr>
            </w:pPr>
            <w:r>
              <w:rPr>
                <w:rFonts w:ascii="Times New Roman" w:cs="Times New Roman" w:eastAsia="Times New Roman" w:hAnsi="Times New Roman"/>
                <w:sz w:val="15"/>
                <w:szCs w:val="15"/>
                <w:b w:val="1"/>
                <w:bCs w:val="1"/>
                <w:color w:val="auto"/>
                <w:w w:val="99"/>
              </w:rPr>
              <w:t>2021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left="84"/>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left="6"/>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Description of assets</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Commercial real estate</w:t>
            </w:r>
          </w:p>
        </w:tc>
        <w:tc>
          <w:tcPr>
            <w:tcW w:w="116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12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4"/>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Construction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SBA</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646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600" w:type="dxa"/>
            <w:vAlign w:val="bottom"/>
            <w:shd w:val="clear" w:color="auto" w:fill="CFF0FC"/>
          </w:tcPr>
          <w:p>
            <w:pPr>
              <w:ind w:left="280"/>
              <w:spacing w:after="0" w:line="145" w:lineRule="exact"/>
              <w:rPr>
                <w:sz w:val="20"/>
                <w:szCs w:val="20"/>
                <w:color w:val="auto"/>
              </w:rPr>
            </w:pPr>
            <w:r>
              <w:rPr>
                <w:rFonts w:ascii="Times New Roman" w:cs="Times New Roman" w:eastAsia="Times New Roman" w:hAnsi="Times New Roman"/>
                <w:sz w:val="15"/>
                <w:szCs w:val="15"/>
                <w:color w:val="auto"/>
              </w:rPr>
              <w:t>Dairy &amp; livestock and</w:t>
            </w: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agribusiness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600" w:type="dxa"/>
            <w:vAlign w:val="bottom"/>
          </w:tcPr>
          <w:p>
            <w:pPr>
              <w:ind w:left="280"/>
              <w:spacing w:after="0" w:line="145" w:lineRule="exact"/>
              <w:rPr>
                <w:sz w:val="20"/>
                <w:szCs w:val="20"/>
                <w:color w:val="auto"/>
              </w:rPr>
            </w:pPr>
            <w:r>
              <w:rPr>
                <w:rFonts w:ascii="Times New Roman" w:cs="Times New Roman" w:eastAsia="Times New Roman" w:hAnsi="Times New Roman"/>
                <w:sz w:val="15"/>
                <w:szCs w:val="15"/>
                <w:color w:val="auto"/>
              </w:rPr>
              <w:t>Municipal lease finance</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60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receivables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5"/>
                <w:szCs w:val="15"/>
                <w:color w:val="auto"/>
              </w:rPr>
              <w:t>SFR mortgage</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Consumer and other loans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Other real estate owned</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Asset held-for-sale</w:t>
            </w:r>
          </w:p>
        </w:tc>
        <w:tc>
          <w:tcPr>
            <w:tcW w:w="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1,024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124"/>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24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3,659</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-2605405</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-2588260</wp:posOffset>
            </wp:positionV>
            <wp:extent cx="431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-2605405</wp:posOffset>
            </wp:positionV>
            <wp:extent cx="431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-2588260</wp:posOffset>
            </wp:positionV>
            <wp:extent cx="431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-2605405</wp:posOffset>
            </wp:positionV>
            <wp:extent cx="342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-2588260</wp:posOffset>
            </wp:positionV>
            <wp:extent cx="342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-2605405</wp:posOffset>
            </wp:positionV>
            <wp:extent cx="342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-2588260</wp:posOffset>
            </wp:positionV>
            <wp:extent cx="342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-2605405</wp:posOffset>
            </wp:positionV>
            <wp:extent cx="342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-2588260</wp:posOffset>
            </wp:positionV>
            <wp:extent cx="342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-25400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-25400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5969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5969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596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596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16" w:lineRule="exact"/>
        <w:rPr>
          <w:sz w:val="20"/>
          <w:szCs w:val="20"/>
          <w:color w:val="auto"/>
        </w:rPr>
      </w:pPr>
    </w:p>
    <w:p>
      <w:pPr>
        <w:ind w:right="220" w:firstLine="469"/>
        <w:spacing w:after="0" w:line="246" w:lineRule="auto"/>
        <w:rPr>
          <w:sz w:val="20"/>
          <w:szCs w:val="20"/>
          <w:color w:val="auto"/>
        </w:rPr>
      </w:pPr>
      <w:r>
        <w:rPr>
          <w:rFonts w:ascii="Times New Roman" w:cs="Times New Roman" w:eastAsia="Times New Roman" w:hAnsi="Times New Roman"/>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March 31, 2022 and December 31, 2021, respectively. The use of different market assumptions and/or estimation methodologies may have a material effect on the estimated fair value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8"/>
                <w:szCs w:val="18"/>
                <w:color w:val="auto"/>
              </w:rPr>
            </w:pPr>
          </w:p>
        </w:tc>
      </w:tr>
      <w:tr>
        <w:trPr>
          <w:trHeight w:val="208"/>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9"/>
              </w:rPr>
              <w:t>(Dollars 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1,653,039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1,653,039</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1,653,039</w:t>
            </w:r>
          </w:p>
        </w:tc>
        <w:tc>
          <w:tcPr>
            <w:tcW w:w="60" w:type="dxa"/>
            <w:vAlign w:val="bottom"/>
          </w:tcPr>
          <w:p>
            <w:pPr>
              <w:spacing w:after="0"/>
              <w:rPr>
                <w:sz w:val="18"/>
                <w:szCs w:val="18"/>
                <w:color w:val="auto"/>
              </w:rPr>
            </w:pPr>
          </w:p>
        </w:tc>
      </w:tr>
      <w:tr>
        <w:trPr>
          <w:trHeight w:val="171"/>
        </w:trPr>
        <w:tc>
          <w:tcPr>
            <w:tcW w:w="41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Interest-earning balances due from</w:t>
            </w: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34"/>
        </w:trPr>
        <w:tc>
          <w:tcPr>
            <w:tcW w:w="4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60" w:type="dxa"/>
            <w:vAlign w:val="bottom"/>
            <w:shd w:val="clear" w:color="auto" w:fill="CFF0FC"/>
          </w:tcPr>
          <w:p>
            <w:pPr>
              <w:spacing w:after="0"/>
              <w:rPr>
                <w:sz w:val="20"/>
                <w:szCs w:val="20"/>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60" w:type="dxa"/>
            <w:vAlign w:val="bottom"/>
          </w:tcPr>
          <w:p>
            <w:pPr>
              <w:spacing w:after="0"/>
              <w:rPr>
                <w:sz w:val="18"/>
                <w:szCs w:val="18"/>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2,362,741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2,203,144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2,203,144</w:t>
            </w:r>
          </w:p>
        </w:tc>
        <w:tc>
          <w:tcPr>
            <w:tcW w:w="60" w:type="dxa"/>
            <w:vAlign w:val="bottom"/>
            <w:shd w:val="clear" w:color="auto" w:fill="CFF0FC"/>
          </w:tcPr>
          <w:p>
            <w:pPr>
              <w:spacing w:after="0"/>
              <w:rPr>
                <w:sz w:val="18"/>
                <w:szCs w:val="18"/>
                <w:color w:val="auto"/>
              </w:rPr>
            </w:pPr>
          </w:p>
        </w:tc>
      </w:tr>
      <w:tr>
        <w:trPr>
          <w:trHeight w:val="171"/>
        </w:trPr>
        <w:tc>
          <w:tcPr>
            <w:tcW w:w="41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loans, net of allowance for credit</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8,515,565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8,513,262</w:t>
            </w:r>
          </w:p>
        </w:tc>
        <w:tc>
          <w:tcPr>
            <w:tcW w:w="60" w:type="dxa"/>
            <w:vAlign w:val="bottom"/>
          </w:tcPr>
          <w:p>
            <w:pPr>
              <w:spacing w:after="0"/>
              <w:rPr>
                <w:sz w:val="20"/>
                <w:szCs w:val="20"/>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60" w:type="dxa"/>
            <w:vAlign w:val="bottom"/>
            <w:shd w:val="clear" w:color="auto" w:fill="CFF0FC"/>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5,380,474</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5,380,814</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5,380,814</w:t>
            </w:r>
          </w:p>
        </w:tc>
        <w:tc>
          <w:tcPr>
            <w:tcW w:w="60" w:type="dxa"/>
            <w:vAlign w:val="bottom"/>
          </w:tcPr>
          <w:p>
            <w:pPr>
              <w:spacing w:after="0"/>
              <w:rPr>
                <w:sz w:val="18"/>
                <w:szCs w:val="18"/>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598,909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604,700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604,700</w:t>
            </w:r>
          </w:p>
        </w:tc>
        <w:tc>
          <w:tcPr>
            <w:tcW w:w="60" w:type="dxa"/>
            <w:vAlign w:val="bottom"/>
            <w:shd w:val="clear" w:color="auto" w:fill="CFF0FC"/>
          </w:tcPr>
          <w:p>
            <w:pPr>
              <w:spacing w:after="0"/>
              <w:rPr>
                <w:sz w:val="18"/>
                <w:szCs w:val="18"/>
                <w:color w:val="auto"/>
              </w:rPr>
            </w:pPr>
          </w:p>
        </w:tc>
      </w:tr>
      <w:tr>
        <w:trPr>
          <w:trHeight w:val="216"/>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60" w:type="dxa"/>
            <w:vAlign w:val="bottom"/>
            <w:shd w:val="clear" w:color="auto" w:fill="CFF0FC"/>
          </w:tcPr>
          <w:p>
            <w:pPr>
              <w:spacing w:after="0"/>
              <w:rPr>
                <w:sz w:val="18"/>
                <w:szCs w:val="18"/>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8"/>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6"/>
                <w:szCs w:val="16"/>
                <w:i w:val="1"/>
                <w:iCs w:val="1"/>
                <w:color w:val="auto"/>
                <w:w w:val="89"/>
              </w:rPr>
              <w:t>(Dollars in 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1,732,548</w:t>
            </w:r>
          </w:p>
        </w:tc>
        <w:tc>
          <w:tcPr>
            <w:tcW w:w="100" w:type="dxa"/>
            <w:vAlign w:val="bottom"/>
          </w:tcPr>
          <w:p>
            <w:pPr>
              <w:spacing w:after="0"/>
              <w:rPr>
                <w:sz w:val="18"/>
                <w:szCs w:val="18"/>
                <w:color w:val="auto"/>
              </w:rPr>
            </w:pPr>
          </w:p>
        </w:tc>
      </w:tr>
      <w:tr>
        <w:trPr>
          <w:trHeight w:val="171"/>
        </w:trPr>
        <w:tc>
          <w:tcPr>
            <w:tcW w:w="422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Interest-earning balances due from</w:t>
            </w: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4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depository institutions</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shd w:val="clear" w:color="auto" w:fill="CFF0FC"/>
          </w:tcPr>
          <w:p>
            <w:pPr>
              <w:spacing w:after="0"/>
              <w:rPr>
                <w:sz w:val="20"/>
                <w:szCs w:val="20"/>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100" w:type="dxa"/>
            <w:vAlign w:val="bottom"/>
            <w:shd w:val="clear" w:color="auto" w:fill="CFF0FC"/>
          </w:tcPr>
          <w:p>
            <w:pPr>
              <w:spacing w:after="0"/>
              <w:rPr>
                <w:sz w:val="18"/>
                <w:szCs w:val="18"/>
                <w:color w:val="auto"/>
              </w:rPr>
            </w:pPr>
          </w:p>
        </w:tc>
      </w:tr>
      <w:tr>
        <w:trPr>
          <w:trHeight w:val="171"/>
        </w:trPr>
        <w:tc>
          <w:tcPr>
            <w:tcW w:w="422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loans, net of allowance for credit</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4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7,696,210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7,696,210</w:t>
            </w:r>
          </w:p>
        </w:tc>
        <w:tc>
          <w:tcPr>
            <w:tcW w:w="100" w:type="dxa"/>
            <w:vAlign w:val="bottom"/>
          </w:tcPr>
          <w:p>
            <w:pPr>
              <w:spacing w:after="0"/>
              <w:rPr>
                <w:sz w:val="20"/>
                <w:szCs w:val="20"/>
                <w:color w:val="auto"/>
              </w:rPr>
            </w:pPr>
          </w:p>
        </w:tc>
      </w:tr>
      <w:tr>
        <w:trPr>
          <w:trHeight w:val="216"/>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4,872,386</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4,871,531</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4,871,531</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644,669</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586,645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586,645</w:t>
            </w:r>
          </w:p>
        </w:tc>
        <w:tc>
          <w:tcPr>
            <w:tcW w:w="100" w:type="dxa"/>
            <w:vAlign w:val="bottom"/>
            <w:shd w:val="clear" w:color="auto" w:fill="CFF0FC"/>
          </w:tcPr>
          <w:p>
            <w:pPr>
              <w:spacing w:after="0"/>
              <w:rPr>
                <w:sz w:val="18"/>
                <w:szCs w:val="18"/>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Junior subordinated debentures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Swaps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ind w:right="60" w:firstLine="469"/>
        <w:spacing w:after="0" w:line="250"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March 31, 2022 and December 31, 2021.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DERIVATIVE FINANCIAL INSTRUMENTS</w:t>
      </w:r>
    </w:p>
    <w:p>
      <w:pPr>
        <w:spacing w:after="0" w:line="216" w:lineRule="exact"/>
        <w:rPr>
          <w:sz w:val="20"/>
          <w:szCs w:val="20"/>
          <w:color w:val="auto"/>
        </w:rPr>
      </w:pPr>
    </w:p>
    <w:p>
      <w:pPr>
        <w:ind w:right="40" w:firstLine="469"/>
        <w:spacing w:after="0" w:line="247" w:lineRule="auto"/>
        <w:rPr>
          <w:sz w:val="20"/>
          <w:szCs w:val="20"/>
          <w:color w:val="auto"/>
        </w:rPr>
      </w:pPr>
      <w:r>
        <w:rPr>
          <w:rFonts w:ascii="Times New Roman" w:cs="Times New Roman" w:eastAsia="Times New Roman" w:hAnsi="Times New Roman"/>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March 31, 2022, the Bank has entered into 134 interest-rate swap agreements with customers with a notional amount totaling $472.2 million. The Bank then entered into identical offsetting swaps with a counterparty.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66" w:lineRule="exact"/>
        <w:rPr>
          <w:sz w:val="20"/>
          <w:szCs w:val="20"/>
          <w:color w:val="auto"/>
        </w:rPr>
      </w:pPr>
    </w:p>
    <w:p>
      <w:pPr>
        <w:ind w:firstLine="469"/>
        <w:spacing w:after="0" w:line="242" w:lineRule="auto"/>
        <w:rPr>
          <w:sz w:val="20"/>
          <w:szCs w:val="20"/>
          <w:color w:val="auto"/>
        </w:rPr>
      </w:pPr>
      <w:r>
        <w:rPr>
          <w:rFonts w:ascii="Times New Roman" w:cs="Times New Roman" w:eastAsia="Times New Roman" w:hAnsi="Times New Roman"/>
          <w:sz w:val="18"/>
          <w:szCs w:val="18"/>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88" w:lineRule="exact"/>
        <w:rPr>
          <w:sz w:val="20"/>
          <w:szCs w:val="20"/>
          <w:color w:val="auto"/>
        </w:rPr>
      </w:pPr>
    </w:p>
    <w:p>
      <w:pPr>
        <w:ind w:right="280" w:firstLine="469"/>
        <w:spacing w:after="0" w:line="258" w:lineRule="auto"/>
        <w:rPr>
          <w:sz w:val="20"/>
          <w:szCs w:val="20"/>
          <w:color w:val="auto"/>
        </w:rPr>
      </w:pPr>
      <w:r>
        <w:rPr>
          <w:rFonts w:ascii="Times New Roman" w:cs="Times New Roman" w:eastAsia="Times New Roman" w:hAnsi="Times New Roman"/>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Classification of Derivative Financial Instruments</w:t>
      </w:r>
    </w:p>
    <w:p>
      <w:pPr>
        <w:spacing w:after="0" w:line="216" w:lineRule="exact"/>
        <w:rPr>
          <w:sz w:val="20"/>
          <w:szCs w:val="20"/>
          <w:color w:val="auto"/>
        </w:rPr>
      </w:pPr>
    </w:p>
    <w:p>
      <w:pPr>
        <w:ind w:right="780" w:firstLine="469"/>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total notional amount of the Company’s swaps was $472.2 million, and $493.2 million, respectively. The location of the asset and liability, and their respective fair values, are summarized in the tables below.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spacing w:after="0" w:line="27" w:lineRule="exact"/>
        <w:rPr>
          <w:sz w:val="20"/>
          <w:szCs w:val="20"/>
          <w:color w:val="auto"/>
        </w:rPr>
      </w:pPr>
    </w:p>
    <w:p>
      <w:pPr>
        <w:jc w:val="right"/>
        <w:ind w:right="290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45"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p>
      <w:pPr>
        <w:spacing w:after="0" w:line="27" w:lineRule="exact"/>
        <w:rPr>
          <w:sz w:val="20"/>
          <w:szCs w:val="20"/>
          <w:color w:val="auto"/>
        </w:rPr>
      </w:pPr>
    </w:p>
    <w:p>
      <w:pPr>
        <w:jc w:val="right"/>
        <w:ind w:right="2900"/>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45"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6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5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680" w:type="dxa"/>
            <w:vAlign w:val="bottom"/>
          </w:tcPr>
          <w:p>
            <w:pPr>
              <w:ind w:left="240"/>
              <w:spacing w:after="0" w:line="160"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3"/>
                <w:szCs w:val="13"/>
                <w:color w:val="auto"/>
              </w:rPr>
            </w:pPr>
          </w:p>
        </w:tc>
        <w:tc>
          <w:tcPr>
            <w:tcW w:w="1740" w:type="dxa"/>
            <w:vAlign w:val="bottom"/>
          </w:tcPr>
          <w:p>
            <w:pPr>
              <w:ind w:left="300"/>
              <w:spacing w:after="0" w:line="160"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3"/>
                <w:szCs w:val="13"/>
                <w:color w:val="auto"/>
              </w:rPr>
            </w:pPr>
          </w:p>
        </w:tc>
        <w:tc>
          <w:tcPr>
            <w:tcW w:w="9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0"/>
                <w:szCs w:val="20"/>
                <w:color w:val="auto"/>
              </w:rPr>
            </w:pPr>
          </w:p>
        </w:tc>
        <w:tc>
          <w:tcPr>
            <w:tcW w:w="98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4"/>
          </w:tcPr>
          <w:p>
            <w:pPr>
              <w:ind w:left="8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tcPr>
          <w:p>
            <w:pPr>
              <w:spacing w:after="0"/>
              <w:rPr>
                <w:sz w:val="24"/>
                <w:szCs w:val="24"/>
                <w:color w:val="auto"/>
              </w:rPr>
            </w:pP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6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5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3"/>
                <w:szCs w:val="13"/>
                <w:color w:val="auto"/>
              </w:rPr>
            </w:pPr>
          </w:p>
        </w:tc>
        <w:tc>
          <w:tcPr>
            <w:tcW w:w="1740" w:type="dxa"/>
            <w:vAlign w:val="bottom"/>
          </w:tcPr>
          <w:p>
            <w:pPr>
              <w:ind w:left="300"/>
              <w:spacing w:after="0" w:line="160"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80" w:type="dxa"/>
            <w:vAlign w:val="bottom"/>
          </w:tcPr>
          <w:p>
            <w:pPr>
              <w:spacing w:after="0"/>
              <w:rPr>
                <w:sz w:val="13"/>
                <w:szCs w:val="13"/>
                <w:color w:val="auto"/>
              </w:rPr>
            </w:pP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w:t>
            </w:r>
          </w:p>
        </w:tc>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60" w:type="dxa"/>
            <w:vAlign w:val="bottom"/>
          </w:tcPr>
          <w:p>
            <w:pPr>
              <w:spacing w:after="0"/>
              <w:rPr>
                <w:sz w:val="24"/>
                <w:szCs w:val="24"/>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-1979295</wp:posOffset>
            </wp:positionV>
            <wp:extent cx="71323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-1696720</wp:posOffset>
            </wp:positionV>
            <wp:extent cx="7132320" cy="1631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-710565</wp:posOffset>
            </wp:positionV>
            <wp:extent cx="713232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-427990</wp:posOffset>
            </wp:positionV>
            <wp:extent cx="7132320" cy="1631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184150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60" w:space="720"/>
            <w:col w:w="6160"/>
          </w:cols>
          <w:pgMar w:left="320" w:top="36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Financial Instruments on the Condensed Consolidated Statements of Earnings</w:t>
      </w:r>
    </w:p>
    <w:p>
      <w:pPr>
        <w:spacing w:after="0" w:line="216" w:lineRule="exact"/>
        <w:rPr>
          <w:sz w:val="20"/>
          <w:szCs w:val="20"/>
          <w:color w:val="auto"/>
        </w:rPr>
      </w:pPr>
    </w:p>
    <w:p>
      <w:pPr>
        <w:ind w:right="200" w:firstLine="46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effect of derivative financial instruments on the condensed consolidated statements of earnings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20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Recognized in</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 Gain Recognized in</w:t>
            </w: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20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Income on Derivative Instruments</w:t>
            </w:r>
          </w:p>
        </w:tc>
        <w:tc>
          <w:tcPr>
            <w:tcW w:w="60" w:type="dxa"/>
            <w:vAlign w:val="bottom"/>
          </w:tcPr>
          <w:p>
            <w:pPr>
              <w:spacing w:after="0"/>
              <w:rPr>
                <w:sz w:val="16"/>
                <w:szCs w:val="16"/>
                <w:color w:val="auto"/>
              </w:rPr>
            </w:pPr>
          </w:p>
        </w:tc>
      </w:tr>
      <w:tr>
        <w:trPr>
          <w:trHeight w:val="131"/>
        </w:trPr>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00" w:type="dxa"/>
            <w:vAlign w:val="bottom"/>
            <w:gridSpan w:val="3"/>
          </w:tcPr>
          <w:p>
            <w:pPr>
              <w:jc w:val="center"/>
              <w:ind w:left="56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7"/>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4"/>
                <w:szCs w:val="14"/>
                <w:color w:val="auto"/>
              </w:rPr>
            </w:pPr>
          </w:p>
        </w:tc>
      </w:tr>
      <w:tr>
        <w:trPr>
          <w:trHeight w:val="169"/>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2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w:t>
            </w:r>
          </w:p>
        </w:tc>
        <w:tc>
          <w:tcPr>
            <w:tcW w:w="800" w:type="dxa"/>
            <w:vAlign w:val="bottom"/>
          </w:tcPr>
          <w:p>
            <w:pPr>
              <w:jc w:val="right"/>
              <w:ind w:right="208"/>
              <w:spacing w:after="0"/>
              <w:rPr>
                <w:sz w:val="20"/>
                <w:szCs w:val="20"/>
                <w:color w:val="auto"/>
              </w:rPr>
            </w:pPr>
            <w:r>
              <w:rPr>
                <w:rFonts w:ascii="Times New Roman" w:cs="Times New Roman" w:eastAsia="Times New Roman" w:hAnsi="Times New Roman"/>
                <w:sz w:val="14"/>
                <w:szCs w:val="14"/>
                <w:i w:val="1"/>
                <w:iCs w:val="1"/>
                <w:color w:val="auto"/>
                <w:w w:val="81"/>
              </w:rPr>
              <w:t>thousands)</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3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tcBorders>
              <w:bottom w:val="single" w:sz="8" w:color="CFF0FC"/>
            </w:tcBorders>
            <w:shd w:val="clear" w:color="auto" w:fill="CFF0FC"/>
          </w:tcPr>
          <w:p>
            <w:pPr>
              <w:spacing w:after="0"/>
              <w:rPr>
                <w:sz w:val="15"/>
                <w:szCs w:val="15"/>
                <w:color w:val="auto"/>
              </w:rPr>
            </w:pPr>
          </w:p>
        </w:tc>
        <w:tc>
          <w:tcPr>
            <w:tcW w:w="3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318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640" w:type="dxa"/>
            <w:vAlign w:val="bottom"/>
            <w:gridSpan w:val="2"/>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215</w:t>
            </w:r>
          </w:p>
        </w:tc>
        <w:tc>
          <w:tcPr>
            <w:tcW w:w="60" w:type="dxa"/>
            <w:vAlign w:val="bottom"/>
          </w:tcPr>
          <w:p>
            <w:pPr>
              <w:spacing w:after="0"/>
              <w:rPr>
                <w:sz w:val="14"/>
                <w:szCs w:val="14"/>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-144780</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-144780</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a summary of the components of other comprehensive income (“OCI”)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4"/>
                <w:szCs w:val="14"/>
                <w:color w:val="auto"/>
              </w:rPr>
            </w:pPr>
          </w:p>
        </w:tc>
        <w:tc>
          <w:tcPr>
            <w:tcW w:w="8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(Dollars in</w:t>
            </w:r>
          </w:p>
        </w:tc>
        <w:tc>
          <w:tcPr>
            <w:tcW w:w="20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48"/>
              <w:spacing w:after="0"/>
              <w:rPr>
                <w:sz w:val="20"/>
                <w:szCs w:val="20"/>
                <w:color w:val="auto"/>
              </w:rPr>
            </w:pPr>
            <w:r>
              <w:rPr>
                <w:rFonts w:ascii="Times New Roman" w:cs="Times New Roman" w:eastAsia="Times New Roman" w:hAnsi="Times New Roman"/>
                <w:sz w:val="14"/>
                <w:szCs w:val="14"/>
                <w:i w:val="1"/>
                <w:iCs w:val="1"/>
                <w:color w:val="auto"/>
                <w:w w:val="74"/>
              </w:rPr>
              <w:t>thousands)</w:t>
            </w: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fair value recorded in accumulated OCI</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(202,072 )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59,740</w:t>
            </w:r>
          </w:p>
        </w:tc>
        <w:tc>
          <w:tcPr>
            <w:tcW w:w="12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(142,332 )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(40,391 )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11,941</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(28,450 )</w:t>
            </w:r>
          </w:p>
        </w:tc>
        <w:tc>
          <w:tcPr>
            <w:tcW w:w="0" w:type="dxa"/>
            <w:vAlign w:val="bottom"/>
          </w:tcPr>
          <w:p>
            <w:pPr>
              <w:spacing w:after="0"/>
              <w:rPr>
                <w:sz w:val="1"/>
                <w:szCs w:val="1"/>
                <w:color w:val="auto"/>
              </w:rPr>
            </w:pPr>
          </w:p>
        </w:tc>
      </w:tr>
      <w:tr>
        <w:trPr>
          <w:trHeight w:val="139"/>
        </w:trPr>
        <w:tc>
          <w:tcPr>
            <w:tcW w:w="478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net unrealized losses on securities</w:t>
            </w: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(24 )</w:t>
            </w:r>
          </w:p>
        </w:tc>
        <w:tc>
          <w:tcPr>
            <w:tcW w:w="120" w:type="dxa"/>
            <w:vAlign w:val="bottom"/>
            <w:shd w:val="clear" w:color="auto" w:fill="CFF0FC"/>
          </w:tcPr>
          <w:p>
            <w:pPr>
              <w:spacing w:after="0"/>
              <w:rPr>
                <w:sz w:val="12"/>
                <w:szCs w:val="12"/>
                <w:color w:val="auto"/>
              </w:rPr>
            </w:pPr>
          </w:p>
        </w:tc>
        <w:tc>
          <w:tcPr>
            <w:tcW w:w="8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47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transferred from available-for-sale to held-to-maturity</w:t>
            </w: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rPr>
              <w:t>Net change</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(202,018 )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59,724</w:t>
            </w:r>
          </w:p>
        </w:tc>
        <w:tc>
          <w:tcPr>
            <w:tcW w:w="120" w:type="dxa"/>
            <w:vAlign w:val="bottom"/>
          </w:tcPr>
          <w:p>
            <w:pPr>
              <w:spacing w:after="0"/>
              <w:rPr>
                <w:sz w:val="14"/>
                <w:szCs w:val="14"/>
                <w:color w:val="auto"/>
              </w:rPr>
            </w:pPr>
          </w:p>
        </w:tc>
        <w:tc>
          <w:tcPr>
            <w:tcW w:w="20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(142,294 )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(40,310 )</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11,917</w:t>
            </w:r>
          </w:p>
        </w:tc>
        <w:tc>
          <w:tcPr>
            <w:tcW w:w="1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(28,393 )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-144780</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-144780</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-144780</wp:posOffset>
            </wp:positionV>
            <wp:extent cx="431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-144780</wp:posOffset>
            </wp:positionV>
            <wp:extent cx="431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-144780</wp:posOffset>
            </wp:positionV>
            <wp:extent cx="431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-144780</wp:posOffset>
            </wp:positionV>
            <wp:extent cx="431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11.  BALANCE SHEET OFFSETTING</w:t>
      </w:r>
    </w:p>
    <w:p>
      <w:pPr>
        <w:spacing w:after="0" w:line="216" w:lineRule="exact"/>
        <w:rPr>
          <w:sz w:val="20"/>
          <w:szCs w:val="20"/>
          <w:color w:val="auto"/>
        </w:rPr>
      </w:pPr>
    </w:p>
    <w:p>
      <w:pPr>
        <w:ind w:right="60" w:firstLine="374"/>
        <w:spacing w:after="0" w:line="243" w:lineRule="auto"/>
        <w:rPr>
          <w:sz w:val="20"/>
          <w:szCs w:val="20"/>
          <w:color w:val="auto"/>
        </w:rPr>
      </w:pPr>
      <w:r>
        <w:rPr>
          <w:rFonts w:ascii="Times New Roman" w:cs="Times New Roman" w:eastAsia="Times New Roman" w:hAnsi="Times New Roman"/>
          <w:sz w:val="18"/>
          <w:szCs w:val="18"/>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8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60" w:type="dxa"/>
            <w:vAlign w:val="bottom"/>
          </w:tcPr>
          <w:p>
            <w:pPr>
              <w:spacing w:after="0"/>
              <w:rPr>
                <w:sz w:val="13"/>
                <w:szCs w:val="13"/>
                <w:color w:val="auto"/>
              </w:rPr>
            </w:pPr>
          </w:p>
        </w:tc>
        <w:tc>
          <w:tcPr>
            <w:tcW w:w="272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the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880" w:type="dxa"/>
            <w:vAlign w:val="bottom"/>
            <w:gridSpan w:val="6"/>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the Condensed Consolidated Balance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8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Condensed</w:t>
            </w: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Sheets</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80" w:type="dxa"/>
            <w:vAlign w:val="bottom"/>
          </w:tcPr>
          <w:p>
            <w:pPr>
              <w:spacing w:after="0"/>
              <w:rPr>
                <w:sz w:val="11"/>
                <w:szCs w:val="11"/>
                <w:color w:val="auto"/>
              </w:rPr>
            </w:pPr>
          </w:p>
        </w:tc>
        <w:tc>
          <w:tcPr>
            <w:tcW w:w="13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60" w:type="dxa"/>
            <w:vAlign w:val="bottom"/>
          </w:tcPr>
          <w:p>
            <w:pPr>
              <w:spacing w:after="0"/>
              <w:rPr>
                <w:sz w:val="11"/>
                <w:szCs w:val="11"/>
                <w:color w:val="auto"/>
              </w:rPr>
            </w:pPr>
          </w:p>
        </w:tc>
        <w:tc>
          <w:tcPr>
            <w:tcW w:w="1040" w:type="dxa"/>
            <w:vAlign w:val="bottom"/>
          </w:tcPr>
          <w:p>
            <w:pPr>
              <w:jc w:val="right"/>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4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Collateral Pledged</w:t>
            </w:r>
          </w:p>
        </w:tc>
        <w:tc>
          <w:tcPr>
            <w:tcW w:w="2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6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26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240" w:type="dxa"/>
            <w:vAlign w:val="bottom"/>
            <w:vMerge w:val="restart"/>
            <w:shd w:val="clear" w:color="auto" w:fill="CFF0FC"/>
          </w:tcPr>
          <w:p>
            <w:pPr>
              <w:spacing w:after="0"/>
              <w:rPr>
                <w:sz w:val="12"/>
                <w:szCs w:val="12"/>
                <w:color w:val="auto"/>
              </w:rPr>
            </w:pPr>
          </w:p>
        </w:tc>
        <w:tc>
          <w:tcPr>
            <w:tcW w:w="38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38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6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29,694</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(26,041 )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26,041</w:t>
            </w:r>
          </w:p>
        </w:tc>
        <w:tc>
          <w:tcPr>
            <w:tcW w:w="6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(16,807 )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598,909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598,909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(833,418 )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(234,509 )</w:t>
            </w:r>
          </w:p>
        </w:tc>
        <w:tc>
          <w:tcPr>
            <w:tcW w:w="0" w:type="dxa"/>
            <w:vAlign w:val="bottom"/>
          </w:tcPr>
          <w:p>
            <w:pPr>
              <w:spacing w:after="0"/>
              <w:rPr>
                <w:sz w:val="1"/>
                <w:szCs w:val="1"/>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628,603</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(26,041 )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602,562</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26,041</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(850,225 )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(221,622 )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64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260" w:type="dxa"/>
            <w:vAlign w:val="bottom"/>
            <w:vMerge w:val="restart"/>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240" w:type="dxa"/>
            <w:vAlign w:val="bottom"/>
            <w:vMerge w:val="restart"/>
            <w:shd w:val="clear" w:color="auto" w:fill="CFF0FC"/>
          </w:tcPr>
          <w:p>
            <w:pPr>
              <w:spacing w:after="0"/>
              <w:rPr>
                <w:sz w:val="12"/>
                <w:szCs w:val="12"/>
                <w:color w:val="auto"/>
              </w:rPr>
            </w:pPr>
          </w:p>
        </w:tc>
        <w:tc>
          <w:tcPr>
            <w:tcW w:w="38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38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0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6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Derivatives not designated as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23,502</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(9,339 )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14,163</w:t>
            </w:r>
          </w:p>
        </w:tc>
        <w:tc>
          <w:tcPr>
            <w:tcW w:w="2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62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(37,285 )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(13,783 )</w:t>
            </w:r>
          </w:p>
        </w:tc>
        <w:tc>
          <w:tcPr>
            <w:tcW w:w="0" w:type="dxa"/>
            <w:vAlign w:val="bottom"/>
          </w:tcPr>
          <w:p>
            <w:pPr>
              <w:spacing w:after="0"/>
              <w:rPr>
                <w:sz w:val="1"/>
                <w:szCs w:val="1"/>
                <w:color w:val="auto"/>
              </w:rPr>
            </w:pPr>
          </w:p>
        </w:tc>
      </w:tr>
      <w:tr>
        <w:trPr>
          <w:trHeight w:val="185"/>
        </w:trPr>
        <w:tc>
          <w:tcPr>
            <w:tcW w:w="2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hedging instruments</w:t>
            </w: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642,388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642,388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(683,923 )</w:t>
            </w: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(41,535 )</w:t>
            </w:r>
          </w:p>
        </w:tc>
        <w:tc>
          <w:tcPr>
            <w:tcW w:w="0" w:type="dxa"/>
            <w:vAlign w:val="bottom"/>
          </w:tcPr>
          <w:p>
            <w:pPr>
              <w:spacing w:after="0"/>
              <w:rPr>
                <w:sz w:val="1"/>
                <w:szCs w:val="1"/>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665,890</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(9,339 )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656,551</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(721,208 )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(55,318 )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-2305050</wp:posOffset>
            </wp:positionV>
            <wp:extent cx="768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-2305050</wp:posOffset>
            </wp:positionV>
            <wp:extent cx="768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-2305050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-2305050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-2305050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-1619250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-1619250</wp:posOffset>
            </wp:positionV>
            <wp:extent cx="768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-1619250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-1619250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-1619250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-831215</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-831215</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-831215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-831215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-831215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-145415</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68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-145415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-145415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-145415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216" w:lineRule="exact"/>
        <w:rPr>
          <w:sz w:val="20"/>
          <w:szCs w:val="20"/>
          <w:color w:val="auto"/>
        </w:rPr>
      </w:pPr>
    </w:p>
    <w:p>
      <w:pPr>
        <w:ind w:right="100" w:firstLine="374"/>
        <w:spacing w:after="0" w:line="280" w:lineRule="auto"/>
        <w:rPr>
          <w:sz w:val="20"/>
          <w:szCs w:val="20"/>
          <w:color w:val="auto"/>
        </w:rPr>
      </w:pPr>
      <w:r>
        <w:rPr>
          <w:rFonts w:ascii="Times New Roman" w:cs="Times New Roman" w:eastAsia="Times New Roman" w:hAnsi="Times New Roman"/>
          <w:sz w:val="17"/>
          <w:szCs w:val="17"/>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While the Company has, as a lessor, certain equipment finance leases, such leases are not material to the Company’s consolidated financial statements.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tables below present the components of lease costs and supplemental information related to leases as of and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626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Pr>
          <w:p>
            <w:pPr>
              <w:spacing w:after="0"/>
              <w:rPr>
                <w:sz w:val="20"/>
                <w:szCs w:val="20"/>
                <w:color w:val="auto"/>
              </w:rPr>
            </w:pPr>
          </w:p>
        </w:tc>
        <w:tc>
          <w:tcPr>
            <w:tcW w:w="2060" w:type="dxa"/>
            <w:vAlign w:val="bottom"/>
            <w:gridSpan w:val="2"/>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8"/>
        </w:trPr>
        <w:tc>
          <w:tcPr>
            <w:tcW w:w="6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w:t>
            </w: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Assets and Liabilities</w:t>
            </w:r>
          </w:p>
        </w:tc>
        <w:tc>
          <w:tcPr>
            <w:tcW w:w="1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 assets</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60" w:type="dxa"/>
            <w:vAlign w:val="bottom"/>
          </w:tcPr>
          <w:p>
            <w:pPr>
              <w:spacing w:after="0"/>
              <w:rPr>
                <w:sz w:val="18"/>
                <w:szCs w:val="18"/>
                <w:color w:val="auto"/>
              </w:rPr>
            </w:pPr>
          </w:p>
        </w:tc>
      </w:tr>
      <w:tr>
        <w:trPr>
          <w:trHeight w:val="216"/>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3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60" w:type="dxa"/>
            <w:vAlign w:val="bottom"/>
            <w:shd w:val="clear" w:color="auto" w:fill="CFF0FC"/>
          </w:tcPr>
          <w:p>
            <w:pPr>
              <w:spacing w:after="0"/>
              <w:rPr>
                <w:sz w:val="18"/>
                <w:szCs w:val="18"/>
                <w:color w:val="auto"/>
              </w:rPr>
            </w:pPr>
          </w:p>
        </w:tc>
      </w:tr>
      <w:tr>
        <w:trPr>
          <w:trHeight w:val="369"/>
        </w:trPr>
        <w:tc>
          <w:tcPr>
            <w:tcW w:w="6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80" w:type="dxa"/>
            <w:vAlign w:val="bottom"/>
            <w:gridSpan w:val="3"/>
          </w:tcPr>
          <w:p>
            <w:pPr>
              <w:jc w:val="center"/>
              <w:ind w:right="935"/>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62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center"/>
              <w:ind w:right="955"/>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6260" w:type="dxa"/>
            <w:vAlign w:val="bottom"/>
          </w:tcPr>
          <w:p>
            <w:pPr>
              <w:spacing w:after="0"/>
              <w:rPr>
                <w:sz w:val="18"/>
                <w:szCs w:val="18"/>
                <w:color w:val="auto"/>
              </w:rPr>
            </w:pP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Pr>
          <w:p>
            <w:pPr>
              <w:spacing w:after="0"/>
              <w:rPr>
                <w:sz w:val="18"/>
                <w:szCs w:val="18"/>
                <w:color w:val="auto"/>
              </w:rPr>
            </w:pPr>
          </w:p>
        </w:tc>
        <w:tc>
          <w:tcPr>
            <w:tcW w:w="2060" w:type="dxa"/>
            <w:vAlign w:val="bottom"/>
            <w:gridSpan w:val="2"/>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626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5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expense (1)</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60" w:type="dxa"/>
            <w:vAlign w:val="bottom"/>
          </w:tcPr>
          <w:p>
            <w:pPr>
              <w:spacing w:after="0"/>
              <w:rPr>
                <w:sz w:val="18"/>
                <w:szCs w:val="18"/>
                <w:color w:val="auto"/>
              </w:rPr>
            </w:pPr>
          </w:p>
        </w:tc>
      </w:tr>
      <w:tr>
        <w:trPr>
          <w:trHeight w:val="216"/>
        </w:trPr>
        <w:tc>
          <w:tcPr>
            <w:tcW w:w="62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5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6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5"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7880" w:type="dxa"/>
            <w:vAlign w:val="bottom"/>
            <w:gridSpan w:val="3"/>
          </w:tcPr>
          <w:p>
            <w:pPr>
              <w:ind w:left="120"/>
              <w:spacing w:after="0" w:line="202"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1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of</w:t>
            </w:r>
          </w:p>
        </w:tc>
        <w:tc>
          <w:tcPr>
            <w:tcW w:w="6440" w:type="dxa"/>
            <w:vAlign w:val="bottom"/>
            <w:gridSpan w:val="2"/>
          </w:tcPr>
          <w:p>
            <w:pPr>
              <w:jc w:val="right"/>
              <w:ind w:right="5170"/>
              <w:spacing w:after="0"/>
              <w:rPr>
                <w:sz w:val="20"/>
                <w:szCs w:val="20"/>
                <w:color w:val="auto"/>
              </w:rPr>
            </w:pPr>
            <w:r>
              <w:rPr>
                <w:rFonts w:ascii="Times New Roman" w:cs="Times New Roman" w:eastAsia="Times New Roman" w:hAnsi="Times New Roman"/>
                <w:sz w:val="18"/>
                <w:szCs w:val="18"/>
                <w:color w:val="auto"/>
              </w:rPr>
              <w:t>lease liabilities:</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71"/>
        </w:trPr>
        <w:tc>
          <w:tcPr>
            <w:tcW w:w="7880" w:type="dxa"/>
            <w:vAlign w:val="bottom"/>
            <w:gridSpan w:val="3"/>
            <w:shd w:val="clear" w:color="auto" w:fill="CFF0FC"/>
          </w:tcPr>
          <w:p>
            <w:pPr>
              <w:ind w:left="300"/>
              <w:spacing w:after="0" w:line="170" w:lineRule="exact"/>
              <w:rPr>
                <w:sz w:val="20"/>
                <w:szCs w:val="20"/>
                <w:color w:val="auto"/>
              </w:rPr>
            </w:pPr>
            <w:r>
              <w:rPr>
                <w:rFonts w:ascii="Times New Roman" w:cs="Times New Roman" w:eastAsia="Times New Roman" w:hAnsi="Times New Roman"/>
                <w:sz w:val="18"/>
                <w:szCs w:val="18"/>
                <w:color w:val="auto"/>
              </w:rPr>
              <w:t>Operating cash outflows from operating</w:t>
            </w:r>
          </w:p>
        </w:tc>
        <w:tc>
          <w:tcPr>
            <w:tcW w:w="5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234"/>
        </w:trPr>
        <w:tc>
          <w:tcPr>
            <w:tcW w:w="14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leases, net</w:t>
            </w:r>
          </w:p>
        </w:tc>
        <w:tc>
          <w:tcPr>
            <w:tcW w:w="644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1,819</w:t>
            </w:r>
          </w:p>
        </w:tc>
      </w:tr>
      <w:tr>
        <w:trPr>
          <w:trHeight w:val="378"/>
        </w:trPr>
        <w:tc>
          <w:tcPr>
            <w:tcW w:w="1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40" w:type="dxa"/>
            <w:vAlign w:val="bottom"/>
          </w:tcPr>
          <w:p>
            <w:pPr>
              <w:spacing w:after="0"/>
              <w:rPr>
                <w:sz w:val="20"/>
                <w:szCs w:val="20"/>
                <w:color w:val="auto"/>
              </w:rPr>
            </w:pPr>
          </w:p>
        </w:tc>
        <w:tc>
          <w:tcPr>
            <w:tcW w:w="64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r>
      <w:tr>
        <w:trPr>
          <w:trHeight w:val="214"/>
        </w:trPr>
        <w:tc>
          <w:tcPr>
            <w:tcW w:w="6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16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8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162"/>
        </w:trPr>
        <w:tc>
          <w:tcPr>
            <w:tcW w:w="78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43"/>
        </w:trPr>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w:t>
            </w:r>
          </w:p>
        </w:tc>
        <w:tc>
          <w:tcPr>
            <w:tcW w:w="4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Pr>
          <w:p>
            <w:pPr>
              <w:spacing w:after="0"/>
              <w:rPr>
                <w:sz w:val="21"/>
                <w:szCs w:val="21"/>
                <w:color w:val="auto"/>
              </w:rPr>
            </w:pPr>
          </w:p>
        </w:tc>
      </w:tr>
      <w:tr>
        <w:trPr>
          <w:trHeight w:val="216"/>
        </w:trPr>
        <w:tc>
          <w:tcPr>
            <w:tcW w:w="7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2.36 %</w:t>
            </w:r>
          </w:p>
        </w:tc>
        <w:tc>
          <w:tcPr>
            <w:tcW w:w="3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2.41 %</w:t>
            </w:r>
          </w:p>
        </w:tc>
      </w:tr>
      <w:tr>
        <w:trPr>
          <w:trHeight w:val="418"/>
        </w:trPr>
        <w:tc>
          <w:tcPr>
            <w:tcW w:w="1440" w:type="dxa"/>
            <w:vAlign w:val="bottom"/>
          </w:tcPr>
          <w:p>
            <w:pPr>
              <w:spacing w:after="0"/>
              <w:rPr>
                <w:sz w:val="24"/>
                <w:szCs w:val="24"/>
                <w:color w:val="auto"/>
              </w:rPr>
            </w:pPr>
          </w:p>
        </w:tc>
        <w:tc>
          <w:tcPr>
            <w:tcW w:w="4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4"/>
        </w:trPr>
        <w:tc>
          <w:tcPr>
            <w:tcW w:w="14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ind w:right="20" w:firstLine="374"/>
        <w:spacing w:after="0" w:line="250" w:lineRule="auto"/>
        <w:rPr>
          <w:sz w:val="20"/>
          <w:szCs w:val="20"/>
          <w:color w:val="auto"/>
        </w:rPr>
      </w:pPr>
      <w:r>
        <w:rPr>
          <w:rFonts w:ascii="Times New Roman" w:cs="Times New Roman" w:eastAsia="Times New Roman" w:hAnsi="Times New Roman"/>
          <w:sz w:val="18"/>
          <w:szCs w:val="18"/>
          <w:color w:val="auto"/>
        </w:rPr>
        <w:t>The Company’s lease arrangements that have not yet commenced as of March 31, 2022 and the Company’s short-term lease costs and variable lease costs, for the three months ended March 31, 2022 and 2021 are not material to the consolidated financial statements. The future lease payments required for leases that have initial or remaining non-cancelable lease terms in excess of one year as of March 31, 2022, excluding property taxes and insurance,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1"/>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00" w:type="dxa"/>
            <w:vAlign w:val="bottom"/>
          </w:tcPr>
          <w:p>
            <w:pPr>
              <w:spacing w:after="0"/>
              <w:rPr>
                <w:sz w:val="18"/>
                <w:szCs w:val="18"/>
                <w:color w:val="auto"/>
              </w:rPr>
            </w:pPr>
          </w:p>
        </w:tc>
      </w:tr>
      <w:tr>
        <w:trPr>
          <w:trHeight w:val="177"/>
        </w:trPr>
        <w:tc>
          <w:tcPr>
            <w:tcW w:w="20" w:type="dxa"/>
            <w:vAlign w:val="bottom"/>
            <w:shd w:val="clear" w:color="auto" w:fill="CFF0FC"/>
          </w:tcPr>
          <w:p>
            <w:pPr>
              <w:spacing w:after="0"/>
              <w:rPr>
                <w:sz w:val="15"/>
                <w:szCs w:val="15"/>
                <w:color w:val="auto"/>
              </w:rPr>
            </w:pPr>
          </w:p>
        </w:tc>
        <w:tc>
          <w:tcPr>
            <w:tcW w:w="9320" w:type="dxa"/>
            <w:vAlign w:val="bottom"/>
            <w:gridSpan w:val="2"/>
            <w:shd w:val="clear" w:color="auto" w:fill="CFF0FC"/>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CFF0FC"/>
          </w:tcPr>
          <w:p>
            <w:pPr>
              <w:spacing w:after="0" w:line="20" w:lineRule="exact"/>
              <w:rPr>
                <w:sz w:val="1"/>
                <w:szCs w:val="1"/>
                <w:color w:val="auto"/>
              </w:rPr>
            </w:pPr>
          </w:p>
        </w:tc>
        <w:tc>
          <w:tcPr>
            <w:tcW w:w="89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(excluding the three months ended March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Pr>
          <w:p>
            <w:pPr>
              <w:spacing w:after="0"/>
              <w:rPr>
                <w:sz w:val="18"/>
                <w:szCs w:val="18"/>
                <w:color w:val="auto"/>
              </w:rPr>
            </w:pPr>
          </w:p>
        </w:tc>
      </w:tr>
      <w:tr>
        <w:trPr>
          <w:trHeight w:val="216"/>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spacing w:after="0"/>
              <w:rPr>
                <w:sz w:val="18"/>
                <w:szCs w:val="18"/>
                <w:color w:val="auto"/>
              </w:rPr>
            </w:pPr>
          </w:p>
        </w:tc>
      </w:tr>
      <w:tr>
        <w:trPr>
          <w:trHeight w:val="216"/>
        </w:trPr>
        <w:tc>
          <w:tcPr>
            <w:tcW w:w="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Pr>
          <w:p>
            <w:pPr>
              <w:spacing w:after="0"/>
              <w:rPr>
                <w:sz w:val="18"/>
                <w:szCs w:val="18"/>
                <w:color w:val="auto"/>
              </w:rPr>
            </w:pPr>
          </w:p>
        </w:tc>
      </w:tr>
      <w:tr>
        <w:trPr>
          <w:trHeight w:val="216"/>
        </w:trPr>
        <w:tc>
          <w:tcPr>
            <w:tcW w:w="93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(1,192 )</w:t>
            </w:r>
          </w:p>
        </w:tc>
      </w:tr>
      <w:tr>
        <w:trPr>
          <w:trHeight w:val="210"/>
        </w:trPr>
        <w:tc>
          <w:tcPr>
            <w:tcW w:w="934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202" w:lineRule="exact"/>
        <w:rPr>
          <w:sz w:val="20"/>
          <w:szCs w:val="20"/>
          <w:color w:val="auto"/>
        </w:rPr>
      </w:pPr>
    </w:p>
    <w:p>
      <w:pPr>
        <w:jc w:val="both"/>
        <w:ind w:right="40" w:firstLine="469"/>
        <w:spacing w:after="0" w:line="282" w:lineRule="auto"/>
        <w:rPr>
          <w:sz w:val="20"/>
          <w:szCs w:val="20"/>
          <w:color w:val="auto"/>
        </w:rPr>
      </w:pPr>
      <w:r>
        <w:rPr>
          <w:rFonts w:ascii="Times New Roman" w:cs="Times New Roman" w:eastAsia="Times New Roman" w:hAnsi="Times New Roman"/>
          <w:sz w:val="18"/>
          <w:szCs w:val="18"/>
          <w:color w:val="auto"/>
        </w:rPr>
        <w:t>The following presents noninterest income, segregated by revenue streams in-scope and out-of-scope of ASU No. 2014-09 “Revenue from Contracts with Customers (Topic 606)”, for the periods indicated.</w:t>
      </w:r>
    </w:p>
    <w:p>
      <w:pPr>
        <w:spacing w:after="0" w:line="13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08"/>
        </w:trPr>
        <w:tc>
          <w:tcPr>
            <w:tcW w:w="7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w:t>
            </w:r>
          </w:p>
        </w:tc>
        <w:tc>
          <w:tcPr>
            <w:tcW w:w="6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w w:val="88"/>
              </w:rPr>
              <w:t>thousands)</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In-scope of Topic 606:</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20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98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60" w:type="dxa"/>
            <w:vAlign w:val="bottom"/>
            <w:shd w:val="clear" w:color="auto" w:fill="CFF0FC"/>
          </w:tcPr>
          <w:p>
            <w:pPr>
              <w:spacing w:after="0"/>
              <w:rPr>
                <w:sz w:val="18"/>
                <w:szCs w:val="18"/>
                <w:color w:val="auto"/>
              </w:rPr>
            </w:pPr>
          </w:p>
        </w:tc>
      </w:tr>
      <w:tr>
        <w:trPr>
          <w:trHeight w:val="216"/>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 and investment services</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60" w:type="dxa"/>
            <w:vAlign w:val="bottom"/>
          </w:tcPr>
          <w:p>
            <w:pPr>
              <w:spacing w:after="0"/>
              <w:rPr>
                <w:sz w:val="18"/>
                <w:szCs w:val="18"/>
                <w:color w:val="auto"/>
              </w:rPr>
            </w:pPr>
          </w:p>
        </w:tc>
      </w:tr>
      <w:tr>
        <w:trPr>
          <w:trHeight w:val="216"/>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Bankcard services</w:t>
            </w: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shd w:val="clear" w:color="auto" w:fill="CFF0FC"/>
          </w:tcPr>
          <w:p>
            <w:pPr>
              <w:spacing w:after="0"/>
              <w:rPr>
                <w:sz w:val="18"/>
                <w:szCs w:val="18"/>
                <w:color w:val="auto"/>
              </w:rPr>
            </w:pPr>
          </w:p>
        </w:tc>
      </w:tr>
      <w:tr>
        <w:trPr>
          <w:trHeight w:val="216"/>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Gain on OREO, net</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60" w:type="dxa"/>
            <w:vAlign w:val="bottom"/>
          </w:tcPr>
          <w:p>
            <w:pPr>
              <w:spacing w:after="0"/>
              <w:rPr>
                <w:sz w:val="18"/>
                <w:szCs w:val="18"/>
                <w:color w:val="auto"/>
              </w:rPr>
            </w:pPr>
          </w:p>
        </w:tc>
      </w:tr>
      <w:tr>
        <w:trPr>
          <w:trHeight w:val="216"/>
        </w:trPr>
        <w:tc>
          <w:tcPr>
            <w:tcW w:w="71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71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noninterest income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6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-453390</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-453390</wp:posOffset>
            </wp:positionV>
            <wp:extent cx="431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2" w:lineRule="exact"/>
        <w:rPr>
          <w:sz w:val="20"/>
          <w:szCs w:val="20"/>
          <w:color w:val="auto"/>
        </w:rPr>
      </w:pPr>
    </w:p>
    <w:p>
      <w:pPr>
        <w:ind w:right="40" w:firstLine="469"/>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and Note 23 –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included in our Annual Report on Form 10-K for the year ended December 31, 2021 for a more detailed discussion about noninterest revenue streams that are in-scope of Topic 606.</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140" w:firstLine="469"/>
        <w:spacing w:after="0" w:line="247" w:lineRule="auto"/>
        <w:rPr>
          <w:sz w:val="20"/>
          <w:szCs w:val="20"/>
          <w:color w:val="auto"/>
        </w:rPr>
      </w:pPr>
      <w:r>
        <w:rPr>
          <w:rFonts w:ascii="Times New Roman" w:cs="Times New Roman" w:eastAsia="Times New Roman" w:hAnsi="Times New Roman"/>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2021 and the unaudited condensed consolidated financial statements and accompanying notes presented elsewhere in this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16" w:lineRule="exact"/>
        <w:rPr>
          <w:sz w:val="20"/>
          <w:szCs w:val="20"/>
          <w:color w:val="auto"/>
        </w:rPr>
      </w:pPr>
    </w:p>
    <w:p>
      <w:pPr>
        <w:ind w:right="140" w:firstLine="749"/>
        <w:spacing w:after="0" w:line="243" w:lineRule="auto"/>
        <w:rPr>
          <w:sz w:val="20"/>
          <w:szCs w:val="20"/>
          <w:color w:val="auto"/>
        </w:rPr>
      </w:pPr>
      <w:r>
        <w:rPr>
          <w:rFonts w:ascii="Times New Roman" w:cs="Times New Roman" w:eastAsia="Times New Roman" w:hAnsi="Times New Roman"/>
          <w:sz w:val="18"/>
          <w:szCs w:val="18"/>
          <w:color w:val="auto"/>
        </w:rPr>
        <w:t>The spread of COVID-19 starting in 2020 created a global public health crisis that has resulted in unprecedented volatility and disruption in financial markets and deterioration in economic activity and market conditions in the markets we serve. The pandemic affected our customers and the communities we serve. We recorded a $23.5 million provision for credit losses for the year ended December 31, 2020 due to the forecast, at that time, of a severe economic downturn resulting from the onset of the COVID-19 pandemic. In response to the anticipated effects of the pandemic on the U.S. economy, the Board of Governors of the Federal Reserve System (“FRB”) took significant actions, including a reduction in the target range of the federal funds rate to 0.0% to 0.25% in 2020 and established a program of purchases of Treasury and mortgage-backed securities. A $19.5 million recapture of provision for credit losses was recorded in the first quarter of 2021, resulting from improvements in our economic forecast of certain macroeconomic variables resulting from significant monetary and fiscal stimulus, as well as the wide availability of vaccines.</w:t>
      </w:r>
    </w:p>
    <w:p>
      <w:pPr>
        <w:spacing w:after="0" w:line="18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It contain substantial tax and spending provisions intended to address the impact of the COVID-19 pandemic. The CARES Act includes the Paycheck Protection Program (“PPP”), a $349 billion program designed to aid small- and medium-sized businesses through 100% Small Business Administration (“SBA”) guaranteed loans distributed through banks. These loans were intended to guarantee 24 weeks of payroll and other costs to help those businesses remain viable and keep their workers employed. Legislation passed on April 24, 2020 provided additional PPP funds of $310 billion. During 2020, we originated and funded approximately 4,100 loans, totaling $1.1 billion. Greater than 99% of these loans have been granted forgiveness as of March 31, 2022. In response to the COVID-19 pandemic and the CARES Act, we also implemented a short-term loan modification program to provide temporary payment relief to certain of our borrowers who meet the program’s qualifications. On January 13, 2021, the SBA reopened the PPP for Second Draw loans to small businesses and non-profit organizations that did receive a loan through the initial PPP phase. At least $25 billion was set aside for Second Draw (“round two”)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were not eligible for Second Draw loans. Further, maximum loan amounts were increased for accommodation and food service businesses. We originated approximately 1,900 round two loans totaling $420 million. The Paycheck Protection Program officially ended on May 31, 2021. As of March 31, 2022, the remaining outstanding balance of PPP loans was $121.2 million, including $8.9 million for round one and $112.3 million for round two.</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6" w:lineRule="exact"/>
        <w:rPr>
          <w:sz w:val="20"/>
          <w:szCs w:val="20"/>
          <w:color w:val="auto"/>
        </w:rPr>
      </w:pPr>
    </w:p>
    <w:p>
      <w:pPr>
        <w:ind w:right="40" w:firstLine="469"/>
        <w:spacing w:after="0" w:line="246" w:lineRule="auto"/>
        <w:rPr>
          <w:sz w:val="20"/>
          <w:szCs w:val="20"/>
          <w:color w:val="auto"/>
        </w:rPr>
      </w:pPr>
      <w:r>
        <w:rPr>
          <w:rFonts w:ascii="Times New Roman" w:cs="Times New Roman" w:eastAsia="Times New Roman" w:hAnsi="Times New Roman"/>
          <w:sz w:val="18"/>
          <w:szCs w:val="18"/>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81" w:lineRule="exact"/>
        <w:rPr>
          <w:sz w:val="20"/>
          <w:szCs w:val="20"/>
          <w:color w:val="auto"/>
        </w:rPr>
      </w:pPr>
    </w:p>
    <w:p>
      <w:pPr>
        <w:ind w:right="260" w:firstLine="469"/>
        <w:spacing w:after="0" w:line="246" w:lineRule="auto"/>
        <w:rPr>
          <w:sz w:val="20"/>
          <w:szCs w:val="20"/>
          <w:color w:val="auto"/>
        </w:rPr>
      </w:pPr>
      <w:r>
        <w:rPr>
          <w:rFonts w:ascii="Times New Roman" w:cs="Times New Roman" w:eastAsia="Times New Roman" w:hAnsi="Times New Roman"/>
          <w:sz w:val="18"/>
          <w:szCs w:val="18"/>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81" w:lineRule="exact"/>
        <w:rPr>
          <w:sz w:val="20"/>
          <w:szCs w:val="20"/>
          <w:color w:val="auto"/>
        </w:rPr>
      </w:pPr>
    </w:p>
    <w:p>
      <w:pPr>
        <w:ind w:left="1040" w:hanging="470"/>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(“ACL”)</w:t>
      </w:r>
    </w:p>
    <w:p>
      <w:pPr>
        <w:spacing w:after="0" w:line="15" w:lineRule="exact"/>
        <w:rPr>
          <w:rFonts w:ascii="Times New Roman" w:cs="Times New Roman" w:eastAsia="Times New Roman" w:hAnsi="Times New Roman"/>
          <w:sz w:val="18"/>
          <w:szCs w:val="18"/>
          <w:color w:val="auto"/>
        </w:rPr>
      </w:pPr>
    </w:p>
    <w:p>
      <w:pPr>
        <w:ind w:left="1040" w:hanging="470"/>
        <w:spacing w:after="0" w:line="234"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Recoverability of Goodwill</w:t>
      </w:r>
    </w:p>
    <w:p>
      <w:pPr>
        <w:spacing w:after="0" w:line="7" w:lineRule="exact"/>
        <w:rPr>
          <w:rFonts w:ascii="Times New Roman" w:cs="Times New Roman" w:eastAsia="Times New Roman" w:hAnsi="Times New Roman"/>
          <w:sz w:val="18"/>
          <w:szCs w:val="18"/>
          <w:color w:val="auto"/>
        </w:rPr>
      </w:pPr>
    </w:p>
    <w:p>
      <w:pPr>
        <w:ind w:left="1040" w:hanging="470"/>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80" w:lineRule="exact"/>
        <w:rPr>
          <w:sz w:val="20"/>
          <w:szCs w:val="20"/>
          <w:color w:val="auto"/>
        </w:rPr>
      </w:pPr>
    </w:p>
    <w:p>
      <w:pPr>
        <w:ind w:right="280" w:firstLine="469"/>
        <w:spacing w:after="0" w:line="250"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greater detail in our 2021 Annual Report on Form 10-K in the “Critical Accounting Policies” section of Management’s Discussion and Analysis of Financial Condition and Results of Operations and in Note 3 –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included in our Annual Report on Form 10-K for the year ended December 31, 2021, which are essential to understanding Management’s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and Analysis of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but Not Adopted as of March 31, 2022</w:t>
      </w:r>
    </w:p>
    <w:p>
      <w:pPr>
        <w:sectPr>
          <w:pgSz w:w="11900" w:h="16838" w:orient="portrait"/>
          <w:cols w:equalWidth="0" w:num="1">
            <w:col w:w="11240"/>
          </w:cols>
          <w:pgMar w:left="320" w:top="360" w:right="339" w:bottom="1440" w:gutter="0" w:footer="0" w:header="0"/>
        </w:sectPr>
      </w:pP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20015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6" w:lineRule="exact"/>
        <w:rPr>
          <w:sz w:val="20"/>
          <w:szCs w:val="20"/>
          <w:color w:val="auto"/>
        </w:rPr>
      </w:pPr>
    </w:p>
    <w:p>
      <w:pPr>
        <w:ind w:left="20"/>
        <w:spacing w:after="0" w:line="233" w:lineRule="auto"/>
        <w:rPr>
          <w:sz w:val="20"/>
          <w:szCs w:val="20"/>
          <w:color w:val="auto"/>
        </w:rPr>
      </w:pPr>
      <w:r>
        <w:rPr>
          <w:rFonts w:ascii="Times New Roman" w:cs="Times New Roman" w:eastAsia="Times New Roman" w:hAnsi="Times New Roman"/>
          <w:sz w:val="14"/>
          <w:szCs w:val="14"/>
          <w:color w:val="auto"/>
        </w:rPr>
        <w:t>ASU No. 2020-04, Reference Rate Reform (Topic 848): Facilitation of the Effects of Reference Rate Reform on Financial Reporting</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Issued March 2020</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354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Impact on Financial Statements</w:t>
            </w: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Timing</w:t>
            </w:r>
          </w:p>
        </w:tc>
        <w:tc>
          <w:tcPr>
            <w:tcW w:w="3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The FASB issued ASU 2020-04, Reference Rate Reform: Facilitation of the</w:t>
            </w:r>
          </w:p>
        </w:tc>
        <w:tc>
          <w:tcPr>
            <w:tcW w:w="120" w:type="dxa"/>
            <w:vAlign w:val="bottom"/>
          </w:tcPr>
          <w:p>
            <w:pPr>
              <w:spacing w:after="0"/>
              <w:rPr>
                <w:sz w:val="24"/>
                <w:szCs w:val="24"/>
                <w:color w:val="auto"/>
              </w:rPr>
            </w:pPr>
          </w:p>
        </w:tc>
        <w:tc>
          <w:tcPr>
            <w:tcW w:w="10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1st Quarter 2020</w:t>
            </w: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Company established a LIBOR Transition Task Force</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Effects of Reference Rate Reform on Financial Reporting. The amendments</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through the</w:t>
            </w: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 2020, which has inventoried our instruments that reflect</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 this update provide temporary, optional guidance to ease the potential</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4th Quarter 2022</w:t>
            </w: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exposure to LIBOR, created a framework to manage the</w:t>
            </w:r>
          </w:p>
        </w:tc>
        <w:tc>
          <w:tcPr>
            <w:tcW w:w="0" w:type="dxa"/>
            <w:vAlign w:val="bottom"/>
          </w:tcPr>
          <w:p>
            <w:pPr>
              <w:spacing w:after="0"/>
              <w:rPr>
                <w:sz w:val="1"/>
                <w:szCs w:val="1"/>
                <w:color w:val="auto"/>
              </w:rPr>
            </w:pPr>
          </w:p>
        </w:tc>
      </w:tr>
      <w:tr>
        <w:trPr>
          <w:trHeight w:val="149"/>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burden in accounting for transitioning away from reference rates such as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transition and established a timeline for key decisions and</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LIBOR. The amendments provide optional expedients and exceptions for</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actions, and started the transition from LIBOR in 2021. The</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applying GAAP to transactions affected by reference rate reform if certain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Company continues to assess the impacts of this transition</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criteria are met. The amendments primarily include relief related to contract</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and alternatives to use in place of LIBOR for various</w:t>
            </w:r>
          </w:p>
        </w:tc>
        <w:tc>
          <w:tcPr>
            <w:tcW w:w="0" w:type="dxa"/>
            <w:vAlign w:val="bottom"/>
          </w:tcPr>
          <w:p>
            <w:pPr>
              <w:spacing w:after="0"/>
              <w:rPr>
                <w:sz w:val="1"/>
                <w:szCs w:val="1"/>
                <w:color w:val="auto"/>
              </w:rPr>
            </w:pPr>
          </w:p>
        </w:tc>
      </w:tr>
      <w:tr>
        <w:trPr>
          <w:trHeight w:val="149"/>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modifications and hedging relationships, as well as providing a one-time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financial instruments, primarily related to our variable-rate</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election for the sale or transfer of debt securities classified as held-to-</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and adjustable-rate loans that are indexed to LIBOR. The</w:t>
            </w:r>
          </w:p>
        </w:tc>
        <w:tc>
          <w:tcPr>
            <w:tcW w:w="0" w:type="dxa"/>
            <w:vAlign w:val="bottom"/>
          </w:tcPr>
          <w:p>
            <w:pPr>
              <w:spacing w:after="0"/>
              <w:rPr>
                <w:sz w:val="1"/>
                <w:szCs w:val="1"/>
                <w:color w:val="auto"/>
              </w:rPr>
            </w:pPr>
          </w:p>
        </w:tc>
      </w:tr>
      <w:tr>
        <w:trPr>
          <w:trHeight w:val="148"/>
        </w:trPr>
        <w:tc>
          <w:tcPr>
            <w:tcW w:w="4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maturity. This guidance is effective immediately and the amendments may</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Company stopped originating loans indexed to LIBOR at</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be applied prospectively through December 31, 2022.</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end of 2021, while continuing to use various alternative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indexes. We do not expect this ASU to have a material</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5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impact on the Company's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-1270</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720" w:space="320"/>
            <w:col w:w="9200"/>
          </w:cols>
          <w:pgMar w:left="320" w:top="36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20" w:firstLine="469"/>
        <w:spacing w:after="0" w:line="245" w:lineRule="auto"/>
        <w:rPr>
          <w:sz w:val="20"/>
          <w:szCs w:val="20"/>
          <w:color w:val="auto"/>
        </w:rPr>
      </w:pPr>
      <w:r>
        <w:rPr>
          <w:rFonts w:ascii="Times New Roman" w:cs="Times New Roman" w:eastAsia="Times New Roman" w:hAnsi="Times New Roman"/>
          <w:sz w:val="18"/>
          <w:szCs w:val="18"/>
          <w:color w:val="auto"/>
        </w:rPr>
        <w:t>For the first quarter of 2022, we reported net earnings of $45.6 million, compared with $47.7 million for the fourth quarter of 2021 and $63.9 million for the first quarter of 2021. Diluted earnings per share were $0.31 for the first quarter, compared to $0.35 for the prior quarter and $0.47 for the same period last year. The first quarter of 2022 included $2.5 million in provision for credit losses, compared to $19.5 million of provision recaptured in the first quarter of 2021. The fourth quarter of 2021 did not include a recapture of or provision for credit losses. Net income of $45.6 million for the first quarter of 2022 produced an annualized return on average equity (“ROAE”) of 8.24%, an annualized return on average tangible common equity (“ROATCE”) of</w:t>
      </w:r>
    </w:p>
    <w:p>
      <w:pPr>
        <w:spacing w:after="0" w:line="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13.08%, and an annualized return on average assets (“ROAA”) of 1.06%. Our net interest margin, tax equivalent (“NIM”), was 2.90% for the first quarter of 2022, while our efficiency ratio was 46.93%, or 42.38% when $5.6 million of acquisition expenses are excluded.</w:t>
      </w:r>
    </w:p>
    <w:p>
      <w:pPr>
        <w:spacing w:after="0" w:line="180" w:lineRule="exact"/>
        <w:rPr>
          <w:sz w:val="20"/>
          <w:szCs w:val="20"/>
          <w:color w:val="auto"/>
        </w:rPr>
      </w:pPr>
    </w:p>
    <w:p>
      <w:pPr>
        <w:ind w:right="180" w:firstLine="469"/>
        <w:spacing w:after="0" w:line="245"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Bank (“Suncrest”). Our financial statements for the first quarter included 83 days of Suncrest operations, post-merger. At close, Citizens Business Bank acquired loans with a fair value of $774.5 million, assumed $512.8 million of noninterest-bearing deposits, and $669.8 million of interest-bearing deposits. We incurred $5.6 million in acquisition expense during the first quarter of 2022, as a result of the Suncrest merger.</w:t>
      </w:r>
    </w:p>
    <w:p>
      <w:pPr>
        <w:spacing w:after="0" w:line="181" w:lineRule="exact"/>
        <w:rPr>
          <w:sz w:val="20"/>
          <w:szCs w:val="20"/>
          <w:color w:val="auto"/>
        </w:rPr>
      </w:pPr>
    </w:p>
    <w:p>
      <w:pPr>
        <w:ind w:right="120" w:firstLine="469"/>
        <w:spacing w:after="0" w:line="247" w:lineRule="auto"/>
        <w:rPr>
          <w:sz w:val="20"/>
          <w:szCs w:val="20"/>
          <w:color w:val="auto"/>
        </w:rPr>
      </w:pPr>
      <w:r>
        <w:rPr>
          <w:rFonts w:ascii="Times New Roman" w:cs="Times New Roman" w:eastAsia="Times New Roman" w:hAnsi="Times New Roman"/>
          <w:sz w:val="18"/>
          <w:szCs w:val="18"/>
          <w:color w:val="auto"/>
        </w:rPr>
        <w:t>As a result of the acquisition of Suncrest, we recorded a provision for credit loss of $4.9 million on January 7, 2022 for the acquired loans that were not considered purchased credit deteriorated (“PCD”). The $2.5 million provision for credit losses for the first quarter of 2022 was the net result of the January 7, 2022 provision for credit losses recorded for the acquisition of the Suncrest non-PCD loans and a $2.4 million recapture of provision due to the net impact of improvements in the underlying loan characteristics of certain classified loans and the impact of changes in the economic forecast of certain macroeconomic variables compared to the end of 2021. During the first quarter of 2022, we experienced credit charge-offs of $16,000 and total recoveries of $11,000, resulting in net charge-offs of $5,000.</w:t>
      </w:r>
    </w:p>
    <w:p>
      <w:pPr>
        <w:spacing w:after="0" w:line="166" w:lineRule="exact"/>
        <w:rPr>
          <w:sz w:val="20"/>
          <w:szCs w:val="20"/>
          <w:color w:val="auto"/>
        </w:rPr>
      </w:pPr>
    </w:p>
    <w:p>
      <w:pPr>
        <w:ind w:right="100" w:firstLine="469"/>
        <w:spacing w:after="0" w:line="250" w:lineRule="auto"/>
        <w:rPr>
          <w:sz w:val="20"/>
          <w:szCs w:val="20"/>
          <w:color w:val="auto"/>
        </w:rPr>
      </w:pPr>
      <w:r>
        <w:rPr>
          <w:rFonts w:ascii="Times New Roman" w:cs="Times New Roman" w:eastAsia="Times New Roman" w:hAnsi="Times New Roman"/>
          <w:sz w:val="18"/>
          <w:szCs w:val="18"/>
          <w:color w:val="auto"/>
        </w:rPr>
        <w:t>At March 31, 2022, total assets of $17.54 billion increased by $1.66 billion, or 10.42%, from total assets of $15.88 billion at December 31, 2021. Interest-earning assets of $16.1 billion at March 31, 2022 increased by $1.42 billion, or 9.70%, when compared with $14.68 billion at December 31, 2021. The increase in interest-earning assets was primarily due to a $900.2 million increase in investment securities and a $704.0 million increase in total loans, partially offset by a $160.5 million decrease in interest-earning balances due from the Federal Reserve. The $704.0 million increase in total loans includes the $774.5 million of loans acquired at fair value from Suncrest.</w:t>
      </w:r>
    </w:p>
    <w:p>
      <w:pPr>
        <w:spacing w:after="0" w:line="164" w:lineRule="exact"/>
        <w:rPr>
          <w:sz w:val="20"/>
          <w:szCs w:val="20"/>
          <w:color w:val="auto"/>
        </w:rPr>
      </w:pPr>
    </w:p>
    <w:p>
      <w:pPr>
        <w:ind w:firstLine="469"/>
        <w:spacing w:after="0" w:line="243" w:lineRule="auto"/>
        <w:rPr>
          <w:sz w:val="20"/>
          <w:szCs w:val="20"/>
          <w:color w:val="auto"/>
        </w:rPr>
      </w:pPr>
      <w:r>
        <w:rPr>
          <w:rFonts w:ascii="Times New Roman" w:cs="Times New Roman" w:eastAsia="Times New Roman" w:hAnsi="Times New Roman"/>
          <w:sz w:val="18"/>
          <w:szCs w:val="18"/>
          <w:color w:val="auto"/>
        </w:rPr>
        <w:t>Total investment securities were $6.01 billion at March 31, 2022, an increase of $900.2 million, or 17.62%, from $5.11 billion at December 31, 2021. We deployed some of our excess liquidity into additional investment securities by purchasing approximately $1.17 billion in securities during the first quarter of 2022, with an expected average yield of approximately 2.37%. At March 31, 2022, investment securities held-to-maturity (“HTM”) totaled $2.36 billion. At March 31, 2022, investment securities available-for-sale (“AFS”) totaled $3.65 billion, inclusive of a pre-tax net unrealized loss of $203.4 million. HTM securities increased by $436.8 million, or 22.68% and AFS securities increased by $463.4 million, or 14.55%, from December 31, 2021. During the first quarter of 2022, we purchased $813 million of AFS securities with an average expected yield of approximately 2.4%. We purchased $357 million of HTM securities in the first quarter of 2022 with an average yield of approximately 2.2%. Our tax equivalent yield on investments was 1.70% for the quarter ended March 31, 2022, compared to 1.52% for the fourth quarter of 2021 and 1.65% for the first quarter of 2021.</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loans and leases, at amortized cost, of $8.59 billion at March 31, 2022 increased by $704.0 million, or 8.92%, from December 31, 2021.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total loans included $774.5 million of loans acquired from Suncrest in the first quarter of 2022. After adjusting for acquired loans, seasonality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our Dairy &amp; Livestock loans, and forgiveness of PPP loans ("core loans"), our core loans grew by $144.5 million, or 1.97%, from the end of the</w:t>
      </w:r>
    </w:p>
    <w:p>
      <w:pPr>
        <w:spacing w:after="0" w:line="234" w:lineRule="auto"/>
        <w:rPr>
          <w:sz w:val="20"/>
          <w:szCs w:val="20"/>
          <w:color w:val="auto"/>
        </w:rPr>
      </w:pPr>
      <w:r>
        <w:rPr>
          <w:rFonts w:ascii="Times New Roman" w:cs="Times New Roman" w:eastAsia="Times New Roman" w:hAnsi="Times New Roman"/>
          <w:sz w:val="18"/>
          <w:szCs w:val="18"/>
          <w:color w:val="auto"/>
        </w:rPr>
        <w:t>fourth quarter of 2021, or approximately 8% annualized. The $144.5 million core loan growth included $100.3 million in commercial real estate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$27.3 million in commercial and industrial loans, $14.2 million in SFR mortgage loans, $2.5 million in SBA loans, and $5.7 million in other loans, partially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a decrease of $5.5 million in construction loans. The majority of the $110.1 million decrease in dairy &amp; livestock loans was seasonal. Our yield on</w:t>
      </w:r>
    </w:p>
    <w:p>
      <w:pPr>
        <w:spacing w:after="0" w:line="234" w:lineRule="auto"/>
        <w:rPr>
          <w:sz w:val="20"/>
          <w:szCs w:val="20"/>
          <w:color w:val="auto"/>
        </w:rPr>
      </w:pPr>
      <w:r>
        <w:rPr>
          <w:rFonts w:ascii="Times New Roman" w:cs="Times New Roman" w:eastAsia="Times New Roman" w:hAnsi="Times New Roman"/>
          <w:sz w:val="18"/>
          <w:szCs w:val="18"/>
          <w:color w:val="auto"/>
        </w:rPr>
        <w:t>loans was 4.27% for the quarter ended March 31, 2022, compared to 4.29% for the fourth quarter of 2021 and 4.50% for the first quarter of 2021. The</w:t>
      </w:r>
    </w:p>
    <w:p>
      <w:pPr>
        <w:spacing w:after="0" w:line="235" w:lineRule="auto"/>
        <w:rPr>
          <w:sz w:val="20"/>
          <w:szCs w:val="20"/>
          <w:color w:val="auto"/>
        </w:rPr>
      </w:pPr>
      <w:r>
        <w:rPr>
          <w:rFonts w:ascii="Times New Roman" w:cs="Times New Roman" w:eastAsia="Times New Roman" w:hAnsi="Times New Roman"/>
          <w:sz w:val="18"/>
          <w:szCs w:val="18"/>
          <w:color w:val="auto"/>
        </w:rPr>
        <w:t>significant decline in interest rates since the start of the pandemic continued to have a negative impact on loan yields, which after excluding discount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nonaccrual interest income, and the impact from PPP loans, declined by 3 basis points and 12 basis points when compared to the fourth quarter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first quarter of 2021, respectively. Interest and fee income from PPP loans was approximately $2.9 million in the first quarter of 2022, compared to</w:t>
      </w:r>
    </w:p>
    <w:p>
      <w:pPr>
        <w:spacing w:after="0"/>
        <w:rPr>
          <w:sz w:val="20"/>
          <w:szCs w:val="20"/>
          <w:color w:val="auto"/>
        </w:rPr>
      </w:pPr>
      <w:r>
        <w:rPr>
          <w:rFonts w:ascii="Times New Roman" w:cs="Times New Roman" w:eastAsia="Times New Roman" w:hAnsi="Times New Roman"/>
          <w:sz w:val="18"/>
          <w:szCs w:val="18"/>
          <w:color w:val="auto"/>
        </w:rPr>
        <w:t>$4.2 million in the fourth quarter of 2021.</w:t>
      </w:r>
    </w:p>
    <w:p>
      <w:pPr>
        <w:spacing w:after="0" w:line="192" w:lineRule="exact"/>
        <w:rPr>
          <w:sz w:val="20"/>
          <w:szCs w:val="20"/>
          <w:color w:val="auto"/>
        </w:rPr>
      </w:pPr>
    </w:p>
    <w:p>
      <w:pPr>
        <w:ind w:right="620" w:firstLine="469"/>
        <w:spacing w:after="0" w:line="246" w:lineRule="auto"/>
        <w:rPr>
          <w:sz w:val="20"/>
          <w:szCs w:val="20"/>
          <w:color w:val="auto"/>
        </w:rPr>
      </w:pPr>
      <w:r>
        <w:rPr>
          <w:rFonts w:ascii="Times New Roman" w:cs="Times New Roman" w:eastAsia="Times New Roman" w:hAnsi="Times New Roman"/>
          <w:sz w:val="18"/>
          <w:szCs w:val="18"/>
          <w:color w:val="auto"/>
        </w:rPr>
        <w:t>Noninterest-bearing deposits were $9.11 billion at March 31, 2022, an increase of $1.0 billion, or 12.38%, when compared to $8.10 billion at December 31, 2021 and an increase of $1.53 million, or 20.18%, when compared to $7.58</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billion at March 31, 2021. The increase in noninterest-bearing deposits includes the noninterest-bearing deposits assumed from Suncrest of $512.8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noninterest-bearing deposits were 62.86% of total deposits, compared to 62.45% at December 31, 2021 and 62.74% at March 31, 2021.</w:t>
      </w:r>
    </w:p>
    <w:p>
      <w:pPr>
        <w:spacing w:after="0" w:line="180" w:lineRule="exact"/>
        <w:rPr>
          <w:sz w:val="20"/>
          <w:szCs w:val="20"/>
          <w:color w:val="auto"/>
        </w:rPr>
      </w:pPr>
    </w:p>
    <w:p>
      <w:pPr>
        <w:ind w:right="80" w:firstLine="469"/>
        <w:spacing w:after="0" w:line="268" w:lineRule="auto"/>
        <w:rPr>
          <w:sz w:val="20"/>
          <w:szCs w:val="20"/>
          <w:color w:val="auto"/>
        </w:rPr>
      </w:pPr>
      <w:r>
        <w:rPr>
          <w:rFonts w:ascii="Times New Roman" w:cs="Times New Roman" w:eastAsia="Times New Roman" w:hAnsi="Times New Roman"/>
          <w:sz w:val="17"/>
          <w:szCs w:val="17"/>
          <w:color w:val="auto"/>
        </w:rPr>
        <w:t>Interest-bearing deposits were $5.38 billion at March 31, 2022, an increase of $508.1 million, or 10.43%, when compared to $4.87 billion at December 31, 2021 and an increase of $879.7 million, or 19.54%, when compared to $4.50 billion at March 31, 2021. The increase in interest-bearing deposits included the interest-bearing deposits assumed from Suncrest of $669.8 million. Customer repurchase agreements totaled $598.9 million at March 31, 2022, compared to $642.4 million at December 31, 2021 and $506.3 million at March 31, 2021. Our average cost of total deposits including customer repurchase agreements was 0.03% for the quarter ended March 31, 2022, unchanged from the prior quarter and 0.03% lower than the first quarter of 2021.</w:t>
      </w:r>
    </w:p>
    <w:p>
      <w:pPr>
        <w:spacing w:after="0" w:line="151" w:lineRule="exact"/>
        <w:rPr>
          <w:sz w:val="20"/>
          <w:szCs w:val="20"/>
          <w:color w:val="auto"/>
        </w:rPr>
      </w:pPr>
    </w:p>
    <w:p>
      <w:pPr>
        <w:ind w:right="40" w:firstLine="464"/>
        <w:spacing w:after="0" w:line="250" w:lineRule="auto"/>
        <w:rPr>
          <w:sz w:val="20"/>
          <w:szCs w:val="20"/>
          <w:color w:val="auto"/>
        </w:rPr>
      </w:pPr>
      <w:r>
        <w:rPr>
          <w:rFonts w:ascii="Times New Roman" w:cs="Times New Roman" w:eastAsia="Times New Roman" w:hAnsi="Times New Roman"/>
          <w:sz w:val="18"/>
          <w:szCs w:val="18"/>
          <w:color w:val="auto"/>
        </w:rPr>
        <w:t>We had no borrowings at March 31, 2022. At March 31, 2021 we had $25.8 million in junior subordinated debentures, bearing interest at three-month LIBOR plus 1.38%, resulting in a borrowing cost of 1.60% for the first quarter of 2021. These debentures, with an original maturity in 2036, were redeemed on June 15, 2021. Our average cost of funds of 0.03% for the first quarter of 2022 was unchanged from the fourth quarter of 2021 and decreased from 0.07% for the first quarter of 2021.</w:t>
      </w:r>
    </w:p>
    <w:p>
      <w:pPr>
        <w:spacing w:after="0" w:line="177" w:lineRule="exact"/>
        <w:rPr>
          <w:sz w:val="20"/>
          <w:szCs w:val="20"/>
          <w:color w:val="auto"/>
        </w:rPr>
      </w:pPr>
    </w:p>
    <w:p>
      <w:pPr>
        <w:ind w:right="160" w:firstLine="469"/>
        <w:spacing w:after="0" w:line="246" w:lineRule="auto"/>
        <w:rPr>
          <w:sz w:val="20"/>
          <w:szCs w:val="20"/>
          <w:color w:val="auto"/>
        </w:rPr>
      </w:pPr>
      <w:r>
        <w:rPr>
          <w:rFonts w:ascii="Times New Roman" w:cs="Times New Roman" w:eastAsia="Times New Roman" w:hAnsi="Times New Roman"/>
          <w:sz w:val="18"/>
          <w:szCs w:val="18"/>
          <w:color w:val="auto"/>
        </w:rPr>
        <w:t>The allowance for credit losses totaled $76.1 million at March 31, 2022, compared to $65.0 million at December 31, 2021. The ACL was increased by $11.1 million in 2022, including $8.6 million for the acquired Suncrest PCD loans and a $2.5 million provision for credit losses. At March 31, 2022, ACL as a percentage of total loans and leases outstanding was 0.89%. This compares to 0.82% and 0.87% at December 31, 2021 and March 31, 2021, respectively. When PPP loans are excluded, the ACL as a percentage of total loans and leases outstanding was 0.90% at March 31, 2022, compared to 0.84% at December 31, 2021 and 0.97% at March 31, 2021.</w:t>
      </w:r>
    </w:p>
    <w:p>
      <w:pPr>
        <w:spacing w:after="0" w:line="181" w:lineRule="exact"/>
        <w:rPr>
          <w:sz w:val="20"/>
          <w:szCs w:val="20"/>
          <w:color w:val="auto"/>
        </w:rPr>
      </w:pPr>
    </w:p>
    <w:p>
      <w:pPr>
        <w:ind w:right="80" w:firstLine="469"/>
        <w:spacing w:after="0" w:line="242" w:lineRule="auto"/>
        <w:rPr>
          <w:sz w:val="20"/>
          <w:szCs w:val="20"/>
          <w:color w:val="auto"/>
        </w:rPr>
      </w:pPr>
      <w:r>
        <w:rPr>
          <w:rFonts w:ascii="Times New Roman" w:cs="Times New Roman" w:eastAsia="Times New Roman" w:hAnsi="Times New Roman"/>
          <w:sz w:val="18"/>
          <w:szCs w:val="18"/>
          <w:color w:val="auto"/>
        </w:rPr>
        <w:t>The Company’s total equity was $2.08 billion at March 31, 2022. This represented an overall decrease of $6.5 million from total equity of $2.08 billion at December 31, 2021. Increases to equity included $197.1 million for the issuance of 8.6 million shares to acquire Suncrest and $45.6 million in net earnings. Decreases included $25.5 million in cash dividends and a $142.3 million decrease in other comprehensive income from the tax effected impact of the decline in market value of available-for-sale securities. On February 1, 2022, we announced that our Board of Directors authorized a share repurchase plan to repurchase up to 10 million shares of the Company's common stock. Equity decreased by $82.5 million during the first quarter of 2022, as a result of share repurchases under this share repurchase plan, including the execution of a $70 million accelerated stock repurchase program ("ASR") that retired 2,544,298 shares of common stock, or approximately 80% of the estimated shares repurchased under the ASR. We also repurchased, under our 10b5-1 stock repurchase plan, 536,010 shares of common stock, at an average repurchase price of $23.40, totaling $12.5 million. Our tangible book value per share at March 31, 2022 was $9.05.</w:t>
      </w:r>
    </w:p>
    <w:p>
      <w:pPr>
        <w:spacing w:after="0" w:line="187" w:lineRule="exact"/>
        <w:rPr>
          <w:sz w:val="20"/>
          <w:szCs w:val="20"/>
          <w:color w:val="auto"/>
        </w:rPr>
      </w:pPr>
    </w:p>
    <w:p>
      <w:pPr>
        <w:ind w:right="60" w:firstLine="469"/>
        <w:spacing w:after="0" w:line="247" w:lineRule="auto"/>
        <w:rPr>
          <w:sz w:val="20"/>
          <w:szCs w:val="20"/>
          <w:color w:val="auto"/>
        </w:rPr>
      </w:pPr>
      <w:r>
        <w:rPr>
          <w:rFonts w:ascii="Times New Roman" w:cs="Times New Roman" w:eastAsia="Times New Roman" w:hAnsi="Times New Roman"/>
          <w:sz w:val="18"/>
          <w:szCs w:val="18"/>
          <w:color w:val="auto"/>
        </w:rPr>
        <w:t>Our capital ratios under the revised capital framework referred to as Basel III remain well-above regulatory requirements. As of March 31, 2022, the Company’s Tier 1 leverage capital ratio was 8.7%, common equity Tier 1 ratio was 13.6%, Tier 1 risk-based capital ratio was 13.6%, and total risk-based capital ratio was 14.4%. We did not elect to phase in the impact of CECL on regulatory capital, as allowed under the interim final rule of the FDIC and</w:t>
      </w:r>
    </w:p>
    <w:p>
      <w:pPr>
        <w:spacing w:after="0"/>
        <w:rPr>
          <w:sz w:val="20"/>
          <w:szCs w:val="20"/>
          <w:color w:val="auto"/>
        </w:rPr>
      </w:pPr>
      <w:r>
        <w:rPr>
          <w:rFonts w:ascii="Times New Roman" w:cs="Times New Roman" w:eastAsia="Times New Roman" w:hAnsi="Times New Roman"/>
          <w:sz w:val="18"/>
          <w:szCs w:val="18"/>
          <w:color w:val="auto"/>
        </w:rPr>
        <w:t xml:space="preserve">other U.S. banking agencies. Refer to our </w:t>
      </w:r>
      <w:r>
        <w:rPr>
          <w:rFonts w:ascii="Times New Roman" w:cs="Times New Roman" w:eastAsia="Times New Roman" w:hAnsi="Times New Roman"/>
          <w:sz w:val="18"/>
          <w:szCs w:val="18"/>
          <w:i w:val="1"/>
          <w:iCs w:val="1"/>
          <w:color w:val="auto"/>
        </w:rPr>
        <w:t>Analysis of Financial Condition –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Acquisition Related</w:t>
      </w:r>
    </w:p>
    <w:p>
      <w:pPr>
        <w:spacing w:after="0" w:line="31" w:lineRule="exact"/>
        <w:rPr>
          <w:sz w:val="20"/>
          <w:szCs w:val="20"/>
          <w:color w:val="auto"/>
        </w:rPr>
      </w:pPr>
    </w:p>
    <w:p>
      <w:pPr>
        <w:ind w:right="20" w:firstLine="469"/>
        <w:spacing w:after="0" w:line="245" w:lineRule="auto"/>
        <w:rPr>
          <w:sz w:val="20"/>
          <w:szCs w:val="20"/>
          <w:color w:val="auto"/>
        </w:rPr>
      </w:pPr>
      <w:r>
        <w:rPr>
          <w:rFonts w:ascii="Times New Roman" w:cs="Times New Roman" w:eastAsia="Times New Roman" w:hAnsi="Times New Roman"/>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with the issuance of 8.6 million shares of the Company's common stock. As a result, Suncrest merged with and into the Bank, the principal subsidiary of CVB. At close, Suncrest had seven branch locations and two loan production offices in California’s Central Valley and the Sacramento metro area, which opened as Citizens Business Bank locations on January 10, 2022.</w:t>
      </w:r>
    </w:p>
    <w:p>
      <w:pPr>
        <w:spacing w:after="0" w:line="181" w:lineRule="exact"/>
        <w:rPr>
          <w:sz w:val="20"/>
          <w:szCs w:val="20"/>
          <w:color w:val="auto"/>
        </w:rPr>
      </w:pPr>
    </w:p>
    <w:p>
      <w:pPr>
        <w:ind w:firstLine="469"/>
        <w:spacing w:after="0" w:line="244" w:lineRule="auto"/>
        <w:rPr>
          <w:sz w:val="20"/>
          <w:szCs w:val="20"/>
          <w:color w:val="auto"/>
        </w:rPr>
      </w:pPr>
      <w:r>
        <w:rPr>
          <w:rFonts w:ascii="Times New Roman" w:cs="Times New Roman" w:eastAsia="Times New Roman" w:hAnsi="Times New Roman"/>
          <w:sz w:val="18"/>
          <w:szCs w:val="18"/>
          <w:color w:val="auto"/>
        </w:rPr>
        <w:t>At close, the total fair value of assets acquired approximated $1.38 billion in total assets, including $329.0 million of cash and cash equivalents, net of cash paid, $131.1 million of investment securities, and $765.9 million in net loans. The acquired loans were recorded at fair value, which was reduced by a net discount of 1.5% for the entire loan portfolio. Approximately 30% of the acquired loans are considered PCD loans. An allowance for credit loss of $8.6 million was established for these PCD loans at acquisition. In addition, the acquired PCD loans were further discounted by almost 2% to adjust them to fair value. Non-PCD loans were valued at a total premium of 0.3%, net of a credit discount of 1.5%. We recorded a loan loss provision to establish a day one allowance for credit losses of $4.9 million on the non-PCD loans.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consolidated financial statements for the first quarter of 2022 included 83 days of Suncrest operations, post-merger.</w:t>
      </w:r>
    </w:p>
    <w:p>
      <w:pPr>
        <w:spacing w:after="0" w:line="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ANALYSIS OF THE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5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r>
      <w:tr>
        <w:trPr>
          <w:trHeight w:val="182"/>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i w:val="1"/>
                <w:iCs w:val="1"/>
                <w:color w:val="auto"/>
                <w:w w:val="74"/>
              </w:rPr>
              <w:t>(Dollars</w:t>
            </w:r>
          </w:p>
        </w:tc>
        <w:tc>
          <w:tcPr>
            <w:tcW w:w="3340" w:type="dxa"/>
            <w:vAlign w:val="bottom"/>
            <w:gridSpan w:val="7"/>
          </w:tcPr>
          <w:p>
            <w:pPr>
              <w:ind w:left="100"/>
              <w:spacing w:after="0" w:line="182" w:lineRule="exact"/>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112,840</w:t>
            </w:r>
          </w:p>
        </w:tc>
        <w:tc>
          <w:tcPr>
            <w:tcW w:w="4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103,468</w:t>
            </w:r>
          </w:p>
        </w:tc>
        <w:tc>
          <w:tcPr>
            <w:tcW w:w="4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9.06 %</w:t>
            </w:r>
          </w:p>
        </w:tc>
      </w:tr>
      <w:tr>
        <w:trPr>
          <w:trHeight w:val="20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6"/>
                <w:szCs w:val="16"/>
                <w:color w:val="auto"/>
              </w:rPr>
              <w:t>(2,500 )</w:t>
            </w: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(22,000 )</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-112.82 %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11,264</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13,681</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(2,417 )</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-17.67 %</w:t>
            </w: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6"/>
                <w:szCs w:val="16"/>
                <w:color w:val="auto"/>
              </w:rPr>
              <w:t>(58,238 )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(47,163 )</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(11,075 )</w:t>
            </w:r>
          </w:p>
        </w:tc>
        <w:tc>
          <w:tcPr>
            <w:tcW w:w="2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-23.48 %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tcPr>
          <w:p>
            <w:pPr>
              <w:spacing w:after="0"/>
              <w:rPr>
                <w:sz w:val="17"/>
                <w:szCs w:val="17"/>
                <w:color w:val="auto"/>
              </w:rPr>
            </w:pPr>
          </w:p>
        </w:tc>
        <w:tc>
          <w:tcPr>
            <w:tcW w:w="1520" w:type="dxa"/>
            <w:vAlign w:val="bottom"/>
            <w:gridSpan w:val="2"/>
          </w:tcPr>
          <w:p>
            <w:pPr>
              <w:jc w:val="right"/>
              <w:ind w:right="264"/>
              <w:spacing w:after="0"/>
              <w:rPr>
                <w:sz w:val="20"/>
                <w:szCs w:val="20"/>
                <w:color w:val="auto"/>
              </w:rPr>
            </w:pPr>
            <w:r>
              <w:rPr>
                <w:rFonts w:ascii="Times New Roman" w:cs="Times New Roman" w:eastAsia="Times New Roman" w:hAnsi="Times New Roman"/>
                <w:sz w:val="16"/>
                <w:szCs w:val="16"/>
                <w:color w:val="auto"/>
              </w:rPr>
              <w:t>(17,806 )</w:t>
            </w:r>
          </w:p>
        </w:tc>
        <w:tc>
          <w:tcPr>
            <w:tcW w:w="46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(25,593 )</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7,787</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30.43 %</w:t>
            </w:r>
          </w:p>
        </w:tc>
      </w:tr>
      <w:tr>
        <w:trPr>
          <w:trHeight w:val="236"/>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45,560</w:t>
            </w:r>
          </w:p>
        </w:tc>
        <w:tc>
          <w:tcPr>
            <w:tcW w:w="4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63,893</w:t>
            </w:r>
          </w:p>
        </w:tc>
        <w:tc>
          <w:tcPr>
            <w:tcW w:w="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380" w:type="dxa"/>
            <w:vAlign w:val="bottom"/>
            <w:tcBorders>
              <w:bottom w:val="single" w:sz="8" w:color="CFF0FC"/>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-28.69 %</w:t>
            </w: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4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(0.16 )</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40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42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(0.16 )</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6"/>
                <w:szCs w:val="16"/>
                <w:color w:val="auto"/>
              </w:rPr>
              <w:t>1.06 %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1.79 %</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-0.73 %</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320" w:type="dxa"/>
            <w:vAlign w:val="bottom"/>
          </w:tcPr>
          <w:p>
            <w:pPr>
              <w:spacing w:after="0"/>
              <w:rPr>
                <w:sz w:val="17"/>
                <w:szCs w:val="17"/>
                <w:color w:val="auto"/>
              </w:rPr>
            </w:pPr>
          </w:p>
        </w:tc>
        <w:tc>
          <w:tcPr>
            <w:tcW w:w="15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rPr>
              <w:t>8.24 %</w:t>
            </w:r>
          </w:p>
        </w:tc>
        <w:tc>
          <w:tcPr>
            <w:tcW w:w="4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12.75 %</w:t>
            </w:r>
          </w:p>
        </w:tc>
        <w:tc>
          <w:tcPr>
            <w:tcW w:w="280" w:type="dxa"/>
            <w:vAlign w:val="bottom"/>
          </w:tcPr>
          <w:p>
            <w:pPr>
              <w:spacing w:after="0"/>
              <w:rPr>
                <w:sz w:val="17"/>
                <w:szCs w:val="17"/>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-4.51 %</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84"/>
              <w:spacing w:after="0"/>
              <w:rPr>
                <w:sz w:val="20"/>
                <w:szCs w:val="20"/>
                <w:color w:val="auto"/>
              </w:rPr>
            </w:pPr>
            <w:r>
              <w:rPr>
                <w:rFonts w:ascii="Times New Roman" w:cs="Times New Roman" w:eastAsia="Times New Roman" w:hAnsi="Times New Roman"/>
                <w:sz w:val="16"/>
                <w:szCs w:val="16"/>
                <w:color w:val="auto"/>
              </w:rPr>
              <w:t>46.93 %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40.26 %</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6.67 %</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320" w:type="dxa"/>
            <w:vAlign w:val="bottom"/>
          </w:tcPr>
          <w:p>
            <w:pPr>
              <w:spacing w:after="0"/>
              <w:rPr>
                <w:sz w:val="18"/>
                <w:szCs w:val="18"/>
                <w:color w:val="auto"/>
              </w:rPr>
            </w:pPr>
          </w:p>
        </w:tc>
        <w:tc>
          <w:tcPr>
            <w:tcW w:w="15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rPr>
              <w:t>1.36 %</w:t>
            </w:r>
          </w:p>
        </w:tc>
        <w:tc>
          <w:tcPr>
            <w:tcW w:w="4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1.32 %</w:t>
            </w:r>
          </w:p>
        </w:tc>
        <w:tc>
          <w:tcPr>
            <w:tcW w:w="280" w:type="dxa"/>
            <w:vAlign w:val="bottom"/>
          </w:tcPr>
          <w:p>
            <w:pPr>
              <w:spacing w:after="0"/>
              <w:rPr>
                <w:sz w:val="18"/>
                <w:szCs w:val="18"/>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0.04 %</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-930275</wp:posOffset>
            </wp:positionV>
            <wp:extent cx="1460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-913130</wp:posOffset>
            </wp:positionV>
            <wp:extent cx="1460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-930275</wp:posOffset>
            </wp:positionV>
            <wp:extent cx="14605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-913130</wp:posOffset>
            </wp:positionV>
            <wp:extent cx="14605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-930275</wp:posOffset>
            </wp:positionV>
            <wp:extent cx="137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-913130</wp:posOffset>
            </wp:positionV>
            <wp:extent cx="1371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138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5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12"/>
        </w:trPr>
        <w:tc>
          <w:tcPr>
            <w:tcW w:w="5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r>
      <w:tr>
        <w:trPr>
          <w:trHeight w:val="188"/>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73"/>
              </w:rPr>
              <w:t>(Dollars</w:t>
            </w:r>
          </w:p>
        </w:tc>
        <w:tc>
          <w:tcPr>
            <w:tcW w:w="3320" w:type="dxa"/>
            <w:vAlign w:val="bottom"/>
            <w:gridSpan w:val="7"/>
          </w:tcPr>
          <w:p>
            <w:pPr>
              <w:ind w:left="8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112,840</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102,395</w:t>
            </w:r>
          </w:p>
        </w:tc>
        <w:tc>
          <w:tcPr>
            <w:tcW w:w="4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10.20 %</w:t>
            </w:r>
          </w:p>
        </w:tc>
      </w:tr>
      <w:tr>
        <w:trPr>
          <w:trHeight w:val="20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(2,500 )</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(2,500 )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(1,121 )</w:t>
            </w:r>
          </w:p>
        </w:tc>
        <w:tc>
          <w:tcPr>
            <w:tcW w:w="2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-9.05 %</w:t>
            </w: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(58,238 )</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(47,980 )</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(10,258 )</w:t>
            </w: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-21.38 %</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tcPr>
          <w:p>
            <w:pPr>
              <w:spacing w:after="0"/>
              <w:rPr>
                <w:sz w:val="17"/>
                <w:szCs w:val="17"/>
                <w:color w:val="auto"/>
              </w:rPr>
            </w:pPr>
          </w:p>
        </w:tc>
        <w:tc>
          <w:tcPr>
            <w:tcW w:w="162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(17,806 )</w:t>
            </w:r>
          </w:p>
        </w:tc>
        <w:tc>
          <w:tcPr>
            <w:tcW w:w="120" w:type="dxa"/>
            <w:vAlign w:val="bottom"/>
          </w:tcPr>
          <w:p>
            <w:pPr>
              <w:spacing w:after="0"/>
              <w:rPr>
                <w:sz w:val="17"/>
                <w:szCs w:val="17"/>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(19,104 )</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6.79 %</w:t>
            </w:r>
          </w:p>
        </w:tc>
      </w:tr>
      <w:tr>
        <w:trPr>
          <w:trHeight w:val="236"/>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45,560</w:t>
            </w:r>
          </w:p>
        </w:tc>
        <w:tc>
          <w:tcPr>
            <w:tcW w:w="4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47,696</w:t>
            </w:r>
          </w:p>
        </w:tc>
        <w:tc>
          <w:tcPr>
            <w:tcW w:w="4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380" w:type="dxa"/>
            <w:vAlign w:val="bottom"/>
            <w:tcBorders>
              <w:bottom w:val="single" w:sz="8" w:color="CFF0FC"/>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-4.48 %</w:t>
            </w:r>
          </w:p>
        </w:tc>
      </w:tr>
      <w:tr>
        <w:trPr>
          <w:trHeight w:val="18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4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(0.04 )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5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4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4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(0.04 )</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assets</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1.18 %</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-0.12 %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shareholders' equity</w:t>
            </w:r>
          </w:p>
        </w:tc>
        <w:tc>
          <w:tcPr>
            <w:tcW w:w="220" w:type="dxa"/>
            <w:vAlign w:val="bottom"/>
          </w:tcPr>
          <w:p>
            <w:pPr>
              <w:spacing w:after="0"/>
              <w:rPr>
                <w:sz w:val="17"/>
                <w:szCs w:val="17"/>
                <w:color w:val="auto"/>
              </w:rPr>
            </w:pPr>
          </w:p>
        </w:tc>
        <w:tc>
          <w:tcPr>
            <w:tcW w:w="16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8.24 %</w:t>
            </w:r>
          </w:p>
        </w:tc>
        <w:tc>
          <w:tcPr>
            <w:tcW w:w="12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9.05 %</w:t>
            </w:r>
          </w:p>
        </w:tc>
        <w:tc>
          <w:tcPr>
            <w:tcW w:w="280" w:type="dxa"/>
            <w:vAlign w:val="bottom"/>
          </w:tcPr>
          <w:p>
            <w:pPr>
              <w:spacing w:after="0"/>
              <w:rPr>
                <w:sz w:val="17"/>
                <w:szCs w:val="17"/>
                <w:color w:val="auto"/>
              </w:rPr>
            </w:pP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-0.81 %</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Efficiency ratio</w:t>
            </w: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46.93 %</w:t>
            </w:r>
          </w:p>
        </w:tc>
        <w:tc>
          <w:tcPr>
            <w:tcW w:w="1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41.80 %</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5.13 %</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 expense to average assets</w:t>
            </w:r>
          </w:p>
        </w:tc>
        <w:tc>
          <w:tcPr>
            <w:tcW w:w="220" w:type="dxa"/>
            <w:vAlign w:val="bottom"/>
          </w:tcPr>
          <w:p>
            <w:pPr>
              <w:spacing w:after="0"/>
              <w:rPr>
                <w:sz w:val="18"/>
                <w:szCs w:val="18"/>
                <w:color w:val="auto"/>
              </w:rPr>
            </w:pPr>
          </w:p>
        </w:tc>
        <w:tc>
          <w:tcPr>
            <w:tcW w:w="16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1.36 %</w:t>
            </w: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1.19 %</w:t>
            </w:r>
          </w:p>
        </w:tc>
        <w:tc>
          <w:tcPr>
            <w:tcW w:w="280" w:type="dxa"/>
            <w:vAlign w:val="bottom"/>
          </w:tcPr>
          <w:p>
            <w:pPr>
              <w:spacing w:after="0"/>
              <w:rPr>
                <w:sz w:val="18"/>
                <w:szCs w:val="18"/>
                <w:color w:val="auto"/>
              </w:rPr>
            </w:pP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0.17 %</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-930275</wp:posOffset>
            </wp:positionV>
            <wp:extent cx="15430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-913130</wp:posOffset>
            </wp:positionV>
            <wp:extent cx="15430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-930275</wp:posOffset>
            </wp:positionV>
            <wp:extent cx="15430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-913130</wp:posOffset>
            </wp:positionV>
            <wp:extent cx="15430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-930275</wp:posOffset>
            </wp:positionV>
            <wp:extent cx="1454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-913130</wp:posOffset>
            </wp:positionV>
            <wp:extent cx="1454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Tangible Common Equity Reconciliation (Non-GAAP)</w:t>
      </w:r>
    </w:p>
    <w:p>
      <w:pPr>
        <w:spacing w:after="0" w:line="202" w:lineRule="exact"/>
        <w:rPr>
          <w:sz w:val="20"/>
          <w:szCs w:val="20"/>
          <w:color w:val="auto"/>
        </w:rPr>
      </w:pPr>
    </w:p>
    <w:p>
      <w:pPr>
        <w:ind w:right="120" w:firstLine="469"/>
        <w:spacing w:after="0" w:line="250" w:lineRule="auto"/>
        <w:rPr>
          <w:sz w:val="20"/>
          <w:szCs w:val="20"/>
          <w:color w:val="auto"/>
        </w:rPr>
      </w:pPr>
      <w:r>
        <w:rPr>
          <w:rFonts w:ascii="Times New Roman" w:cs="Times New Roman" w:eastAsia="Times New Roman" w:hAnsi="Times New Roman"/>
          <w:sz w:val="18"/>
          <w:szCs w:val="18"/>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r>
      <w:tr>
        <w:trPr>
          <w:trHeight w:val="212"/>
        </w:trPr>
        <w:tc>
          <w:tcPr>
            <w:tcW w:w="5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8"/>
                <w:szCs w:val="18"/>
                <w:color w:val="auto"/>
              </w:rPr>
            </w:pPr>
          </w:p>
        </w:tc>
      </w:tr>
      <w:tr>
        <w:trPr>
          <w:trHeight w:val="202"/>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45,560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47,696</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63,893</w:t>
            </w:r>
          </w:p>
        </w:tc>
        <w:tc>
          <w:tcPr>
            <w:tcW w:w="220" w:type="dxa"/>
            <w:vAlign w:val="bottom"/>
            <w:shd w:val="clear" w:color="auto" w:fill="CFF0FC"/>
          </w:tcPr>
          <w:p>
            <w:pPr>
              <w:spacing w:after="0"/>
              <w:rPr>
                <w:sz w:val="17"/>
                <w:szCs w:val="17"/>
                <w:color w:val="auto"/>
              </w:rPr>
            </w:pPr>
          </w:p>
        </w:tc>
      </w:tr>
      <w:tr>
        <w:trPr>
          <w:trHeight w:val="20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 Amortization of intangible assets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20" w:type="dxa"/>
            <w:vAlign w:val="bottom"/>
          </w:tcPr>
          <w:p>
            <w:pPr>
              <w:spacing w:after="0"/>
              <w:rPr>
                <w:sz w:val="17"/>
                <w:szCs w:val="17"/>
                <w:color w:val="auto"/>
              </w:rPr>
            </w:pPr>
          </w:p>
        </w:tc>
      </w:tr>
      <w:tr>
        <w:trPr>
          <w:trHeight w:val="203"/>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Tax effect of amortization of intangible assets (1)</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(591 )</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(559 )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(641 )</w:t>
            </w:r>
          </w:p>
        </w:tc>
      </w:tr>
      <w:tr>
        <w:trPr>
          <w:trHeight w:val="196"/>
        </w:trPr>
        <w:tc>
          <w:tcPr>
            <w:tcW w:w="59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Tangible 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46,967</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4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65,419</w:t>
            </w:r>
          </w:p>
        </w:tc>
        <w:tc>
          <w:tcPr>
            <w:tcW w:w="220" w:type="dxa"/>
            <w:vAlign w:val="bottom"/>
            <w:tcBorders>
              <w:top w:val="single" w:sz="8" w:color="CFF0FC"/>
            </w:tcBorders>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2,243,335</w:t>
            </w:r>
          </w:p>
        </w:tc>
        <w:tc>
          <w:tcPr>
            <w:tcW w:w="2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2,090,746</w:t>
            </w: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2,032,676</w:t>
            </w:r>
          </w:p>
        </w:tc>
        <w:tc>
          <w:tcPr>
            <w:tcW w:w="220" w:type="dxa"/>
            <w:vAlign w:val="bottom"/>
            <w:shd w:val="clear" w:color="auto" w:fill="CFF0FC"/>
          </w:tcPr>
          <w:p>
            <w:pPr>
              <w:spacing w:after="0"/>
              <w:rPr>
                <w:sz w:val="17"/>
                <w:szCs w:val="17"/>
                <w:color w:val="auto"/>
              </w:rPr>
            </w:pPr>
          </w:p>
        </w:tc>
      </w:tr>
      <w:tr>
        <w:trPr>
          <w:trHeight w:val="20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Average goodwill</w:t>
            </w:r>
          </w:p>
        </w:tc>
        <w:tc>
          <w:tcPr>
            <w:tcW w:w="26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(759,014 )</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(663,707 )</w:t>
            </w: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(663,707 )</w:t>
            </w:r>
          </w:p>
        </w:tc>
      </w:tr>
      <w:tr>
        <w:trPr>
          <w:trHeight w:val="203"/>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Average intangible assets</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(28,190 )</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6"/>
                <w:szCs w:val="16"/>
                <w:color w:val="auto"/>
              </w:rPr>
              <w:t>(26,216 )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(32,590 )</w:t>
            </w:r>
          </w:p>
        </w:tc>
      </w:tr>
      <w:tr>
        <w:trPr>
          <w:trHeight w:val="196"/>
        </w:trPr>
        <w:tc>
          <w:tcPr>
            <w:tcW w:w="59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Average tangible common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1,456,131</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1,400,823</w:t>
            </w:r>
          </w:p>
        </w:tc>
        <w:tc>
          <w:tcPr>
            <w:tcW w:w="4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1,336,379</w:t>
            </w:r>
          </w:p>
        </w:tc>
        <w:tc>
          <w:tcPr>
            <w:tcW w:w="220" w:type="dxa"/>
            <w:vAlign w:val="bottom"/>
            <w:tcBorders>
              <w:top w:val="single" w:sz="8" w:color="CFF0FC"/>
            </w:tcBorders>
          </w:tcPr>
          <w:p>
            <w:pPr>
              <w:spacing w:after="0"/>
              <w:rPr>
                <w:sz w:val="17"/>
                <w:szCs w:val="17"/>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3"/>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r>
      <w:tr>
        <w:trPr>
          <w:trHeight w:val="203"/>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Return on average equity, annualized</w:t>
            </w: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8.24 %</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9.05 %</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12.75 %</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on average tangible common equity, annualized</w:t>
            </w:r>
          </w:p>
        </w:tc>
        <w:tc>
          <w:tcPr>
            <w:tcW w:w="2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13.08 %</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13.89 %</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-1229995</wp:posOffset>
            </wp:positionV>
            <wp:extent cx="1803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-1229995</wp:posOffset>
            </wp:positionV>
            <wp:extent cx="1460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-1229995</wp:posOffset>
            </wp:positionV>
            <wp:extent cx="14541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-553085</wp:posOffset>
            </wp:positionV>
            <wp:extent cx="18034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-553085</wp:posOffset>
            </wp:positionV>
            <wp:extent cx="1460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-553085</wp:posOffset>
            </wp:positionV>
            <wp:extent cx="14541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4"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effected at respective statutory rates.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02" w:lineRule="exact"/>
        <w:rPr>
          <w:sz w:val="20"/>
          <w:szCs w:val="20"/>
          <w:color w:val="auto"/>
        </w:rPr>
      </w:pPr>
    </w:p>
    <w:p>
      <w:pPr>
        <w:ind w:firstLine="469"/>
        <w:spacing w:after="0" w:line="242" w:lineRule="auto"/>
        <w:rPr>
          <w:sz w:val="20"/>
          <w:szCs w:val="20"/>
          <w:color w:val="auto"/>
        </w:rPr>
      </w:pPr>
      <w:r>
        <w:rPr>
          <w:rFonts w:ascii="Times New Roman" w:cs="Times New Roman" w:eastAsia="Times New Roman" w:hAnsi="Times New Roman"/>
          <w:sz w:val="18"/>
          <w:szCs w:val="18"/>
          <w:color w:val="auto"/>
        </w:rPr>
        <w:t>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months ended March 31, 2022 and 2021.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w:t>
      </w:r>
    </w:p>
    <w:p>
      <w:pPr>
        <w:spacing w:after="0" w:line="4" w:lineRule="exact"/>
        <w:rPr>
          <w:sz w:val="20"/>
          <w:szCs w:val="20"/>
          <w:color w:val="auto"/>
        </w:rPr>
      </w:pPr>
    </w:p>
    <w:p>
      <w:pPr>
        <w:ind w:right="560"/>
        <w:spacing w:after="0" w:line="245" w:lineRule="auto"/>
        <w:rPr>
          <w:sz w:val="20"/>
          <w:szCs w:val="20"/>
          <w:color w:val="auto"/>
        </w:rPr>
      </w:pPr>
      <w:r>
        <w:rPr>
          <w:rFonts w:ascii="Times New Roman" w:cs="Times New Roman" w:eastAsia="Times New Roman" w:hAnsi="Times New Roman"/>
          <w:sz w:val="18"/>
          <w:szCs w:val="18"/>
          <w:color w:val="auto"/>
        </w:rPr>
        <w:t xml:space="preserve">Item 2 – </w:t>
      </w:r>
      <w:r>
        <w:rPr>
          <w:rFonts w:ascii="Times New Roman" w:cs="Times New Roman" w:eastAsia="Times New Roman" w:hAnsi="Times New Roman"/>
          <w:sz w:val="18"/>
          <w:szCs w:val="18"/>
          <w:i w:val="1"/>
          <w:iCs w:val="1"/>
          <w:color w:val="auto"/>
        </w:rPr>
        <w:t>Management’s Discussion and Analysis of Financial Condition and Results of Operations – Asset/Liability and Market Risk Management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Rate Sensitivity Management </w:t>
      </w:r>
      <w:r>
        <w:rPr>
          <w:rFonts w:ascii="Times New Roman" w:cs="Times New Roman" w:eastAsia="Times New Roman" w:hAnsi="Times New Roman"/>
          <w:sz w:val="18"/>
          <w:szCs w:val="18"/>
          <w:color w:val="auto"/>
        </w:rPr>
        <w:t>included herein.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right="380" w:firstLine="464"/>
        <w:spacing w:after="0" w:line="258" w:lineRule="auto"/>
        <w:rPr>
          <w:sz w:val="20"/>
          <w:szCs w:val="20"/>
          <w:color w:val="auto"/>
        </w:rPr>
      </w:pPr>
      <w:r>
        <w:rPr>
          <w:rFonts w:ascii="Times New Roman" w:cs="Times New Roman" w:eastAsia="Times New Roman" w:hAnsi="Times New Roman"/>
          <w:sz w:val="18"/>
          <w:szCs w:val="18"/>
          <w:color w:val="auto"/>
        </w:rPr>
        <w:t>The tables below present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4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Yield/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154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Investment securities (1)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3,516,886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1.50 %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2,523,609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1.47 %</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30,071</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8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2.91 %</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30,158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3.02 %</w:t>
            </w:r>
          </w:p>
        </w:tc>
        <w:tc>
          <w:tcPr>
            <w:tcW w:w="0" w:type="dxa"/>
            <w:vAlign w:val="bottom"/>
          </w:tcPr>
          <w:p>
            <w:pPr>
              <w:spacing w:after="0"/>
              <w:rPr>
                <w:sz w:val="1"/>
                <w:szCs w:val="1"/>
                <w:color w:val="auto"/>
              </w:rPr>
            </w:pPr>
          </w:p>
        </w:tc>
      </w:tr>
      <w:tr>
        <w:trPr>
          <w:trHeight w:val="175"/>
        </w:trPr>
        <w:tc>
          <w:tcPr>
            <w:tcW w:w="4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Taxable</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1,963,835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9,105</w:t>
            </w:r>
          </w:p>
        </w:tc>
        <w:tc>
          <w:tcPr>
            <w:tcW w:w="128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1.88 %</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580,478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1.95 %</w:t>
            </w:r>
          </w:p>
        </w:tc>
        <w:tc>
          <w:tcPr>
            <w:tcW w:w="0" w:type="dxa"/>
            <w:vAlign w:val="bottom"/>
          </w:tcPr>
          <w:p>
            <w:pPr>
              <w:spacing w:after="0"/>
              <w:rPr>
                <w:sz w:val="1"/>
                <w:szCs w:val="1"/>
                <w:color w:val="auto"/>
              </w:rPr>
            </w:pPr>
          </w:p>
        </w:tc>
      </w:tr>
      <w:tr>
        <w:trPr>
          <w:trHeight w:val="175"/>
        </w:trPr>
        <w:tc>
          <w:tcPr>
            <w:tcW w:w="43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Tax-advantaged</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265,648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2.85 %</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199,348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2.74 %</w:t>
            </w: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 in FHLB stock</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28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7.95 %</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17,688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4.98 %</w:t>
            </w: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Interest-earning deposits with other institutions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1,666,473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0.19 %</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1,664,193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0.10 %</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Loans (2)</w:t>
            </w: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8,500,436</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89,461</w:t>
            </w:r>
          </w:p>
        </w:tc>
        <w:tc>
          <w:tcPr>
            <w:tcW w:w="1280" w:type="dxa"/>
            <w:vAlign w:val="bottom"/>
            <w:tcBorders>
              <w:bottom w:val="single" w:sz="8" w:color="CFF0FC"/>
            </w:tcBorders>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4.27 %</w:t>
            </w: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8,270,282</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91,795</w:t>
            </w:r>
          </w:p>
        </w:tc>
        <w:tc>
          <w:tcPr>
            <w:tcW w:w="108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4.50 %</w:t>
            </w:r>
          </w:p>
        </w:tc>
        <w:tc>
          <w:tcPr>
            <w:tcW w:w="0" w:type="dxa"/>
            <w:vAlign w:val="bottom"/>
          </w:tcPr>
          <w:p>
            <w:pPr>
              <w:spacing w:after="0"/>
              <w:rPr>
                <w:sz w:val="1"/>
                <w:szCs w:val="1"/>
                <w:color w:val="auto"/>
              </w:rPr>
            </w:pPr>
          </w:p>
        </w:tc>
      </w:tr>
      <w:tr>
        <w:trPr>
          <w:trHeight w:val="169"/>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15,962,282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114,100</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2.93 %</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13,285,756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105,524</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3.24 %</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noninterest-earning assets</w:t>
            </w: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1,421,668</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1,220,899</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17,383,950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14,506,655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Savings deposits (3)</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5,082,605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0.08 %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4,026,248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0.12 %</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381,947</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80" w:type="dxa"/>
            <w:vAlign w:val="bottom"/>
            <w:tcBorders>
              <w:bottom w:val="single" w:sz="8" w:color="CFF0FC"/>
            </w:tcBorders>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0.08 %</w:t>
            </w: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408,034</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8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0.61 %</w:t>
            </w:r>
          </w:p>
        </w:tc>
        <w:tc>
          <w:tcPr>
            <w:tcW w:w="0" w:type="dxa"/>
            <w:vAlign w:val="bottom"/>
          </w:tcPr>
          <w:p>
            <w:pPr>
              <w:spacing w:after="0"/>
              <w:rPr>
                <w:sz w:val="1"/>
                <w:szCs w:val="1"/>
                <w:color w:val="auto"/>
              </w:rPr>
            </w:pPr>
          </w:p>
        </w:tc>
      </w:tr>
      <w:tr>
        <w:trPr>
          <w:trHeight w:val="169"/>
        </w:trPr>
        <w:tc>
          <w:tcPr>
            <w:tcW w:w="4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5,464,552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0.08 %</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4,434,282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0.17 %</w:t>
            </w:r>
          </w:p>
        </w:tc>
        <w:tc>
          <w:tcPr>
            <w:tcW w:w="0" w:type="dxa"/>
            <w:vAlign w:val="bottom"/>
          </w:tcPr>
          <w:p>
            <w:pPr>
              <w:spacing w:after="0"/>
              <w:rPr>
                <w:sz w:val="1"/>
                <w:szCs w:val="1"/>
                <w:color w:val="auto"/>
              </w:rPr>
            </w:pPr>
          </w:p>
        </w:tc>
      </w:tr>
      <w:tr>
        <w:trPr>
          <w:trHeight w:val="139"/>
        </w:trPr>
        <w:tc>
          <w:tcPr>
            <w:tcW w:w="43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FHLB advances, other borrowings, and customer</w:t>
            </w:r>
          </w:p>
        </w:tc>
        <w:tc>
          <w:tcPr>
            <w:tcW w:w="20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679,982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80" w:type="dxa"/>
            <w:vAlign w:val="bottom"/>
            <w:gridSpan w:val="3"/>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0.08 %</w:t>
            </w:r>
          </w:p>
        </w:tc>
        <w:tc>
          <w:tcPr>
            <w:tcW w:w="2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590,170</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80" w:type="dxa"/>
            <w:vAlign w:val="bottom"/>
            <w:gridSpan w:val="3"/>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0.17 %</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repurchase agreements</w:t>
            </w: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280" w:type="dxa"/>
            <w:vAlign w:val="bottom"/>
            <w:tcBorders>
              <w:bottom w:val="single" w:sz="8" w:color="CFF0FC"/>
            </w:tcBorders>
            <w:gridSpan w:val="3"/>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CFF0FC"/>
            </w:tcBorders>
            <w:gridSpan w:val="3"/>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6,144,534</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0.08 %</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5,024,452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0.17 %</w:t>
            </w:r>
          </w:p>
        </w:tc>
        <w:tc>
          <w:tcPr>
            <w:tcW w:w="0" w:type="dxa"/>
            <w:vAlign w:val="bottom"/>
          </w:tcPr>
          <w:p>
            <w:pPr>
              <w:spacing w:after="0"/>
              <w:rPr>
                <w:sz w:val="1"/>
                <w:szCs w:val="1"/>
                <w:color w:val="auto"/>
              </w:rPr>
            </w:pPr>
          </w:p>
        </w:tc>
      </w:tr>
      <w:tr>
        <w:trPr>
          <w:trHeight w:val="169"/>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8,720,728</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7,240,494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275,353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209,033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2,243,335</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2,032,676</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17,383,950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14,506,655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112,840</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103,468</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32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4"/>
                <w:szCs w:val="14"/>
                <w:color w:val="auto"/>
              </w:rPr>
              <w:t>Net interest spread - tax equivalent</w:t>
            </w:r>
          </w:p>
        </w:tc>
        <w:tc>
          <w:tcPr>
            <w:tcW w:w="20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80" w:type="dxa"/>
            <w:vAlign w:val="bottom"/>
            <w:tcBorders>
              <w:top w:val="single" w:sz="8" w:color="CFF0FC"/>
            </w:tcBorders>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2.85 %</w:t>
            </w:r>
          </w:p>
        </w:tc>
        <w:tc>
          <w:tcPr>
            <w:tcW w:w="2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80" w:type="dxa"/>
            <w:vAlign w:val="bottom"/>
            <w:tcBorders>
              <w:top w:val="single" w:sz="8" w:color="CFF0FC"/>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3.07 %</w:t>
            </w:r>
          </w:p>
        </w:tc>
        <w:tc>
          <w:tcPr>
            <w:tcW w:w="0" w:type="dxa"/>
            <w:vAlign w:val="bottom"/>
          </w:tcPr>
          <w:p>
            <w:pPr>
              <w:spacing w:after="0"/>
              <w:rPr>
                <w:sz w:val="1"/>
                <w:szCs w:val="1"/>
                <w:color w:val="auto"/>
              </w:rPr>
            </w:pPr>
          </w:p>
        </w:tc>
      </w:tr>
      <w:tr>
        <w:trPr>
          <w:trHeight w:val="175"/>
        </w:trPr>
        <w:tc>
          <w:tcPr>
            <w:tcW w:w="4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Net interest margin</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8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2.89 %</w:t>
            </w:r>
          </w:p>
        </w:tc>
        <w:tc>
          <w:tcPr>
            <w:tcW w:w="2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3.17 %</w:t>
            </w:r>
          </w:p>
        </w:tc>
        <w:tc>
          <w:tcPr>
            <w:tcW w:w="0" w:type="dxa"/>
            <w:vAlign w:val="bottom"/>
          </w:tcPr>
          <w:p>
            <w:pPr>
              <w:spacing w:after="0"/>
              <w:rPr>
                <w:sz w:val="1"/>
                <w:szCs w:val="1"/>
                <w:color w:val="auto"/>
              </w:rPr>
            </w:pPr>
          </w:p>
        </w:tc>
      </w:tr>
      <w:tr>
        <w:trPr>
          <w:trHeight w:val="188"/>
        </w:trPr>
        <w:tc>
          <w:tcPr>
            <w:tcW w:w="4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interest margin - tax equivalent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2.90 %</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-2450465</wp:posOffset>
            </wp:positionV>
            <wp:extent cx="431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-2450465</wp:posOffset>
            </wp:positionV>
            <wp:extent cx="431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-2450465</wp:posOffset>
            </wp:positionV>
            <wp:extent cx="342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-2450465</wp:posOffset>
            </wp:positionV>
            <wp:extent cx="342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-2219325</wp:posOffset>
            </wp:positionV>
            <wp:extent cx="431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-2219325</wp:posOffset>
            </wp:positionV>
            <wp:extent cx="342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-1627505</wp:posOffset>
            </wp:positionV>
            <wp:extent cx="431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-1627505</wp:posOffset>
            </wp:positionV>
            <wp:extent cx="431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-1627505</wp:posOffset>
            </wp:positionV>
            <wp:extent cx="342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-1627505</wp:posOffset>
            </wp:positionV>
            <wp:extent cx="342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-1310640</wp:posOffset>
            </wp:positionV>
            <wp:extent cx="431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-1310640</wp:posOffset>
            </wp:positionV>
            <wp:extent cx="431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-1310640</wp:posOffset>
            </wp:positionV>
            <wp:extent cx="342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-1310640</wp:posOffset>
            </wp:positionV>
            <wp:extent cx="342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-847725</wp:posOffset>
            </wp:positionV>
            <wp:extent cx="431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-847725</wp:posOffset>
            </wp:positionV>
            <wp:extent cx="342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-478790</wp:posOffset>
            </wp:positionV>
            <wp:extent cx="431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-461645</wp:posOffset>
            </wp:positionV>
            <wp:extent cx="431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-478790</wp:posOffset>
            </wp:positionV>
            <wp:extent cx="342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-461645</wp:posOffset>
            </wp:positionV>
            <wp:extent cx="342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 w:lineRule="exact"/>
        <w:rPr>
          <w:sz w:val="20"/>
          <w:szCs w:val="20"/>
          <w:color w:val="auto"/>
        </w:rPr>
      </w:pPr>
    </w:p>
    <w:p>
      <w:pPr>
        <w:jc w:val="both"/>
        <w:ind w:left="1040" w:right="300" w:hanging="470"/>
        <w:spacing w:after="0" w:line="256"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tax equivalent (TE) adjustments utilizing federal statutory rates of 21% in effect for the three months ended the three months ended March 31, 2022 and March 31, 2021. The non TE rates for total investment securities were 1.67% and 1.62% for the three months ended March 31, 2022 and 2021, respectively. The non TE rates for tax-advantaged AFS investment securities were 2.43% and 2.53% for the three months ended March 31, 2022 and March 31, 2021 respectively.</w:t>
      </w:r>
    </w:p>
    <w:p>
      <w:pPr>
        <w:ind w:left="1040" w:right="180" w:hanging="462"/>
        <w:spacing w:after="0" w:line="249"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loan fees of $3.3 million and $8.9 million for the three months ended March 31, 2022 and March 31, 2021, respectively. Prepayment penalty fees of $2.1 million and $1.6 million are included in interest income for the three months ended March 31, 2022 and March 31, 2021, respectively.</w:t>
      </w:r>
    </w:p>
    <w:p>
      <w:pPr>
        <w:ind w:left="1040" w:hanging="470"/>
        <w:spacing w:after="0"/>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interest-bearing demand and money market accounts.</w:t>
      </w:r>
    </w:p>
    <w:p>
      <w:pPr>
        <w:spacing w:after="0" w:line="263" w:lineRule="exact"/>
        <w:rPr>
          <w:sz w:val="20"/>
          <w:szCs w:val="20"/>
          <w:color w:val="auto"/>
        </w:rPr>
      </w:pPr>
    </w:p>
    <w:p>
      <w:pPr>
        <w:ind w:right="360" w:firstLine="562"/>
        <w:spacing w:after="0" w:line="246" w:lineRule="auto"/>
        <w:rPr>
          <w:sz w:val="20"/>
          <w:szCs w:val="20"/>
          <w:color w:val="auto"/>
        </w:rPr>
      </w:pPr>
      <w:r>
        <w:rPr>
          <w:rFonts w:ascii="Times New Roman" w:cs="Times New Roman" w:eastAsia="Times New Roman" w:hAnsi="Times New Roman"/>
          <w:sz w:val="18"/>
          <w:szCs w:val="18"/>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non TE interest rate. The change in interest income or expense attributable to changes in interest rates is calculated by multiplying the change in non TE interest rate by the initial volume. The changes attributable to interest rate and volume changes are calculated by multiplying the change in rate times the change in volume.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Rate and Volume Analysis for Changes in Interest Income, Interest Expense and Net Interest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gridSpan w:val="7"/>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Comparison of Three Months Ended March 31,</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5"/>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2022 Compared to 2021</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Increase (Decrease) Due to</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Rate/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Rate</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5"/>
          </w:tcPr>
          <w:p>
            <w:pPr>
              <w:jc w:val="center"/>
              <w:ind w:right="5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(7 )</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(105 )</w:t>
            </w:r>
          </w:p>
        </w:tc>
        <w:tc>
          <w:tcPr>
            <w:tcW w:w="2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(247 )</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Tax-advantaged investment securities</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 in FHLB stock</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Interest-earning deposits with other institutions</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(4,755 )</w:t>
            </w:r>
          </w:p>
        </w:tc>
        <w:tc>
          <w:tcPr>
            <w:tcW w:w="2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(132 )</w:t>
            </w: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(2,334 )</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interest income</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13,030</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Savings deposits</w:t>
            </w: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(365 )</w:t>
            </w:r>
          </w:p>
        </w:tc>
        <w:tc>
          <w:tcPr>
            <w:tcW w:w="2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(95 )</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03"/>
        </w:trPr>
        <w:tc>
          <w:tcPr>
            <w:tcW w:w="4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(405 )</w:t>
            </w:r>
          </w:p>
        </w:tc>
        <w:tc>
          <w:tcPr>
            <w:tcW w:w="2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(104 )</w:t>
            </w: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(539 )</w:t>
            </w:r>
          </w:p>
        </w:tc>
        <w:tc>
          <w:tcPr>
            <w:tcW w:w="0" w:type="dxa"/>
            <w:vAlign w:val="bottom"/>
          </w:tcPr>
          <w:p>
            <w:pPr>
              <w:spacing w:after="0"/>
              <w:rPr>
                <w:sz w:val="1"/>
                <w:szCs w:val="1"/>
                <w:color w:val="auto"/>
              </w:rPr>
            </w:pPr>
          </w:p>
        </w:tc>
      </w:tr>
      <w:tr>
        <w:trPr>
          <w:trHeight w:val="162"/>
        </w:trPr>
        <w:tc>
          <w:tcPr>
            <w:tcW w:w="4420" w:type="dxa"/>
            <w:vAlign w:val="bottom"/>
            <w:shd w:val="clear" w:color="auto" w:fill="CFF0FC"/>
          </w:tcPr>
          <w:p>
            <w:pPr>
              <w:ind w:left="200"/>
              <w:spacing w:after="0" w:line="161" w:lineRule="exact"/>
              <w:rPr>
                <w:sz w:val="20"/>
                <w:szCs w:val="20"/>
                <w:color w:val="auto"/>
              </w:rPr>
            </w:pPr>
            <w:r>
              <w:rPr>
                <w:rFonts w:ascii="Times New Roman" w:cs="Times New Roman" w:eastAsia="Times New Roman" w:hAnsi="Times New Roman"/>
                <w:sz w:val="16"/>
                <w:szCs w:val="16"/>
                <w:color w:val="auto"/>
              </w:rPr>
              <w:t>FHLB advances, other borrowings, and</w:t>
            </w:r>
          </w:p>
        </w:tc>
        <w:tc>
          <w:tcPr>
            <w:tcW w:w="30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20" w:type="dxa"/>
            <w:vAlign w:val="bottom"/>
            <w:gridSpan w:val="2"/>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(128 )</w:t>
            </w:r>
          </w:p>
        </w:tc>
        <w:tc>
          <w:tcPr>
            <w:tcW w:w="28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(20 )</w:t>
            </w:r>
          </w:p>
        </w:tc>
        <w:tc>
          <w:tcPr>
            <w:tcW w:w="340" w:type="dxa"/>
            <w:vAlign w:val="bottom"/>
            <w:shd w:val="clear" w:color="auto" w:fill="CFF0FC"/>
          </w:tcPr>
          <w:p>
            <w:pPr>
              <w:spacing w:after="0"/>
              <w:rPr>
                <w:sz w:val="14"/>
                <w:szCs w:val="14"/>
                <w:color w:val="auto"/>
              </w:rPr>
            </w:pPr>
          </w:p>
        </w:tc>
        <w:tc>
          <w:tcPr>
            <w:tcW w:w="1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102"/>
        </w:trPr>
        <w:tc>
          <w:tcPr>
            <w:tcW w:w="4420" w:type="dxa"/>
            <w:vAlign w:val="bottom"/>
            <w:vMerge w:val="restart"/>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customer repurchase agreements</w:t>
            </w:r>
          </w:p>
        </w:tc>
        <w:tc>
          <w:tcPr>
            <w:tcW w:w="300" w:type="dxa"/>
            <w:vAlign w:val="bottom"/>
            <w:shd w:val="clear" w:color="auto" w:fill="CFF0FC"/>
          </w:tcPr>
          <w:p>
            <w:pPr>
              <w:spacing w:after="0"/>
              <w:rPr>
                <w:sz w:val="8"/>
                <w:szCs w:val="8"/>
                <w:color w:val="auto"/>
              </w:rPr>
            </w:pPr>
          </w:p>
        </w:tc>
        <w:tc>
          <w:tcPr>
            <w:tcW w:w="120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20" w:type="dxa"/>
            <w:vAlign w:val="bottom"/>
            <w:gridSpan w:val="2"/>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440" w:type="dxa"/>
            <w:vAlign w:val="bottom"/>
            <w:gridSpan w:val="2"/>
            <w:vMerge w:val="continue"/>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22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CFF0FC"/>
            </w:tcBorders>
            <w:vMerge w:val="continue"/>
            <w:shd w:val="clear" w:color="auto" w:fill="CFF0FC"/>
          </w:tcPr>
          <w:p>
            <w:pPr>
              <w:spacing w:after="0"/>
              <w:rPr>
                <w:sz w:val="7"/>
                <w:szCs w:val="7"/>
                <w:color w:val="auto"/>
              </w:rPr>
            </w:pPr>
          </w:p>
        </w:tc>
        <w:tc>
          <w:tcPr>
            <w:tcW w:w="300" w:type="dxa"/>
            <w:vAlign w:val="bottom"/>
            <w:tcBorders>
              <w:bottom w:val="single" w:sz="8" w:color="auto"/>
            </w:tcBorders>
            <w:shd w:val="clear" w:color="auto" w:fill="CFF0FC"/>
          </w:tcPr>
          <w:p>
            <w:pPr>
              <w:spacing w:after="0"/>
              <w:rPr>
                <w:sz w:val="7"/>
                <w:szCs w:val="7"/>
                <w:color w:val="auto"/>
              </w:rPr>
            </w:pPr>
          </w:p>
        </w:tc>
        <w:tc>
          <w:tcPr>
            <w:tcW w:w="1200" w:type="dxa"/>
            <w:vAlign w:val="bottom"/>
            <w:tcBorders>
              <w:bottom w:val="single" w:sz="8" w:color="auto"/>
            </w:tcBorders>
            <w:shd w:val="clear" w:color="auto" w:fill="CFF0FC"/>
          </w:tcPr>
          <w:p>
            <w:pPr>
              <w:spacing w:after="0"/>
              <w:rPr>
                <w:sz w:val="7"/>
                <w:szCs w:val="7"/>
                <w:color w:val="auto"/>
              </w:rPr>
            </w:pPr>
          </w:p>
        </w:tc>
        <w:tc>
          <w:tcPr>
            <w:tcW w:w="140" w:type="dxa"/>
            <w:vAlign w:val="bottom"/>
            <w:tcBorders>
              <w:bottom w:val="single" w:sz="8" w:color="CFF0FC"/>
            </w:tcBorders>
            <w:shd w:val="clear" w:color="auto" w:fill="CFF0FC"/>
          </w:tcPr>
          <w:p>
            <w:pPr>
              <w:spacing w:after="0"/>
              <w:rPr>
                <w:sz w:val="7"/>
                <w:szCs w:val="7"/>
                <w:color w:val="auto"/>
              </w:rPr>
            </w:pPr>
          </w:p>
        </w:tc>
        <w:tc>
          <w:tcPr>
            <w:tcW w:w="140" w:type="dxa"/>
            <w:vAlign w:val="bottom"/>
            <w:tcBorders>
              <w:bottom w:val="single" w:sz="8" w:color="CFF0FC"/>
            </w:tcBorders>
            <w:shd w:val="clear" w:color="auto" w:fill="CFF0FC"/>
          </w:tcPr>
          <w:p>
            <w:pPr>
              <w:spacing w:after="0"/>
              <w:rPr>
                <w:sz w:val="7"/>
                <w:szCs w:val="7"/>
                <w:color w:val="auto"/>
              </w:rPr>
            </w:pPr>
          </w:p>
        </w:tc>
        <w:tc>
          <w:tcPr>
            <w:tcW w:w="34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280" w:type="dxa"/>
            <w:vAlign w:val="bottom"/>
            <w:tcBorders>
              <w:bottom w:val="single" w:sz="8" w:color="CFF0FC"/>
            </w:tcBorders>
            <w:shd w:val="clear" w:color="auto" w:fill="CFF0FC"/>
          </w:tcPr>
          <w:p>
            <w:pPr>
              <w:spacing w:after="0"/>
              <w:rPr>
                <w:sz w:val="7"/>
                <w:szCs w:val="7"/>
                <w:color w:val="auto"/>
              </w:rPr>
            </w:pPr>
          </w:p>
        </w:tc>
        <w:tc>
          <w:tcPr>
            <w:tcW w:w="280" w:type="dxa"/>
            <w:vAlign w:val="bottom"/>
            <w:tcBorders>
              <w:bottom w:val="single" w:sz="8" w:color="auto"/>
            </w:tcBorders>
            <w:shd w:val="clear" w:color="auto" w:fill="CFF0FC"/>
          </w:tcPr>
          <w:p>
            <w:pPr>
              <w:spacing w:after="0"/>
              <w:rPr>
                <w:sz w:val="7"/>
                <w:szCs w:val="7"/>
                <w:color w:val="auto"/>
              </w:rPr>
            </w:pPr>
          </w:p>
        </w:tc>
        <w:tc>
          <w:tcPr>
            <w:tcW w:w="1200" w:type="dxa"/>
            <w:vAlign w:val="bottom"/>
            <w:tcBorders>
              <w:bottom w:val="single" w:sz="8" w:color="auto"/>
            </w:tcBorders>
            <w:shd w:val="clear" w:color="auto" w:fill="CFF0FC"/>
          </w:tcPr>
          <w:p>
            <w:pPr>
              <w:spacing w:after="0"/>
              <w:rPr>
                <w:sz w:val="7"/>
                <w:szCs w:val="7"/>
                <w:color w:val="auto"/>
              </w:rPr>
            </w:pPr>
          </w:p>
        </w:tc>
        <w:tc>
          <w:tcPr>
            <w:tcW w:w="240" w:type="dxa"/>
            <w:vAlign w:val="bottom"/>
            <w:tcBorders>
              <w:bottom w:val="single" w:sz="8" w:color="CFF0FC"/>
            </w:tcBorders>
            <w:shd w:val="clear" w:color="auto" w:fill="CFF0FC"/>
          </w:tcPr>
          <w:p>
            <w:pPr>
              <w:spacing w:after="0"/>
              <w:rPr>
                <w:sz w:val="7"/>
                <w:szCs w:val="7"/>
                <w:color w:val="auto"/>
              </w:rPr>
            </w:pPr>
          </w:p>
        </w:tc>
        <w:tc>
          <w:tcPr>
            <w:tcW w:w="34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8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4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interest expense</w:t>
            </w: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(898 )</w:t>
            </w:r>
          </w:p>
        </w:tc>
        <w:tc>
          <w:tcPr>
            <w:tcW w:w="280" w:type="dxa"/>
            <w:vAlign w:val="bottom"/>
          </w:tcPr>
          <w:p>
            <w:pPr>
              <w:spacing w:after="0"/>
              <w:rPr>
                <w:sz w:val="17"/>
                <w:szCs w:val="17"/>
                <w:color w:val="auto"/>
              </w:rPr>
            </w:pP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(219 )</w:t>
            </w:r>
          </w:p>
        </w:tc>
        <w:tc>
          <w:tcPr>
            <w:tcW w:w="3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(796 )</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interest income</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-1045210</wp:posOffset>
            </wp:positionV>
            <wp:extent cx="6032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-1045210</wp:posOffset>
            </wp:positionV>
            <wp:extent cx="6032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-1045210</wp:posOffset>
            </wp:positionV>
            <wp:extent cx="514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-1045210</wp:posOffset>
            </wp:positionV>
            <wp:extent cx="514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-299720</wp:posOffset>
            </wp:positionV>
            <wp:extent cx="603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-299720</wp:posOffset>
            </wp:positionV>
            <wp:extent cx="603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-299720</wp:posOffset>
            </wp:positionV>
            <wp:extent cx="514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-299720</wp:posOffset>
            </wp:positionV>
            <wp:extent cx="51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6032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603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03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032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514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514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2022 Compared to the First Quarter of 2021</w:t>
      </w:r>
    </w:p>
    <w:p>
      <w:pPr>
        <w:spacing w:after="0" w:line="200" w:lineRule="exact"/>
        <w:rPr>
          <w:sz w:val="20"/>
          <w:szCs w:val="20"/>
          <w:color w:val="auto"/>
        </w:rPr>
      </w:pPr>
    </w:p>
    <w:p>
      <w:pPr>
        <w:jc w:val="both"/>
        <w:ind w:right="220" w:firstLine="469"/>
        <w:spacing w:after="0" w:line="280" w:lineRule="auto"/>
        <w:rPr>
          <w:sz w:val="20"/>
          <w:szCs w:val="20"/>
          <w:color w:val="auto"/>
        </w:rPr>
      </w:pPr>
      <w:r>
        <w:rPr>
          <w:rFonts w:ascii="Times New Roman" w:cs="Times New Roman" w:eastAsia="Times New Roman" w:hAnsi="Times New Roman"/>
          <w:sz w:val="17"/>
          <w:szCs w:val="17"/>
          <w:color w:val="auto"/>
        </w:rPr>
        <w:t>Net interest income, before provision for credit losses, of $112.8 million for the first quarter of 2022 increased by $9.4 million, or 9.06%, from the first quarter of 2021. Interest-earning assets increased on average by $2.68 billion, or 20.15%, from $13.29 billion for the first quarter of 2021 to $15.96 billion for the first quarter of 2022. Our net interest margin (TE) was 2.90% for the first quarter of 2022, compared to 3.18% for the first quarter of 2021.</w:t>
      </w:r>
    </w:p>
    <w:p>
      <w:pPr>
        <w:spacing w:after="0" w:line="139" w:lineRule="exact"/>
        <w:rPr>
          <w:sz w:val="20"/>
          <w:szCs w:val="20"/>
          <w:color w:val="auto"/>
        </w:rPr>
      </w:pPr>
    </w:p>
    <w:p>
      <w:pPr>
        <w:ind w:right="40" w:firstLine="469"/>
        <w:spacing w:after="0" w:line="246" w:lineRule="auto"/>
        <w:rPr>
          <w:sz w:val="20"/>
          <w:szCs w:val="20"/>
          <w:color w:val="auto"/>
        </w:rPr>
      </w:pPr>
      <w:r>
        <w:rPr>
          <w:rFonts w:ascii="Times New Roman" w:cs="Times New Roman" w:eastAsia="Times New Roman" w:hAnsi="Times New Roman"/>
          <w:sz w:val="18"/>
          <w:szCs w:val="18"/>
          <w:color w:val="auto"/>
        </w:rPr>
        <w:t>Total interest income was $114.1 million for the first quarter of 2022, which was $8.6 million, or 8.13%, higher than the same period of 2021. The increase was the net effect of growth in average interest-earning assets of $2.68 billion and the decrease in the average interest-earning asset yield, which was 2.93% for the first quarter of 2022, compared to 3.24% for the first quarter of 2021. The 32 basis point decrease in the average interest-earning asset yield compared to the first quarter of 2022, was impacted by a change in asset mix with loan balances declining to 53.25% of earning assets on average for the first quarter of 2022, compared to 62.25% for the first quarter of 2021, as well as lower loan yields. Loan yields decreased from 4.50% on average in the first quarter of 2021 to 4.27% in the first quarter of 2022. Total loan interest income for the first quarter of 2022 declined by $2.3 million in comparison to the year ago quarter. Total investment income of $23.5 million increased $10.4 million, or 79.36%, from the first quarter of 2021. Investment income growth resulted from both higher levels of investment securities and higher investment yields.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interest income and fees on loans for the first quarter of 2022 was $89.5 million, a decrease of $2.3 million, or 2.54%, from the first quarter of</w:t>
      </w:r>
    </w:p>
    <w:p>
      <w:pPr>
        <w:spacing w:after="0" w:line="27"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2021. The decline in interest income and fees on loans year-over-year was primarily due to lower loan yields of 23 basis points, resulting from the low interest rate environment in 2021. Additionally, interest and fee income from PPP loans declined by $7.5 million from $10.4 million in the first quarter of 2021. Discount accretion on acquired loans decreased by $2.2 million compared to the first quarter of 2021. The decline in interest rates since the start of the pandemic has had a negative impact on loan yields, which, after excluding discount accretion, nonaccrual interest income and the impact from PPP loans ("core") loan yield declined by 12 basis points compared to the first quarter of 2021.</w:t>
      </w:r>
    </w:p>
    <w:p>
      <w:pPr>
        <w:spacing w:after="0" w:line="171" w:lineRule="exact"/>
        <w:rPr>
          <w:sz w:val="20"/>
          <w:szCs w:val="20"/>
          <w:color w:val="auto"/>
        </w:rPr>
      </w:pPr>
    </w:p>
    <w:p>
      <w:pPr>
        <w:ind w:right="20" w:firstLine="469"/>
        <w:spacing w:after="0" w:line="245" w:lineRule="auto"/>
        <w:rPr>
          <w:sz w:val="20"/>
          <w:szCs w:val="20"/>
          <w:color w:val="auto"/>
        </w:rPr>
      </w:pPr>
      <w:r>
        <w:rPr>
          <w:rFonts w:ascii="Times New Roman" w:cs="Times New Roman" w:eastAsia="Times New Roman" w:hAnsi="Times New Roman"/>
          <w:sz w:val="18"/>
          <w:szCs w:val="18"/>
          <w:color w:val="auto"/>
        </w:rPr>
        <w:t>Interest income from investment securities was $23.5 million, an increase of $10.4 million, or 79.36%, from the first quarter of 2021. Investment income growth resulted from higher levels of investment securities as a result of purchases of investment securities funded by the growth in the Bank's deposits. We deployed some of our excess liquidity during the first quarter of 2022 into additional investment securities by purchasing approximately $1.17 billion in securities, with expected yields of approximately 2.37%. The tax-equivalent yield on investment securities increased from 1.65% in the first quarter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ind w:right="120"/>
        <w:spacing w:after="0" w:line="282" w:lineRule="auto"/>
        <w:rPr>
          <w:sz w:val="20"/>
          <w:szCs w:val="20"/>
          <w:color w:val="auto"/>
        </w:rPr>
      </w:pPr>
      <w:r>
        <w:rPr>
          <w:rFonts w:ascii="Times New Roman" w:cs="Times New Roman" w:eastAsia="Times New Roman" w:hAnsi="Times New Roman"/>
          <w:sz w:val="18"/>
          <w:szCs w:val="18"/>
          <w:color w:val="auto"/>
        </w:rPr>
        <w:t>2021 to 1.70% for the first quarter of 2022. We continued to maintain a significant amount of funds at the Federal Reserve during the first quarter of 2022, which earned less than 0.20% on average for the quarter, with an average balance of more than $1.65 billion.</w:t>
      </w:r>
    </w:p>
    <w:p>
      <w:pPr>
        <w:spacing w:after="0" w:line="135" w:lineRule="exact"/>
        <w:rPr>
          <w:sz w:val="20"/>
          <w:szCs w:val="20"/>
          <w:color w:val="auto"/>
        </w:rPr>
      </w:pPr>
    </w:p>
    <w:p>
      <w:pPr>
        <w:ind w:right="20" w:firstLine="469"/>
        <w:spacing w:after="0" w:line="247" w:lineRule="auto"/>
        <w:rPr>
          <w:sz w:val="20"/>
          <w:szCs w:val="20"/>
          <w:color w:val="auto"/>
        </w:rPr>
      </w:pPr>
      <w:r>
        <w:rPr>
          <w:rFonts w:ascii="Times New Roman" w:cs="Times New Roman" w:eastAsia="Times New Roman" w:hAnsi="Times New Roman"/>
          <w:sz w:val="18"/>
          <w:szCs w:val="18"/>
          <w:color w:val="auto"/>
        </w:rPr>
        <w:t>Interest expense of $1.3 million for the first quarter of 2022, decreased $796,000, or 38.72%, compared to the first quarter of 2021. The average rate paid on interest-bearing liabilities decreased by 9 basis points, to 0.08% for the first quarter of 2022 from 0.17% for the first quarter of 2021. Average interest-bearing liabilities were $1.12 billion higher for the first quarter of 2022 when compared to the first quarter of 2021. On average, noninterest-bearing deposits were 61.48% of our total deposits for the first quarter of 2022, compared to 62.02% for the first quarter of 2021. In comparison to the first quarter of 2021, our overall cost of funds decreased by 4 basis points, partially due to growth in average noninterest-bearing deposits of $1.48 billion, compared to the increase in average interest-bearing deposits of $1.03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(Recapture of) Credit Losses</w:t>
      </w:r>
    </w:p>
    <w:p>
      <w:pPr>
        <w:spacing w:after="0" w:line="202" w:lineRule="exact"/>
        <w:rPr>
          <w:sz w:val="20"/>
          <w:szCs w:val="20"/>
          <w:color w:val="auto"/>
        </w:rPr>
      </w:pPr>
    </w:p>
    <w:p>
      <w:pPr>
        <w:ind w:right="980" w:firstLine="469"/>
        <w:spacing w:after="0" w:line="266" w:lineRule="auto"/>
        <w:rPr>
          <w:sz w:val="20"/>
          <w:szCs w:val="20"/>
          <w:color w:val="auto"/>
        </w:rPr>
      </w:pPr>
      <w:r>
        <w:rPr>
          <w:rFonts w:ascii="Times New Roman" w:cs="Times New Roman" w:eastAsia="Times New Roman" w:hAnsi="Times New Roman"/>
          <w:sz w:val="18"/>
          <w:szCs w:val="18"/>
          <w:color w:val="auto"/>
        </w:rPr>
        <w:t>The provision for (recapture of) credit losses is a charge to earnings to maintain the allowance for credit losses at a level consistent with management’s assessment of expected lifetime losses in the loan portfolio as of the balance sheet date.</w:t>
      </w:r>
    </w:p>
    <w:p>
      <w:pPr>
        <w:spacing w:after="0" w:line="162" w:lineRule="exact"/>
        <w:rPr>
          <w:sz w:val="20"/>
          <w:szCs w:val="20"/>
          <w:color w:val="auto"/>
        </w:rPr>
      </w:pPr>
    </w:p>
    <w:p>
      <w:pPr>
        <w:ind w:firstLine="469"/>
        <w:spacing w:after="0" w:line="243" w:lineRule="auto"/>
        <w:rPr>
          <w:sz w:val="20"/>
          <w:szCs w:val="20"/>
          <w:color w:val="auto"/>
        </w:rPr>
      </w:pPr>
      <w:r>
        <w:rPr>
          <w:rFonts w:ascii="Times New Roman" w:cs="Times New Roman" w:eastAsia="Times New Roman" w:hAnsi="Times New Roman"/>
          <w:sz w:val="18"/>
          <w:szCs w:val="18"/>
          <w:color w:val="auto"/>
        </w:rPr>
        <w:t xml:space="preserve">The allowance for credit losses on loans totaled $76.1 million at March 31, 2022, compared to $65.0 million at December 31, 2021 and $71.8 million at March 31, 2021. The first quarter of 2022 included $2.5 million in provision for credit losses. The $2.5 million provision for credit losses was the net result of the $4.9 million provision for credit losses recorded for the acquisition of the Suncrest non-PCD loans on January 7, 2022 and a subsequent $2.4 million recapture of provision due to the net impact of improvements in the underlying loan characteristics of certain classified loans and the impact of changes in the economic forecast of certain macroeconomic variables compared to the end of 2021. A $19.5 million recapture of provision for credit losses was recorded in the first quarter of 2021, resulting from improvements in our economic forecast of certain macroeconomic variables after reflecting $23.5 million in provision for credit losses for the year ended December 31, 2020. due to the initially forecasted impact on the economy of the COVID-19 pandemic. Refer to the discussion of “Allowance for Credit Losses” in Item 2 –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contained herein for discussion concerning observed changes in the credit quality of various components of our loan portfolio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changes and refinements to our methodology.</w:t>
      </w:r>
    </w:p>
    <w:p>
      <w:pPr>
        <w:spacing w:after="0" w:line="186" w:lineRule="exact"/>
        <w:rPr>
          <w:sz w:val="20"/>
          <w:szCs w:val="20"/>
          <w:color w:val="auto"/>
        </w:rPr>
      </w:pPr>
    </w:p>
    <w:p>
      <w:pPr>
        <w:jc w:val="both"/>
        <w:ind w:right="80" w:firstLine="469"/>
        <w:spacing w:after="0" w:line="258" w:lineRule="auto"/>
        <w:rPr>
          <w:sz w:val="20"/>
          <w:szCs w:val="20"/>
          <w:color w:val="auto"/>
        </w:rPr>
      </w:pPr>
      <w:r>
        <w:rPr>
          <w:rFonts w:ascii="Times New Roman" w:cs="Times New Roman" w:eastAsia="Times New Roman" w:hAnsi="Times New Roman"/>
          <w:sz w:val="17"/>
          <w:szCs w:val="17"/>
          <w:color w:val="auto"/>
        </w:rPr>
        <w:t>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that the pandemic, geopolitical events in Europe, and overall supply chain issues may have on our business and customers. See “Allowance for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Losses” under </w:t>
      </w:r>
      <w:r>
        <w:rPr>
          <w:rFonts w:ascii="Times New Roman" w:cs="Times New Roman" w:eastAsia="Times New Roman" w:hAnsi="Times New Roman"/>
          <w:sz w:val="18"/>
          <w:szCs w:val="18"/>
          <w:i w:val="1"/>
          <w:iCs w:val="1"/>
          <w:color w:val="auto"/>
        </w:rPr>
        <w:t>Analysis of Financial Condition</w:t>
      </w:r>
      <w:r>
        <w:rPr>
          <w:rFonts w:ascii="Times New Roman" w:cs="Times New Roman" w:eastAsia="Times New Roman" w:hAnsi="Times New Roman"/>
          <w:sz w:val="18"/>
          <w:szCs w:val="18"/>
          <w:color w:val="auto"/>
        </w:rPr>
        <w:t xml:space="preserve"> herein.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16" w:lineRule="exact"/>
        <w:rPr>
          <w:sz w:val="20"/>
          <w:szCs w:val="20"/>
          <w:color w:val="auto"/>
        </w:rPr>
      </w:pPr>
    </w:p>
    <w:p>
      <w:pPr>
        <w:ind w:right="40" w:firstLine="469"/>
        <w:spacing w:after="0" w:line="250" w:lineRule="auto"/>
        <w:rPr>
          <w:sz w:val="20"/>
          <w:szCs w:val="20"/>
          <w:color w:val="auto"/>
        </w:rPr>
      </w:pPr>
      <w:r>
        <w:rPr>
          <w:rFonts w:ascii="Times New Roman" w:cs="Times New Roman" w:eastAsia="Times New Roman" w:hAnsi="Times New Roman"/>
          <w:sz w:val="18"/>
          <w:szCs w:val="18"/>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gains (net of losses) from the disposition of investment securities, loans, other real estate owned, and fixed assets, and other revenues not included as interest on earning assets.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various components of noninterest income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8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7"/>
        </w:trPr>
        <w:tc>
          <w:tcPr>
            <w:tcW w:w="4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w w:val="92"/>
              </w:rPr>
              <w:t>(Dollars</w:t>
            </w: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in</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5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4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82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1180" w:type="dxa"/>
            <w:vAlign w:val="bottom"/>
            <w:gridSpan w:val="2"/>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26.95 %</w:t>
            </w:r>
          </w:p>
        </w:tc>
      </w:tr>
      <w:tr>
        <w:trPr>
          <w:trHeight w:val="17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Trust and investment services</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8.08 %</w:t>
            </w:r>
          </w:p>
        </w:tc>
      </w:tr>
      <w:tr>
        <w:trPr>
          <w:trHeight w:val="175"/>
        </w:trPr>
        <w:tc>
          <w:tcPr>
            <w:tcW w:w="4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Bankcard services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18.86 %</w:t>
            </w:r>
          </w:p>
        </w:tc>
      </w:tr>
      <w:tr>
        <w:trPr>
          <w:trHeight w:val="17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BOLI income</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(3,275 )</w:t>
            </w:r>
          </w:p>
        </w:tc>
        <w:tc>
          <w:tcPr>
            <w:tcW w:w="3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-70.83 %</w:t>
            </w:r>
          </w:p>
        </w:tc>
      </w:tr>
      <w:tr>
        <w:trPr>
          <w:trHeight w:val="175"/>
        </w:trPr>
        <w:tc>
          <w:tcPr>
            <w:tcW w:w="4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Swap fee income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(215 )</w:t>
            </w:r>
          </w:p>
        </w:tc>
        <w:tc>
          <w:tcPr>
            <w:tcW w:w="3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17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on OREO, net</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(429 )</w:t>
            </w:r>
          </w:p>
        </w:tc>
        <w:tc>
          <w:tcPr>
            <w:tcW w:w="3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175"/>
        </w:trPr>
        <w:tc>
          <w:tcPr>
            <w:tcW w:w="4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10.29 %</w:t>
            </w:r>
          </w:p>
        </w:tc>
      </w:tr>
      <w:tr>
        <w:trPr>
          <w:trHeight w:val="209"/>
        </w:trPr>
        <w:tc>
          <w:tcPr>
            <w:tcW w:w="466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income</w:t>
            </w:r>
          </w:p>
        </w:tc>
        <w:tc>
          <w:tcPr>
            <w:tcW w:w="820" w:type="dxa"/>
            <w:vAlign w:val="bottom"/>
            <w:tcBorders>
              <w:top w:val="single" w:sz="8" w:color="auto"/>
              <w:bottom w:val="single" w:sz="8" w:color="auto"/>
            </w:tcBorders>
            <w:shd w:val="clear" w:color="auto" w:fill="CFF0FC"/>
          </w:tcPr>
          <w:p>
            <w:pPr>
              <w:jc w:val="right"/>
              <w:ind w:right="6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11,264</w:t>
            </w:r>
          </w:p>
        </w:tc>
        <w:tc>
          <w:tcPr>
            <w:tcW w:w="3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13,681</w:t>
            </w:r>
          </w:p>
        </w:tc>
        <w:tc>
          <w:tcPr>
            <w:tcW w:w="3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(2,417</w:t>
            </w:r>
          </w:p>
        </w:tc>
        <w:tc>
          <w:tcPr>
            <w:tcW w:w="340" w:type="dxa"/>
            <w:vAlign w:val="bottom"/>
            <w:tcBorders>
              <w:bottom w:val="single" w:sz="8" w:color="CFF0FC"/>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-17.67</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-25400</wp:posOffset>
            </wp:positionV>
            <wp:extent cx="431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431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431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431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431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431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12001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2022 Compared to the First Quarter of 2021</w:t>
      </w:r>
    </w:p>
    <w:p>
      <w:pPr>
        <w:spacing w:after="0" w:line="200" w:lineRule="exact"/>
        <w:rPr>
          <w:sz w:val="20"/>
          <w:szCs w:val="20"/>
          <w:color w:val="auto"/>
        </w:rPr>
      </w:pPr>
    </w:p>
    <w:p>
      <w:pPr>
        <w:ind w:right="20" w:firstLine="469"/>
        <w:spacing w:after="0" w:line="246" w:lineRule="auto"/>
        <w:rPr>
          <w:sz w:val="20"/>
          <w:szCs w:val="20"/>
          <w:color w:val="auto"/>
        </w:rPr>
      </w:pPr>
      <w:r>
        <w:rPr>
          <w:rFonts w:ascii="Times New Roman" w:cs="Times New Roman" w:eastAsia="Times New Roman" w:hAnsi="Times New Roman"/>
          <w:sz w:val="18"/>
          <w:szCs w:val="18"/>
          <w:color w:val="auto"/>
        </w:rPr>
        <w:t>Noninterest income was $11.3 million for the first quarter of 2022, compared with $13.7 million for the first quarter of 2021. The first quarter of 2021 benefited from $3.5 million of insurance proceeds from death benefits that exceeded the cash surrender value on bank owned life insurance. The first quarter of 2021 also included a $399,000 gain on the sale of one OREO property. We did not enter into any new interest rate swap contracts during the first quarter of 2022, but generated fee income of $215,000 from swap transaction in the first quarter of 2021. Partially offsetting those decreases in noninterest income was a $1.1 million, or 26.95%, increase in service charges on deposit accounts for the first quarter of 2022.</w:t>
      </w:r>
    </w:p>
    <w:p>
      <w:pPr>
        <w:spacing w:after="0" w:line="181" w:lineRule="exact"/>
        <w:rPr>
          <w:sz w:val="20"/>
          <w:szCs w:val="20"/>
          <w:color w:val="auto"/>
        </w:rPr>
      </w:pPr>
    </w:p>
    <w:p>
      <w:pPr>
        <w:ind w:firstLine="464"/>
        <w:spacing w:after="0" w:line="246" w:lineRule="auto"/>
        <w:rPr>
          <w:sz w:val="20"/>
          <w:szCs w:val="20"/>
          <w:color w:val="auto"/>
        </w:rPr>
      </w:pPr>
      <w:r>
        <w:rPr>
          <w:rFonts w:ascii="Times New Roman" w:cs="Times New Roman" w:eastAsia="Times New Roman" w:hAnsi="Times New Roman"/>
          <w:sz w:val="18"/>
          <w:szCs w:val="18"/>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9 –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of the notes to the unaudited condensed consolidated financial statements of this report for additional information). Generally speaking,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of interest rate swaps is impacted by the shape of the yield curve, with a relatively flat yield curve more conducive to a higher volume of swaps. We executed on swap agreements related to new loan originations with a notional amount totaling $15.4 million for the first quarter of 2021.</w:t>
      </w:r>
    </w:p>
    <w:p>
      <w:pPr>
        <w:spacing w:after="0" w:line="181" w:lineRule="exact"/>
        <w:rPr>
          <w:sz w:val="20"/>
          <w:szCs w:val="20"/>
          <w:color w:val="auto"/>
        </w:rPr>
      </w:pPr>
    </w:p>
    <w:p>
      <w:pPr>
        <w:ind w:right="120" w:firstLine="469"/>
        <w:spacing w:after="0" w:line="244" w:lineRule="auto"/>
        <w:rPr>
          <w:sz w:val="20"/>
          <w:szCs w:val="20"/>
          <w:color w:val="auto"/>
        </w:rPr>
      </w:pPr>
      <w:r>
        <w:rPr>
          <w:rFonts w:ascii="Times New Roman" w:cs="Times New Roman" w:eastAsia="Times New Roman" w:hAnsi="Times New Roman"/>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 plans, mutual funds, insurance and other non-insured investment products. At March 31, 2022, CitizensTrust had approximately $3.34 billion in assets under management and administration, including $2.49 billion in assets under management. CitizensTrust generated fees of $2.8 million for the first quarter of 2022, compared to $2.6 million for the same period of 2021, due to the growth in assets under management and higher investment services fees.</w:t>
      </w:r>
    </w:p>
    <w:p>
      <w:pPr>
        <w:spacing w:after="0" w:line="182" w:lineRule="exact"/>
        <w:rPr>
          <w:sz w:val="20"/>
          <w:szCs w:val="20"/>
          <w:color w:val="auto"/>
        </w:rPr>
      </w:pPr>
    </w:p>
    <w:p>
      <w:pPr>
        <w:ind w:right="100" w:firstLine="469"/>
        <w:spacing w:after="0" w:line="247" w:lineRule="auto"/>
        <w:rPr>
          <w:sz w:val="20"/>
          <w:szCs w:val="20"/>
          <w:color w:val="auto"/>
        </w:rPr>
      </w:pPr>
      <w:r>
        <w:rPr>
          <w:rFonts w:ascii="Times New Roman" w:cs="Times New Roman" w:eastAsia="Times New Roman" w:hAnsi="Times New Roman"/>
          <w:sz w:val="18"/>
          <w:szCs w:val="18"/>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Increases in the cash value of these policies, as well as insurance proceeds received, are recorded in noninterest income and are not subject to income tax, as long as they are held for the life of the covered parties. The first quarter of 2022 included $508,000 in death benefits that exceeded the asset value of certain BOLI policies, compared to $3.5 million in death benefits for the first quarter of 2021. Excluding death benefits, income from BOLI declined by $288,000 compared to the first quarter of 2021 due to lower returns on separate account policies that are used to fund deferred compensation liabilities.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various components of noninterest expense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96"/>
              </w:rPr>
              <w:t>(Dollars</w:t>
            </w:r>
          </w:p>
        </w:tc>
        <w:tc>
          <w:tcPr>
            <w:tcW w:w="12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32,656</w:t>
            </w:r>
          </w:p>
        </w:tc>
        <w:tc>
          <w:tcPr>
            <w:tcW w:w="46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29,706</w:t>
            </w:r>
          </w:p>
        </w:tc>
        <w:tc>
          <w:tcPr>
            <w:tcW w:w="440" w:type="dxa"/>
            <w:vAlign w:val="bottom"/>
          </w:tcPr>
          <w:p>
            <w:pPr>
              <w:spacing w:after="0"/>
              <w:rPr>
                <w:sz w:val="15"/>
                <w:szCs w:val="15"/>
                <w:color w:val="auto"/>
              </w:rPr>
            </w:pP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9.93 %</w:t>
            </w: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Occupancy</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4,548</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10.74 %</w:t>
            </w: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Equipment</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35.32 %</w:t>
            </w: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Professional services</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2,045</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(123 )</w:t>
            </w: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-5.67 %</w:t>
            </w: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Computer software expense</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33.44 %</w:t>
            </w:r>
          </w:p>
        </w:tc>
        <w:tc>
          <w:tcPr>
            <w:tcW w:w="0" w:type="dxa"/>
            <w:vAlign w:val="bottom"/>
          </w:tcPr>
          <w:p>
            <w:pPr>
              <w:spacing w:after="0"/>
              <w:rPr>
                <w:sz w:val="1"/>
                <w:szCs w:val="1"/>
                <w:color w:val="auto"/>
              </w:rPr>
            </w:pPr>
          </w:p>
        </w:tc>
      </w:tr>
      <w:tr>
        <w:trPr>
          <w:trHeight w:val="175"/>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Marketing and promotion</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101.10 %</w:t>
            </w:r>
          </w:p>
        </w:tc>
        <w:tc>
          <w:tcPr>
            <w:tcW w:w="0" w:type="dxa"/>
            <w:vAlign w:val="bottom"/>
          </w:tcPr>
          <w:p>
            <w:pPr>
              <w:spacing w:after="0"/>
              <w:rPr>
                <w:sz w:val="1"/>
                <w:szCs w:val="1"/>
                <w:color w:val="auto"/>
              </w:rPr>
            </w:pPr>
          </w:p>
        </w:tc>
      </w:tr>
      <w:tr>
        <w:trPr>
          <w:trHeight w:val="139"/>
        </w:trPr>
        <w:tc>
          <w:tcPr>
            <w:tcW w:w="45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Amortization of intangible</w:t>
            </w: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(169 )</w:t>
            </w:r>
          </w:p>
        </w:tc>
        <w:tc>
          <w:tcPr>
            <w:tcW w:w="34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-7.80 %</w:t>
            </w:r>
          </w:p>
        </w:tc>
        <w:tc>
          <w:tcPr>
            <w:tcW w:w="0" w:type="dxa"/>
            <w:vAlign w:val="bottom"/>
          </w:tcPr>
          <w:p>
            <w:pPr>
              <w:spacing w:after="0"/>
              <w:rPr>
                <w:sz w:val="1"/>
                <w:szCs w:val="1"/>
                <w:color w:val="auto"/>
              </w:rPr>
            </w:pPr>
          </w:p>
        </w:tc>
      </w:tr>
      <w:tr>
        <w:trPr>
          <w:trHeight w:val="185"/>
        </w:trPr>
        <w:tc>
          <w:tcPr>
            <w:tcW w:w="4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8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Telecommunications expense</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0.36 %</w:t>
            </w: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Regulatory assessments</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31.16 %</w:t>
            </w: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Insurance</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7.73 %</w:t>
            </w: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Loan expense</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54.62 %</w:t>
            </w: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Directors' expenses</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(15 )</w:t>
            </w:r>
          </w:p>
        </w:tc>
        <w:tc>
          <w:tcPr>
            <w:tcW w:w="3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-3.96 %</w:t>
            </w:r>
          </w:p>
        </w:tc>
        <w:tc>
          <w:tcPr>
            <w:tcW w:w="0" w:type="dxa"/>
            <w:vAlign w:val="bottom"/>
          </w:tcPr>
          <w:p>
            <w:pPr>
              <w:spacing w:after="0"/>
              <w:rPr>
                <w:sz w:val="1"/>
                <w:szCs w:val="1"/>
                <w:color w:val="auto"/>
              </w:rPr>
            </w:pPr>
          </w:p>
        </w:tc>
      </w:tr>
      <w:tr>
        <w:trPr>
          <w:trHeight w:val="17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Stationery and supplies</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(10 )</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-4.10 %</w:t>
            </w: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8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(85 )</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FF0FC"/>
            </w:tcBorders>
            <w:shd w:val="clear" w:color="auto" w:fill="CFF0FC"/>
          </w:tcPr>
          <w:p>
            <w:pPr>
              <w:ind w:left="380"/>
              <w:spacing w:after="0" w:line="155" w:lineRule="exact"/>
              <w:rPr>
                <w:sz w:val="20"/>
                <w:szCs w:val="20"/>
                <w:color w:val="auto"/>
              </w:rPr>
            </w:pPr>
            <w:r>
              <w:rPr>
                <w:rFonts w:ascii="Times New Roman" w:cs="Times New Roman" w:eastAsia="Times New Roman" w:hAnsi="Times New Roman"/>
                <w:sz w:val="14"/>
                <w:szCs w:val="14"/>
                <w:color w:val="auto"/>
              </w:rPr>
              <w:t>Total noninterest expense</w:t>
            </w:r>
          </w:p>
        </w:tc>
        <w:tc>
          <w:tcPr>
            <w:tcW w:w="84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58,238</w:t>
            </w:r>
          </w:p>
        </w:tc>
        <w:tc>
          <w:tcPr>
            <w:tcW w:w="4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ind w:right="6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47,163</w:t>
            </w:r>
          </w:p>
        </w:tc>
        <w:tc>
          <w:tcPr>
            <w:tcW w:w="4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11,075</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23.48</w:t>
            </w:r>
          </w:p>
        </w:tc>
        <w:tc>
          <w:tcPr>
            <w:tcW w:w="180" w:type="dxa"/>
            <w:vAlign w:val="bottom"/>
            <w:tcBorders>
              <w:bottom w:val="single" w:sz="8" w:color="CFF0FC"/>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5"/>
        </w:trPr>
        <w:tc>
          <w:tcPr>
            <w:tcW w:w="4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Noninterest expense to average</w:t>
            </w:r>
          </w:p>
        </w:tc>
        <w:tc>
          <w:tcPr>
            <w:tcW w:w="840" w:type="dxa"/>
            <w:vAlign w:val="bottom"/>
          </w:tcPr>
          <w:p>
            <w:pPr>
              <w:spacing w:after="0"/>
              <w:rPr>
                <w:sz w:val="24"/>
                <w:szCs w:val="24"/>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1.36 %</w:t>
            </w:r>
          </w:p>
        </w:tc>
        <w:tc>
          <w:tcPr>
            <w:tcW w:w="820" w:type="dxa"/>
            <w:vAlign w:val="bottom"/>
          </w:tcPr>
          <w:p>
            <w:pPr>
              <w:spacing w:after="0"/>
              <w:rPr>
                <w:sz w:val="24"/>
                <w:szCs w:val="24"/>
                <w:color w:val="auto"/>
              </w:rPr>
            </w:pPr>
          </w:p>
        </w:tc>
        <w:tc>
          <w:tcPr>
            <w:tcW w:w="920" w:type="dxa"/>
            <w:vAlign w:val="bottom"/>
            <w:gridSpan w:val="2"/>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1.32 %</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assets</w:t>
            </w:r>
          </w:p>
        </w:tc>
        <w:tc>
          <w:tcPr>
            <w:tcW w:w="8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Efficiency ratio (1)</w:t>
            </w:r>
          </w:p>
        </w:tc>
        <w:tc>
          <w:tcPr>
            <w:tcW w:w="8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46.93 %</w:t>
            </w:r>
          </w:p>
        </w:tc>
        <w:tc>
          <w:tcPr>
            <w:tcW w:w="8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40.26 %</w:t>
            </w:r>
          </w:p>
        </w:tc>
        <w:tc>
          <w:tcPr>
            <w:tcW w:w="8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-454025</wp:posOffset>
            </wp:positionV>
            <wp:extent cx="12890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-436245</wp:posOffset>
            </wp:positionV>
            <wp:extent cx="12890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-454025</wp:posOffset>
            </wp:positionV>
            <wp:extent cx="12890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-436245</wp:posOffset>
            </wp:positionV>
            <wp:extent cx="12890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-454025</wp:posOffset>
            </wp:positionV>
            <wp:extent cx="431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-436245</wp:posOffset>
            </wp:positionV>
            <wp:extent cx="431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-454025</wp:posOffset>
            </wp:positionV>
            <wp:extent cx="12001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-436245</wp:posOffset>
            </wp:positionV>
            <wp:extent cx="12001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0" w:lineRule="exact"/>
        <w:rPr>
          <w:sz w:val="20"/>
          <w:szCs w:val="20"/>
          <w:color w:val="auto"/>
        </w:rPr>
      </w:pPr>
    </w:p>
    <w:p>
      <w:pPr>
        <w:ind w:left="1500" w:hanging="369"/>
        <w:spacing w:after="0"/>
        <w:tabs>
          <w:tab w:leader="none" w:pos="1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divided by net interest income before provision for credit losses plus noninterest income.</w:t>
      </w:r>
    </w:p>
    <w:p>
      <w:pPr>
        <w:spacing w:after="0" w:line="194" w:lineRule="exact"/>
        <w:rPr>
          <w:sz w:val="20"/>
          <w:szCs w:val="20"/>
          <w:color w:val="auto"/>
        </w:rPr>
      </w:pPr>
    </w:p>
    <w:p>
      <w:pPr>
        <w:ind w:right="160" w:firstLine="469"/>
        <w:spacing w:after="0" w:line="250"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asset growth can be measured in terms of total noninterest expenses as a percentage of average assets. Noninterest expense as a percentage of average assets was 1.36% for the first quarter of 2022, compared to 1.32% for the first quarter of 2021. The increase in this ratio from the first quarter of 2021 includes the impact of $5.6 million of acquisition related expenses . If acquisition expense is excluded, noninterest expense as a percentage of average assets was 1.23%f or the first quarter of 2022.</w:t>
      </w:r>
    </w:p>
    <w:p>
      <w:pPr>
        <w:spacing w:after="0" w:line="177" w:lineRule="exact"/>
        <w:rPr>
          <w:sz w:val="20"/>
          <w:szCs w:val="20"/>
          <w:color w:val="auto"/>
        </w:rPr>
      </w:pPr>
    </w:p>
    <w:p>
      <w:pPr>
        <w:ind w:right="100" w:firstLine="469"/>
        <w:spacing w:after="0" w:line="250" w:lineRule="auto"/>
        <w:rPr>
          <w:sz w:val="20"/>
          <w:szCs w:val="20"/>
          <w:color w:val="auto"/>
        </w:rPr>
      </w:pPr>
      <w:r>
        <w:rPr>
          <w:rFonts w:ascii="Times New Roman" w:cs="Times New Roman" w:eastAsia="Times New Roman" w:hAnsi="Times New Roman"/>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for the first quarter of 2022 was 46.93%, compared to 40.26% for the first quarter of 2021. If acquisition expense is excluded, the efficiency ratio was 42.38% for the first quarter of 2022.</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First Quarter of 2022 Compared to the First Quarter of 2021</w:t>
      </w:r>
    </w:p>
    <w:p>
      <w:pPr>
        <w:spacing w:after="0" w:line="200" w:lineRule="exact"/>
        <w:rPr>
          <w:sz w:val="20"/>
          <w:szCs w:val="20"/>
          <w:color w:val="auto"/>
        </w:rPr>
      </w:pPr>
    </w:p>
    <w:p>
      <w:pPr>
        <w:ind w:right="20" w:firstLine="464"/>
        <w:spacing w:after="0" w:line="244" w:lineRule="auto"/>
        <w:rPr>
          <w:sz w:val="20"/>
          <w:szCs w:val="20"/>
          <w:color w:val="auto"/>
        </w:rPr>
      </w:pPr>
      <w:r>
        <w:rPr>
          <w:rFonts w:ascii="Times New Roman" w:cs="Times New Roman" w:eastAsia="Times New Roman" w:hAnsi="Times New Roman"/>
          <w:sz w:val="18"/>
          <w:szCs w:val="18"/>
          <w:color w:val="auto"/>
        </w:rPr>
        <w:t>Noninterest expense of $58.2 million for the first quarter of 2022 increased $11.1 million, or 23.48%, compared to the first quarter of 2021. The year-over-year increase included a $3.0 million increase in salaries and employee benefits, which included additional compensation related expenses for the newly hired and former Suncrest associates. Occupancy and equipment increased by $708,000 due to the addition of seven banking centers resulting from the acquisition of Suncrest. Acquisition expense related to the merger of Suncrest was $5.6 million for the first quarter of 2022. The systems conversion from Suncrest’s legacy banking systems was completed in February, which comprised a meaningful percentage of the $5.6 million in acquisition expense for the first quarter of 2022. The increase in software expense of $951,000, includes costs associated with the continued use of Suncrest's legacy banking systems, prior to conversion. We will consolidate two banking centers in the second quarter of 2022 and by the end of the second quarter, we expect to have completed the integration and consolidations related to Suncrest. The increase in marketing and promotion expense compared to the first quarter of 2021 is primarily due to the impact that the COVID-19 pandemic had on marketing and promotional events in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firstLine="469"/>
        <w:spacing w:after="0" w:line="312"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March 31, 2022 was 28.10%, compared to 28.60% for the three months ended March 31, 2021, respectively. Our estimated annual effective tax rate varies depending upon the level of tax-advantaged income as well as available tax credits.</w:t>
      </w:r>
    </w:p>
    <w:p>
      <w:pPr>
        <w:spacing w:after="0" w:line="113"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74" w:right="5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ANALYSIS OF FINANCIAL CONDITION</w:t>
      </w:r>
    </w:p>
    <w:p>
      <w:pPr>
        <w:spacing w:after="0" w:line="216" w:lineRule="exact"/>
        <w:rPr>
          <w:sz w:val="20"/>
          <w:szCs w:val="20"/>
          <w:color w:val="auto"/>
        </w:rPr>
      </w:pPr>
    </w:p>
    <w:p>
      <w:pPr>
        <w:ind w:firstLine="469"/>
        <w:spacing w:after="0" w:line="250" w:lineRule="auto"/>
        <w:rPr>
          <w:sz w:val="20"/>
          <w:szCs w:val="20"/>
          <w:color w:val="auto"/>
        </w:rPr>
      </w:pPr>
      <w:r>
        <w:rPr>
          <w:rFonts w:ascii="Times New Roman" w:cs="Times New Roman" w:eastAsia="Times New Roman" w:hAnsi="Times New Roman"/>
          <w:sz w:val="18"/>
          <w:szCs w:val="18"/>
          <w:color w:val="auto"/>
        </w:rPr>
        <w:t>Total assets of $17.54 billion at March 31, 2022 increased by $1.66 billion, or 10.42%, from total assets of $15.88 billion at December 31, 2021. Interest-earning assets of $16.11 billion at March 31, 2022 increased by $1.42 billion, or 9.70%, when compared with $14.68 billion at December 31, 2021. The increase in interest-earning assets was primarily due to a $900.2 million increase in investment securities and a $704.0 million increase in total loans, partially offset by a $160.5 million decrease in interest-earning balances due from the Federal Reserve.</w:t>
      </w:r>
    </w:p>
    <w:p>
      <w:pPr>
        <w:spacing w:after="0" w:line="177" w:lineRule="exact"/>
        <w:rPr>
          <w:sz w:val="20"/>
          <w:szCs w:val="20"/>
          <w:color w:val="auto"/>
        </w:rPr>
      </w:pPr>
    </w:p>
    <w:p>
      <w:pPr>
        <w:ind w:right="60" w:firstLine="469"/>
        <w:spacing w:after="0" w:line="250" w:lineRule="auto"/>
        <w:rPr>
          <w:sz w:val="20"/>
          <w:szCs w:val="20"/>
          <w:color w:val="auto"/>
        </w:rPr>
      </w:pPr>
      <w:r>
        <w:rPr>
          <w:rFonts w:ascii="Times New Roman" w:cs="Times New Roman" w:eastAsia="Times New Roman" w:hAnsi="Times New Roman"/>
          <w:sz w:val="18"/>
          <w:szCs w:val="18"/>
          <w:color w:val="auto"/>
        </w:rPr>
        <w:t>On January 7, 2022, we completed the acquisition of Suncrest with approximately $1.38 billion in total assets, acquired at fair value, and seven banking centers. The increase in total assets at March 31, 2022 included $765.9 million of acquired net loans at fair value, $131.1 million of investment securities, and $9 million in bank-owned life insurance. The acquisition resulted in $102.1 million of goodwill and $3.9 million in core deposit intangibles. Net cash proceeds were used to fund the $39.6 million in cash paid to the former shareholders of Suncrest as part of the merger consideration.</w:t>
      </w:r>
    </w:p>
    <w:p>
      <w:pPr>
        <w:spacing w:after="0" w:line="164" w:lineRule="exact"/>
        <w:rPr>
          <w:sz w:val="20"/>
          <w:szCs w:val="20"/>
          <w:color w:val="auto"/>
        </w:rPr>
      </w:pPr>
    </w:p>
    <w:p>
      <w:pPr>
        <w:ind w:right="100" w:firstLine="469"/>
        <w:spacing w:after="0" w:line="243" w:lineRule="auto"/>
        <w:rPr>
          <w:sz w:val="20"/>
          <w:szCs w:val="20"/>
          <w:color w:val="auto"/>
        </w:rPr>
      </w:pPr>
      <w:r>
        <w:rPr>
          <w:rFonts w:ascii="Times New Roman" w:cs="Times New Roman" w:eastAsia="Times New Roman" w:hAnsi="Times New Roman"/>
          <w:sz w:val="18"/>
          <w:szCs w:val="18"/>
          <w:color w:val="auto"/>
        </w:rPr>
        <w:t>Total liabilities were $15.46 billion at March 31, 2022, an increase of $1.66 billion, or 12.04%, from total liabilities of $13.80 billion at December 31, 2021. Total deposits grew by $1.51 billion, or 11.65%. Total equity decreased $6.5 million, or 0.31%, to $2.08 billion at March 31, 2022, compared to total equity of $2.08 billion at December 31, 2021. Increases to equity included $197.1 million for issuance of 8.6 million shares to acquire Suncrest and $45.6 million in net earnings. Decreases included $25.5 million in cash dividends and a $142.3 million decrease in other comprehensive income from the tax effected impact of the decline in market value of available-for-sale securities. During the first quarter of 2022, we executed on a $70 million accelerated stock repurchase program and retired 2,544,298 shares of common stock, or approximately 80% of the estimated shares repurchased under the program. We also repurchased, under our 10b5-1 stock repurchase plan, 536,010 shares of common stock, at an average repurchase price of $23.40, totaling $12.5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16" w:lineRule="exact"/>
        <w:rPr>
          <w:sz w:val="20"/>
          <w:szCs w:val="20"/>
          <w:color w:val="auto"/>
        </w:rPr>
      </w:pPr>
    </w:p>
    <w:p>
      <w:pPr>
        <w:ind w:right="80" w:firstLine="469"/>
        <w:spacing w:after="0" w:line="242" w:lineRule="auto"/>
        <w:rPr>
          <w:sz w:val="20"/>
          <w:szCs w:val="20"/>
          <w:color w:val="auto"/>
        </w:rPr>
      </w:pPr>
      <w:r>
        <w:rPr>
          <w:rFonts w:ascii="Times New Roman" w:cs="Times New Roman" w:eastAsia="Times New Roman" w:hAnsi="Times New Roman"/>
          <w:sz w:val="18"/>
          <w:szCs w:val="18"/>
          <w:color w:val="auto"/>
        </w:rPr>
        <w:t>The Company maintains a portfolio of investment securities to provide interest income and to serve as a source of liquidity for its ongoing operations. At March 31, 2022, total investment securities were $6.01 billion, including $131.1 million in securities acquired from Suncrest. This represented an increase of $900.2 million, or 17.62%, from $5.11 billion at December 31, 2021. The increase in investment securities was primarily due to new securities purchased exceeding cash outflow from the portfolio in the first quarter of 2022. At March 31, 2022, investment securities HTM totaled $2.36 billion. At March 31, 2022, our AFS investment securities totaled $3.65 billion, inclusive of a pre-tax net unrealized loss of $203.4 million. The after-tax unrealized loss reported in AOCI on AFS investment securities was $143.3 million. The changes in the net unrealized holding loss resulted primarily from fluctuations in market interest rates. For the three months ended March 31, 2022 and 2021, repayments/maturities of investment securities totaled $319.9 million and $259.9 million, respectively. We deployed some of our excess liquidity during the first quarter into additional securities by purchasing $1.17 billion in new investment securities, with yields on average of approximately 2.37% and $1.23 billion for the three months ended March 31, 2022 and 2021, respectively. During the first quarter of 2022, we purchased approximately $813.2 million of AFS securities with an average expected yield of approximately 2.42% and $357.2 million of HTM securities with an average expected yield of approximately 2.24%. The fourth quarter of 2021, included purchases of approximately $452 million in new AFS securities with an expected tax equivalent yield of 1.61% and $259 million in new HTM securities with an expected tax equivalent yield of approximately 1.84%. There were no investment securities sold during the first quarter of 2022 and 2021.</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6" w:name="page47"/>
    <w:bookmarkEnd w:id="46"/>
    <w:p>
      <w:pPr>
        <w:ind w:left="480"/>
        <w:spacing w:after="0"/>
        <w:rPr>
          <w:sz w:val="20"/>
          <w:szCs w:val="20"/>
          <w:color w:val="auto"/>
        </w:rPr>
      </w:pPr>
      <w:r>
        <w:rPr>
          <w:rFonts w:ascii="Times New Roman" w:cs="Times New Roman" w:eastAsia="Times New Roman" w:hAnsi="Times New Roman"/>
          <w:sz w:val="18"/>
          <w:szCs w:val="18"/>
          <w:color w:val="auto"/>
        </w:rPr>
        <w:t>The tables below set forth our investment securities AFS and HTM portfolio by type for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15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5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Holding Gain</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3,243,037</w:t>
            </w:r>
          </w:p>
        </w:tc>
        <w:tc>
          <w:tcPr>
            <w:tcW w:w="32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(166,018 )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3,080,992</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84.47 %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578,213</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(41,281 )</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536,997</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14.72 %</w:t>
            </w: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30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3860" w:type="dxa"/>
            <w:vAlign w:val="bottom"/>
            <w:tcBorders>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3,850,724</w:t>
            </w:r>
          </w:p>
        </w:tc>
        <w:tc>
          <w:tcPr>
            <w:tcW w:w="32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(207,650 )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3,647,330</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30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570,332</w:t>
            </w:r>
          </w:p>
        </w:tc>
        <w:tc>
          <w:tcPr>
            <w:tcW w:w="32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(52,738 )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518,316</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24.14 %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632,012</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(43,928 )</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588,311</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26.75 %</w:t>
            </w: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(44,778 )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773,501</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34.63 %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342,118</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(19,860 )</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323,016</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14.48 %</w:t>
            </w:r>
          </w:p>
        </w:tc>
        <w:tc>
          <w:tcPr>
            <w:tcW w:w="0" w:type="dxa"/>
            <w:vAlign w:val="bottom"/>
          </w:tcPr>
          <w:p>
            <w:pPr>
              <w:spacing w:after="0"/>
              <w:rPr>
                <w:sz w:val="1"/>
                <w:szCs w:val="1"/>
                <w:color w:val="auto"/>
              </w:rPr>
            </w:pPr>
          </w:p>
        </w:tc>
      </w:tr>
      <w:tr>
        <w:trPr>
          <w:trHeight w:val="20"/>
        </w:trPr>
        <w:tc>
          <w:tcPr>
            <w:tcW w:w="3860" w:type="dxa"/>
            <w:vAlign w:val="bottom"/>
            <w:tcBorders>
              <w:right w:val="single" w:sz="8" w:color="auto"/>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2,362,741</w:t>
            </w:r>
          </w:p>
        </w:tc>
        <w:tc>
          <w:tcPr>
            <w:tcW w:w="320" w:type="dxa"/>
            <w:vAlign w:val="bottom"/>
          </w:tcPr>
          <w:p>
            <w:pPr>
              <w:spacing w:after="0"/>
              <w:rPr>
                <w:sz w:val="18"/>
                <w:szCs w:val="18"/>
                <w:color w:val="auto"/>
              </w:rPr>
            </w:pP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(161,304 )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2,203,144</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60" w:type="dxa"/>
            <w:vAlign w:val="bottom"/>
          </w:tcPr>
          <w:p>
            <w:pPr>
              <w:spacing w:after="0"/>
              <w:rPr>
                <w:sz w:val="20"/>
                <w:szCs w:val="20"/>
                <w:color w:val="auto"/>
              </w:rPr>
            </w:pPr>
          </w:p>
        </w:tc>
        <w:tc>
          <w:tcPr>
            <w:tcW w:w="1260" w:type="dxa"/>
            <w:vAlign w:val="bottom"/>
            <w:tcBorders>
              <w:bottom w:val="single" w:sz="8" w:color="auto"/>
            </w:tcBorders>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Holding Gain</w:t>
            </w:r>
          </w:p>
        </w:tc>
        <w:tc>
          <w:tcPr>
            <w:tcW w:w="3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Holding Loss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w w:val="91"/>
              </w:rPr>
              <w:t>(Dollars in thousands)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2,553,246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(15,905 )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2,563,214</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80.50 %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602,555</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(13,983 )</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590,158</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29,468</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Borders>
              <w:right w:val="single" w:sz="8" w:color="CFF0FC"/>
            </w:tcBorders>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0"/>
        </w:trPr>
        <w:tc>
          <w:tcPr>
            <w:tcW w:w="38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3,185,249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(29,888 )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3,183,923</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Investment securities held-to-maturity:</w:t>
            </w:r>
          </w:p>
        </w:tc>
        <w:tc>
          <w:tcPr>
            <w:tcW w:w="30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tcBorders>
              <w:right w:val="single" w:sz="8" w:color="CFF0FC"/>
            </w:tcBorders>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tcBorders>
              <w:right w:val="single" w:sz="8" w:color="CFF0FC"/>
            </w:tcBorders>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agency/GSE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576,899</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575,494</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29.95 %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647,390</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(6,106 )</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645,393</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33.61 %</w:t>
            </w:r>
          </w:p>
        </w:tc>
        <w:tc>
          <w:tcPr>
            <w:tcW w:w="0" w:type="dxa"/>
            <w:vAlign w:val="bottom"/>
          </w:tcPr>
          <w:p>
            <w:pPr>
              <w:spacing w:after="0"/>
              <w:rPr>
                <w:sz w:val="1"/>
                <w:szCs w:val="1"/>
                <w:color w:val="auto"/>
              </w:rPr>
            </w:pPr>
          </w:p>
        </w:tc>
      </w:tr>
      <w:tr>
        <w:trPr>
          <w:trHeight w:val="216"/>
        </w:trPr>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CMO/REMIC</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486,236</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25.48 %</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211,011</w:t>
            </w:r>
          </w:p>
        </w:tc>
        <w:tc>
          <w:tcPr>
            <w:tcW w:w="3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3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(1,155 )</w:t>
            </w:r>
          </w:p>
        </w:tc>
        <w:tc>
          <w:tcPr>
            <w:tcW w:w="14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214,570</w:t>
            </w:r>
          </w:p>
        </w:tc>
        <w:tc>
          <w:tcPr>
            <w:tcW w:w="14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10.96 %</w:t>
            </w:r>
          </w:p>
        </w:tc>
        <w:tc>
          <w:tcPr>
            <w:tcW w:w="0" w:type="dxa"/>
            <w:vAlign w:val="bottom"/>
          </w:tcPr>
          <w:p>
            <w:pPr>
              <w:spacing w:after="0"/>
              <w:rPr>
                <w:sz w:val="1"/>
                <w:szCs w:val="1"/>
                <w:color w:val="auto"/>
              </w:rPr>
            </w:pPr>
          </w:p>
        </w:tc>
      </w:tr>
      <w:tr>
        <w:trPr>
          <w:trHeight w:val="20"/>
        </w:trPr>
        <w:tc>
          <w:tcPr>
            <w:tcW w:w="38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held-to-maturity securities</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1,925,970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(19,603 )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1,921,693</w:t>
            </w: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-3539490</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-3539490</wp:posOffset>
            </wp:positionV>
            <wp:extent cx="514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-3539490</wp:posOffset>
            </wp:positionV>
            <wp:extent cx="6032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-3539490</wp:posOffset>
            </wp:positionV>
            <wp:extent cx="431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-3539490</wp:posOffset>
            </wp:positionV>
            <wp:extent cx="14541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-2682240</wp:posOffset>
            </wp:positionV>
            <wp:extent cx="514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-2682240</wp:posOffset>
            </wp:positionV>
            <wp:extent cx="514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-2682240</wp:posOffset>
            </wp:positionV>
            <wp:extent cx="6032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-2682240</wp:posOffset>
            </wp:positionV>
            <wp:extent cx="431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-2682240</wp:posOffset>
            </wp:positionV>
            <wp:extent cx="14541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-1028065</wp:posOffset>
            </wp:positionV>
            <wp:extent cx="774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-1028065</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-1028065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-1028065</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-1028065</wp:posOffset>
            </wp:positionV>
            <wp:extent cx="14541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774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8" w:lineRule="exact"/>
        <w:rPr>
          <w:sz w:val="20"/>
          <w:szCs w:val="20"/>
          <w:color w:val="auto"/>
        </w:rPr>
      </w:pPr>
    </w:p>
    <w:p>
      <w:pPr>
        <w:jc w:val="both"/>
        <w:ind w:right="20" w:firstLine="469"/>
        <w:spacing w:after="0" w:line="250" w:lineRule="auto"/>
        <w:rPr>
          <w:sz w:val="20"/>
          <w:szCs w:val="20"/>
          <w:color w:val="auto"/>
        </w:rPr>
      </w:pPr>
      <w:r>
        <w:rPr>
          <w:rFonts w:ascii="Times New Roman" w:cs="Times New Roman" w:eastAsia="Times New Roman" w:hAnsi="Times New Roman"/>
          <w:sz w:val="18"/>
          <w:szCs w:val="18"/>
          <w:color w:val="auto"/>
        </w:rPr>
        <w:t>As of March 31, 2022, approximately $46.1 million in U.S. government agency bonds are callable. The Agency CMO/REMIC securities are backed by agency-pooled collateral. Municipal bonds, which represented approximately 6% of the total investment portfolio, are predominately AA or higher rated securities.</w:t>
      </w:r>
    </w:p>
    <w:p>
      <w:pPr>
        <w:spacing w:after="0" w:line="177"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available-for-sale investment securities, by investment category, in an unrealized loss position for which an allowance for credit losses has not been recorded as of March 31, 2022 and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CMO/REMIC</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Municipal bonds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Total available-for-sale securities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held-to-maturity:</w:t>
      </w:r>
    </w:p>
    <w:p>
      <w:pPr>
        <w:spacing w:after="0" w:line="19" w:lineRule="exact"/>
        <w:rPr>
          <w:sz w:val="20"/>
          <w:szCs w:val="20"/>
          <w:color w:val="auto"/>
        </w:rPr>
      </w:pPr>
    </w:p>
    <w:p>
      <w:pPr>
        <w:ind w:left="200" w:right="720"/>
        <w:spacing w:after="0" w:line="266" w:lineRule="auto"/>
        <w:rPr>
          <w:sz w:val="20"/>
          <w:szCs w:val="20"/>
          <w:color w:val="auto"/>
        </w:rPr>
      </w:pPr>
      <w:r>
        <w:rPr>
          <w:rFonts w:ascii="Times New Roman" w:cs="Times New Roman" w:eastAsia="Times New Roman" w:hAnsi="Times New Roman"/>
          <w:sz w:val="16"/>
          <w:szCs w:val="16"/>
          <w:color w:val="auto"/>
        </w:rPr>
        <w:t>Government agency/GSE Mortgage-backed securities CMO/REMIC</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Municipal bonds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Total held-to-maturity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Investment securities available-for-sale: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Mortgage-backed securities</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CMO/REMIC</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Municipal bonds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available-for-sale securities</w:t>
      </w:r>
    </w:p>
    <w:p>
      <w:pPr>
        <w:spacing w:after="0" w:line="20" w:lineRule="exact"/>
        <w:rPr>
          <w:sz w:val="20"/>
          <w:szCs w:val="20"/>
          <w:color w:val="auto"/>
        </w:rPr>
      </w:pPr>
      <w:r>
        <w:rPr>
          <w:sz w:val="20"/>
          <w:szCs w:val="20"/>
          <w:color w:val="auto"/>
        </w:rPr>
        <w:br w:type="column"/>
      </w:r>
    </w:p>
    <w:p>
      <w:pPr>
        <w:ind w:left="3320"/>
        <w:spacing w:after="0"/>
        <w:rPr>
          <w:sz w:val="20"/>
          <w:szCs w:val="20"/>
          <w:color w:val="auto"/>
        </w:rPr>
      </w:pPr>
      <w:r>
        <w:rPr>
          <w:rFonts w:ascii="Times New Roman" w:cs="Times New Roman" w:eastAsia="Times New Roman" w:hAnsi="Times New Roman"/>
          <w:sz w:val="16"/>
          <w:szCs w:val="16"/>
          <w:b w:val="1"/>
          <w:bCs w:val="1"/>
          <w:color w:val="auto"/>
        </w:rPr>
        <w:t>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60" w:type="dxa"/>
            <w:vAlign w:val="bottom"/>
            <w:tcBorders>
              <w:top w:val="single" w:sz="8" w:color="auto"/>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30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gridSpan w:val="7"/>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9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59"/>
              <w:spacing w:after="0" w:line="15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19"/>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39"/>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4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4"/>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339"/>
              <w:spacing w:after="0" w:line="17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19"/>
              <w:spacing w:after="0" w:line="17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03"/>
        </w:trPr>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3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8"/>
          </w:tcPr>
          <w:p>
            <w:pPr>
              <w:jc w:val="right"/>
              <w:ind w:right="67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1,551,620</w:t>
            </w:r>
          </w:p>
        </w:tc>
        <w:tc>
          <w:tcPr>
            <w:tcW w:w="24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(92,654 )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851,349</w:t>
            </w:r>
          </w:p>
        </w:tc>
        <w:tc>
          <w:tcPr>
            <w:tcW w:w="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(73,364 )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2,402,969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(166,018 )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192,973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(10,983 )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331,988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(30,298 )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524,961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(41,281 )</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(351 )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14,990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(351 )</w:t>
            </w:r>
          </w:p>
        </w:tc>
        <w:tc>
          <w:tcPr>
            <w:tcW w:w="0" w:type="dxa"/>
            <w:vAlign w:val="bottom"/>
          </w:tcPr>
          <w:p>
            <w:pPr>
              <w:spacing w:after="0"/>
              <w:rPr>
                <w:sz w:val="1"/>
                <w:szCs w:val="1"/>
                <w:color w:val="auto"/>
              </w:rPr>
            </w:pPr>
          </w:p>
        </w:tc>
      </w:tr>
      <w:tr>
        <w:trPr>
          <w:trHeight w:val="202"/>
        </w:trPr>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1,759,583</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(103,988</w:t>
            </w:r>
          </w:p>
        </w:tc>
        <w:tc>
          <w:tcPr>
            <w:tcW w:w="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1,183,337</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(103,662</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2,942,920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(207,650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242,300</w:t>
            </w:r>
          </w:p>
        </w:tc>
        <w:tc>
          <w:tcPr>
            <w:tcW w:w="24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(21,492 )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242,589</w:t>
            </w:r>
          </w:p>
        </w:tc>
        <w:tc>
          <w:tcPr>
            <w:tcW w:w="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(31,246 )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484,889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(52,738 )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560,752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(43,438 )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(490 )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565,270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(43,928 )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773,501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(44,778 )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773,501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(44,778 )</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(12,670 )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(7,190 )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237,468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(19,860 )</w:t>
            </w:r>
          </w:p>
        </w:tc>
        <w:tc>
          <w:tcPr>
            <w:tcW w:w="0" w:type="dxa"/>
            <w:vAlign w:val="bottom"/>
          </w:tcPr>
          <w:p>
            <w:pPr>
              <w:spacing w:after="0"/>
              <w:rPr>
                <w:sz w:val="1"/>
                <w:szCs w:val="1"/>
                <w:color w:val="auto"/>
              </w:rPr>
            </w:pPr>
          </w:p>
        </w:tc>
      </w:tr>
      <w:tr>
        <w:trPr>
          <w:trHeight w:val="202"/>
        </w:trPr>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1,755,434</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(122,378</w:t>
            </w:r>
          </w:p>
        </w:tc>
        <w:tc>
          <w:tcPr>
            <w:tcW w:w="3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305,694</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(38,926</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2,061,128</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(161,304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7"/>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8"/>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12 Months or Longer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31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9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159"/>
              <w:spacing w:after="0" w:line="173"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1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9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59"/>
              <w:spacing w:after="0" w:line="165" w:lineRule="exact"/>
              <w:rPr>
                <w:sz w:val="20"/>
                <w:szCs w:val="20"/>
                <w:color w:val="auto"/>
              </w:rPr>
            </w:pPr>
            <w:r>
              <w:rPr>
                <w:rFonts w:ascii="Times New Roman" w:cs="Times New Roman" w:eastAsia="Times New Roman" w:hAnsi="Times New Roman"/>
                <w:sz w:val="16"/>
                <w:szCs w:val="16"/>
                <w:b w:val="1"/>
                <w:bCs w:val="1"/>
                <w:color w:val="auto"/>
              </w:rPr>
              <w:t>Holding</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8"/>
          </w:tcPr>
          <w:p>
            <w:pPr>
              <w:jc w:val="right"/>
              <w:ind w:right="65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1"/>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1,465,647</w:t>
            </w:r>
          </w:p>
        </w:tc>
        <w:tc>
          <w:tcPr>
            <w:tcW w:w="24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(15,099 )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44,244</w:t>
            </w:r>
          </w:p>
        </w:tc>
        <w:tc>
          <w:tcPr>
            <w:tcW w:w="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(806 )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1,509,891</w:t>
            </w:r>
          </w:p>
        </w:tc>
        <w:tc>
          <w:tcPr>
            <w:tcW w:w="4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(15,905 )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450,393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(11,515 )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(2,468 )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504,138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(13,983 )</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1,916,040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(26,614</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97,989</w:t>
            </w:r>
          </w:p>
        </w:tc>
        <w:tc>
          <w:tcPr>
            <w:tcW w:w="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2,014,029</w:t>
            </w:r>
          </w:p>
        </w:tc>
        <w:tc>
          <w:tcPr>
            <w:tcW w:w="4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(29,888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-3154045</wp:posOffset>
            </wp:positionV>
            <wp:extent cx="7132320" cy="1289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-2896870</wp:posOffset>
            </wp:positionV>
            <wp:extent cx="7132320" cy="1289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-2630805</wp:posOffset>
            </wp:positionV>
            <wp:extent cx="7132320" cy="154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-2348230</wp:posOffset>
            </wp:positionV>
            <wp:extent cx="7132320" cy="1289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-2091055</wp:posOffset>
            </wp:positionV>
            <wp:extent cx="7132320" cy="1289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-1824990</wp:posOffset>
            </wp:positionV>
            <wp:extent cx="7132320" cy="15430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-676910</wp:posOffset>
            </wp:positionV>
            <wp:extent cx="7132320" cy="1289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-419735</wp:posOffset>
            </wp:positionV>
            <wp:extent cx="7132320" cy="1289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-153670</wp:posOffset>
            </wp:positionV>
            <wp:extent cx="7132320" cy="1543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720" w:space="720"/>
            <w:col w:w="7780"/>
          </w:cols>
          <w:pgMar w:left="320" w:top="367" w:right="359" w:bottom="1440" w:gutter="0" w:footer="0" w:header="0"/>
        </w:sectPr>
      </w:pPr>
    </w:p>
    <w:p>
      <w:pPr>
        <w:jc w:val="both"/>
        <w:ind w:right="400" w:firstLine="469"/>
        <w:spacing w:after="0" w:line="258" w:lineRule="auto"/>
        <w:rPr>
          <w:sz w:val="20"/>
          <w:szCs w:val="20"/>
          <w:color w:val="auto"/>
        </w:rPr>
      </w:pPr>
      <w:r>
        <w:rPr>
          <w:rFonts w:ascii="Times New Roman" w:cs="Times New Roman" w:eastAsia="Times New Roman" w:hAnsi="Times New Roman"/>
          <w:sz w:val="18"/>
          <w:szCs w:val="18"/>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March 31, 2022 and December 31, 2021.</w:t>
      </w:r>
    </w:p>
    <w:p>
      <w:pPr>
        <w:spacing w:after="0" w:line="154" w:lineRule="exact"/>
        <w:rPr>
          <w:sz w:val="20"/>
          <w:szCs w:val="20"/>
          <w:color w:val="auto"/>
        </w:rPr>
      </w:pPr>
    </w:p>
    <w:p>
      <w:pPr>
        <w:ind w:right="680" w:firstLine="374"/>
        <w:spacing w:after="0" w:line="255" w:lineRule="auto"/>
        <w:rPr>
          <w:sz w:val="20"/>
          <w:szCs w:val="20"/>
          <w:color w:val="auto"/>
        </w:rPr>
      </w:pPr>
      <w:r>
        <w:rPr>
          <w:rFonts w:ascii="Times New Roman" w:cs="Times New Roman" w:eastAsia="Times New Roman" w:hAnsi="Times New Roman"/>
          <w:sz w:val="18"/>
          <w:szCs w:val="18"/>
          <w:color w:val="auto"/>
        </w:rPr>
        <w:t xml:space="preserve">Refer to Note 5 –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of the notes to the unaudited condensed consolidated financial statements of this report for additional information on our investment securities portfolio.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loans and leases, at amortized cost, of $8.59 billion at March 31, 2022 increased by $704.0 million, or 8.92%, from December 31, 2021.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total loans included $774.5 million of loans acquired from Suncrest in the first quarter of 2022. After adjusting for acquired loans, seasonality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forgiveness of PPP loans, our core loans grew by $144.5 million, or 1.97%, from the end of the fourth quarter, or approximately 8% annualized. The</w:t>
      </w:r>
    </w:p>
    <w:p>
      <w:pPr>
        <w:spacing w:after="0" w:line="234" w:lineRule="auto"/>
        <w:rPr>
          <w:sz w:val="20"/>
          <w:szCs w:val="20"/>
          <w:color w:val="auto"/>
        </w:rPr>
      </w:pPr>
      <w:r>
        <w:rPr>
          <w:rFonts w:ascii="Times New Roman" w:cs="Times New Roman" w:eastAsia="Times New Roman" w:hAnsi="Times New Roman"/>
          <w:sz w:val="18"/>
          <w:szCs w:val="18"/>
          <w:color w:val="auto"/>
        </w:rPr>
        <w:t>$144.5 million core loan growth included $100.3 million in commercial real estate loans, $27.3 million in commercial and industrial loans, $14.2 million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SFR mortgage loans, $2.5 million in SBA loans, and $5.7 million in other loans, partially offset by a decrease of $5.5 million in construction loans.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$110.1 million decrease in dairy &amp; livestock loans was seasonal.</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our loan portfolio by type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Distribution of Loan Portfolio by Type</w:t>
            </w:r>
          </w:p>
        </w:tc>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9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24"/>
                <w:szCs w:val="24"/>
                <w:color w:val="auto"/>
              </w:rPr>
            </w:pPr>
          </w:p>
        </w:tc>
      </w:tr>
      <w:tr>
        <w:trPr>
          <w:trHeight w:val="206"/>
        </w:trPr>
        <w:tc>
          <w:tcPr>
            <w:tcW w:w="39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340" w:type="dxa"/>
            <w:vAlign w:val="bottom"/>
            <w:gridSpan w:val="3"/>
          </w:tcPr>
          <w:p>
            <w:pPr>
              <w:jc w:val="right"/>
              <w:ind w:right="133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7"/>
                <w:szCs w:val="17"/>
                <w:color w:val="auto"/>
              </w:rPr>
            </w:pPr>
          </w:p>
        </w:tc>
      </w:tr>
      <w:tr>
        <w:trPr>
          <w:trHeight w:val="220"/>
        </w:trPr>
        <w:tc>
          <w:tcPr>
            <w:tcW w:w="3900" w:type="dxa"/>
            <w:vAlign w:val="bottom"/>
          </w:tcPr>
          <w:p>
            <w:pPr>
              <w:spacing w:after="0"/>
              <w:rPr>
                <w:sz w:val="19"/>
                <w:szCs w:val="19"/>
                <w:color w:val="auto"/>
              </w:rPr>
            </w:pPr>
          </w:p>
        </w:tc>
        <w:tc>
          <w:tcPr>
            <w:tcW w:w="3260" w:type="dxa"/>
            <w:vAlign w:val="bottom"/>
            <w:gridSpan w:val="2"/>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6,470,841</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5,789,730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62,264</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2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311,238</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288,600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SBA - Paycheck Protection Program (PPP)</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186,585</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924,780</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813,063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Municipal lease finance receivables</w:t>
            </w:r>
          </w:p>
        </w:tc>
        <w:tc>
          <w:tcPr>
            <w:tcW w:w="2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65,543</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SFR mortgage</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c>
          <w:tcPr>
            <w:tcW w:w="1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and other loans</w:t>
            </w:r>
          </w:p>
        </w:tc>
        <w:tc>
          <w:tcPr>
            <w:tcW w:w="29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76,695</w:t>
            </w:r>
          </w:p>
        </w:tc>
        <w:tc>
          <w:tcPr>
            <w:tcW w:w="4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loans, at amortized cost</w:t>
            </w:r>
          </w:p>
        </w:tc>
        <w:tc>
          <w:tcPr>
            <w:tcW w:w="2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8,591,684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7,887,713</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rPr>
              <w:t>(76,119 )</w:t>
            </w:r>
          </w:p>
        </w:tc>
        <w:tc>
          <w:tcPr>
            <w:tcW w:w="1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(65,019 )</w:t>
            </w:r>
          </w:p>
        </w:tc>
      </w:tr>
      <w:tr>
        <w:trPr>
          <w:trHeight w:val="209"/>
        </w:trPr>
        <w:tc>
          <w:tcPr>
            <w:tcW w:w="390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Total loans and lease finance receivables, net</w:t>
            </w:r>
          </w:p>
        </w:tc>
        <w:tc>
          <w:tcPr>
            <w:tcW w:w="29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8,515,565</w:t>
            </w:r>
          </w:p>
        </w:tc>
        <w:tc>
          <w:tcPr>
            <w:tcW w:w="4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7,822,694</w:t>
            </w:r>
          </w:p>
        </w:tc>
        <w:tc>
          <w:tcPr>
            <w:tcW w:w="100" w:type="dxa"/>
            <w:vAlign w:val="bottom"/>
            <w:tcBorders>
              <w:top w:val="single" w:sz="8" w:color="CFF0FC"/>
            </w:tcBorders>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-454025</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-454025</wp:posOffset>
            </wp:positionV>
            <wp:extent cx="596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20" w:firstLine="469"/>
        <w:spacing w:after="0" w:line="244" w:lineRule="auto"/>
        <w:rPr>
          <w:sz w:val="20"/>
          <w:szCs w:val="20"/>
          <w:color w:val="auto"/>
        </w:rPr>
      </w:pPr>
      <w:r>
        <w:rPr>
          <w:rFonts w:ascii="Times New Roman" w:cs="Times New Roman" w:eastAsia="Times New Roman" w:hAnsi="Times New Roman"/>
          <w:sz w:val="18"/>
          <w:szCs w:val="18"/>
          <w:color w:val="auto"/>
        </w:rPr>
        <w:t>As of March 31, 2022, $504.5 million, or 7.80% of the total commercial real estate loans included loans secured by farmland, compared to $364.4 million, or 6.29%, at December 31, 2021. The loans secured by farmland included $134.5 million for loans secured by dairy &amp; livestock land and $370.0 million for loans secured by agricultural land at March 31, 2022, compared to $134.9 million for loans secured by dairy &amp; livestock land and $229.5 million for loans secured by agricultural land at December 31, 2021. As of March 31, 2022, dairy &amp; livestock and agribusiness loans of $292.8 million were comprised of $241.7 million for dairy &amp; livestock loans and $51.1 million for agribusiness loans, compared to $386.2 million were comprised of $351.7 million for dairy &amp; livestock loans and $34.5 million for agribusiness loans at December 31, 2021.</w:t>
      </w:r>
    </w:p>
    <w:p>
      <w:pPr>
        <w:spacing w:after="0" w:line="182" w:lineRule="exact"/>
        <w:rPr>
          <w:sz w:val="20"/>
          <w:szCs w:val="20"/>
          <w:color w:val="auto"/>
        </w:rPr>
      </w:pPr>
    </w:p>
    <w:p>
      <w:pPr>
        <w:ind w:firstLine="469"/>
        <w:spacing w:after="0" w:line="246" w:lineRule="auto"/>
        <w:rPr>
          <w:sz w:val="20"/>
          <w:szCs w:val="20"/>
          <w:color w:val="auto"/>
        </w:rPr>
      </w:pPr>
      <w:r>
        <w:rPr>
          <w:rFonts w:ascii="Times New Roman" w:cs="Times New Roman" w:eastAsia="Times New Roman" w:hAnsi="Times New Roman"/>
          <w:sz w:val="18"/>
          <w:szCs w:val="18"/>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81" w:lineRule="exact"/>
        <w:rPr>
          <w:sz w:val="20"/>
          <w:szCs w:val="20"/>
          <w:color w:val="auto"/>
        </w:rPr>
      </w:pPr>
    </w:p>
    <w:p>
      <w:pPr>
        <w:ind w:right="40" w:firstLine="469"/>
        <w:spacing w:after="0" w:line="260" w:lineRule="auto"/>
        <w:rPr>
          <w:sz w:val="20"/>
          <w:szCs w:val="20"/>
          <w:color w:val="auto"/>
        </w:rPr>
      </w:pPr>
      <w:r>
        <w:rPr>
          <w:rFonts w:ascii="Times New Roman" w:cs="Times New Roman" w:eastAsia="Times New Roman" w:hAnsi="Times New Roman"/>
          <w:sz w:val="17"/>
          <w:szCs w:val="17"/>
          <w:color w:val="auto"/>
        </w:rPr>
        <w:t>As of March 31, 2022, the Company had $219.7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March 31, 2022, the Company had $91.5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As an active participant in the SBA’s Paycheck Protection Program, we originated approximately 4,100 PPP loans totaling $1.10 billion in round one, with a remaining outstanding balance of $8.9 million as of March 31, 2022. As of March 31, 2022, we have originated approximately 1,900 PPP loans in round two with a remaining outstanding balance of $112.3 million.</w:t>
      </w:r>
    </w:p>
    <w:p>
      <w:pPr>
        <w:spacing w:after="0" w:line="169" w:lineRule="exact"/>
        <w:rPr>
          <w:sz w:val="20"/>
          <w:szCs w:val="20"/>
          <w:color w:val="auto"/>
        </w:rPr>
      </w:pPr>
    </w:p>
    <w:p>
      <w:pPr>
        <w:ind w:right="660" w:firstLine="464"/>
        <w:spacing w:after="0" w:line="266" w:lineRule="auto"/>
        <w:rPr>
          <w:sz w:val="20"/>
          <w:szCs w:val="20"/>
          <w:color w:val="auto"/>
        </w:rPr>
      </w:pPr>
      <w:r>
        <w:rPr>
          <w:rFonts w:ascii="Times New Roman" w:cs="Times New Roman" w:eastAsia="Times New Roman" w:hAnsi="Times New Roman"/>
          <w:sz w:val="18"/>
          <w:szCs w:val="18"/>
          <w:color w:val="auto"/>
        </w:rPr>
        <w:t>Our loan portfolio is geographically disbursed throughout our marketplace. The following is the breakdown of our total held-for-investment commercial real estate loans, by region as of March 31,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Total Loans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6"/>
                <w:szCs w:val="16"/>
                <w:b w:val="1"/>
                <w:bCs w:val="1"/>
                <w:color w:val="auto"/>
              </w:rPr>
              <w:t>Commercial Real</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Estate Loans</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 Angeles County</w:t>
            </w:r>
          </w:p>
        </w:tc>
        <w:tc>
          <w:tcPr>
            <w:tcW w:w="50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3,245,794</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37.8 %</w:t>
            </w: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2,296,779</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35.5 %</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Central Valley and Sacramento</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2,089,216</w:t>
            </w:r>
          </w:p>
        </w:tc>
        <w:tc>
          <w:tcPr>
            <w:tcW w:w="300" w:type="dxa"/>
            <w:vAlign w:val="bottom"/>
          </w:tcPr>
          <w:p>
            <w:pPr>
              <w:spacing w:after="0"/>
              <w:rPr>
                <w:sz w:val="17"/>
                <w:szCs w:val="17"/>
                <w:color w:val="auto"/>
              </w:rPr>
            </w:pP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24.3 %</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1,638,893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Orange County</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1,061,468</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12.4 %</w:t>
            </w:r>
          </w:p>
        </w:tc>
        <w:tc>
          <w:tcPr>
            <w:tcW w:w="6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676,261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Inland Empire</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965,023</w:t>
            </w:r>
          </w:p>
        </w:tc>
        <w:tc>
          <w:tcPr>
            <w:tcW w:w="300" w:type="dxa"/>
            <w:vAlign w:val="bottom"/>
          </w:tcPr>
          <w:p>
            <w:pPr>
              <w:spacing w:after="0"/>
              <w:rPr>
                <w:sz w:val="17"/>
                <w:szCs w:val="17"/>
                <w:color w:val="auto"/>
              </w:rPr>
            </w:pP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11.2 %</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831,040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Central Coast</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448,851</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5.2 %</w:t>
            </w:r>
          </w:p>
        </w:tc>
        <w:tc>
          <w:tcPr>
            <w:tcW w:w="6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381,572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306,686</w:t>
            </w:r>
          </w:p>
        </w:tc>
        <w:tc>
          <w:tcPr>
            <w:tcW w:w="300" w:type="dxa"/>
            <w:vAlign w:val="bottom"/>
          </w:tcPr>
          <w:p>
            <w:pPr>
              <w:spacing w:after="0"/>
              <w:rPr>
                <w:sz w:val="17"/>
                <w:szCs w:val="17"/>
                <w:color w:val="auto"/>
              </w:rPr>
            </w:pP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3.6 %</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276,652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California</w:t>
            </w:r>
          </w:p>
        </w:tc>
        <w:tc>
          <w:tcPr>
            <w:tcW w:w="5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140,853</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1.6 %</w:t>
            </w:r>
          </w:p>
        </w:tc>
        <w:tc>
          <w:tcPr>
            <w:tcW w:w="6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88,982</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 of State</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333,793</w:t>
            </w:r>
          </w:p>
        </w:tc>
        <w:tc>
          <w:tcPr>
            <w:tcW w:w="300" w:type="dxa"/>
            <w:vAlign w:val="bottom"/>
          </w:tcPr>
          <w:p>
            <w:pPr>
              <w:spacing w:after="0"/>
              <w:rPr>
                <w:sz w:val="17"/>
                <w:szCs w:val="17"/>
                <w:color w:val="auto"/>
              </w:rPr>
            </w:pP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3.9 %</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280,662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8,591,684</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Borders>
              <w:bottom w:val="single" w:sz="8" w:color="CFF0FC"/>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6,470,841</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-25400</wp:posOffset>
            </wp:positionV>
            <wp:extent cx="431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431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14605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14605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342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342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1371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breaks down our commercial real estate portfolio.</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15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6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300" w:type="dxa"/>
            <w:vAlign w:val="bottom"/>
          </w:tcPr>
          <w:p>
            <w:pPr>
              <w:spacing w:after="0"/>
              <w:rPr>
                <w:sz w:val="15"/>
                <w:szCs w:val="15"/>
                <w:color w:val="auto"/>
              </w:rPr>
            </w:pPr>
          </w:p>
        </w:tc>
        <w:tc>
          <w:tcPr>
            <w:tcW w:w="1420" w:type="dxa"/>
            <w:vAlign w:val="bottom"/>
            <w:gridSpan w:val="2"/>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86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Owner-</w:t>
            </w:r>
          </w:p>
        </w:tc>
        <w:tc>
          <w:tcPr>
            <w:tcW w:w="180" w:type="dxa"/>
            <w:vAlign w:val="bottom"/>
          </w:tcPr>
          <w:p>
            <w:pPr>
              <w:spacing w:after="0"/>
              <w:rPr>
                <w:sz w:val="15"/>
                <w:szCs w:val="15"/>
                <w:color w:val="auto"/>
              </w:rPr>
            </w:pPr>
          </w:p>
        </w:tc>
        <w:tc>
          <w:tcPr>
            <w:tcW w:w="900" w:type="dxa"/>
            <w:vAlign w:val="bottom"/>
          </w:tcPr>
          <w:p>
            <w:pPr>
              <w:jc w:val="right"/>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Occupied (1)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Loan Balance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460" w:type="dxa"/>
            <w:vAlign w:val="bottom"/>
          </w:tcPr>
          <w:p>
            <w:pPr>
              <w:jc w:val="right"/>
              <w:ind w:right="119"/>
              <w:spacing w:after="0"/>
              <w:rPr>
                <w:sz w:val="20"/>
                <w:szCs w:val="20"/>
                <w:color w:val="auto"/>
              </w:rPr>
            </w:pPr>
            <w:r>
              <w:rPr>
                <w:rFonts w:ascii="Times New Roman" w:cs="Times New Roman" w:eastAsia="Times New Roman" w:hAnsi="Times New Roman"/>
                <w:sz w:val="16"/>
                <w:szCs w:val="16"/>
                <w:i w:val="1"/>
                <w:iCs w:val="1"/>
                <w:color w:val="auto"/>
              </w:rPr>
              <w:t>in</w:t>
            </w:r>
          </w:p>
        </w:tc>
        <w:tc>
          <w:tcPr>
            <w:tcW w:w="144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i w:val="1"/>
                <w:iCs w:val="1"/>
                <w:color w:val="auto"/>
                <w:w w:val="76"/>
              </w:rPr>
              <w:t>thousands)</w:t>
            </w:r>
          </w:p>
        </w:tc>
        <w:tc>
          <w:tcPr>
            <w:tcW w:w="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Commercial real estate:</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2,131,392</w:t>
            </w:r>
          </w:p>
        </w:tc>
        <w:tc>
          <w:tcPr>
            <w:tcW w:w="17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32.9 %</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50.1 %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1,097,173</w:t>
            </w:r>
          </w:p>
        </w:tc>
        <w:tc>
          <w:tcPr>
            <w:tcW w:w="1720" w:type="dxa"/>
            <w:vAlign w:val="bottom"/>
            <w:gridSpan w:val="3"/>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17.0 %</w:t>
            </w:r>
          </w:p>
        </w:tc>
        <w:tc>
          <w:tcPr>
            <w:tcW w:w="1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23.1 %</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923,893</w:t>
            </w:r>
          </w:p>
        </w:tc>
        <w:tc>
          <w:tcPr>
            <w:tcW w:w="17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14.3 %</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9.2 %</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711,581</w:t>
            </w:r>
          </w:p>
        </w:tc>
        <w:tc>
          <w:tcPr>
            <w:tcW w:w="1720" w:type="dxa"/>
            <w:vAlign w:val="bottom"/>
            <w:gridSpan w:val="3"/>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11.0 %</w:t>
            </w:r>
          </w:p>
        </w:tc>
        <w:tc>
          <w:tcPr>
            <w:tcW w:w="1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0.9 %</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Secured by farmland (2)</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504,516</w:t>
            </w:r>
          </w:p>
        </w:tc>
        <w:tc>
          <w:tcPr>
            <w:tcW w:w="17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7.8 %</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97.8 %</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Medical</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320,159</w:t>
            </w:r>
          </w:p>
        </w:tc>
        <w:tc>
          <w:tcPr>
            <w:tcW w:w="1720" w:type="dxa"/>
            <w:vAlign w:val="bottom"/>
            <w:gridSpan w:val="3"/>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4.9 %</w:t>
            </w:r>
          </w:p>
        </w:tc>
        <w:tc>
          <w:tcPr>
            <w:tcW w:w="1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35.1 %</w:t>
            </w: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(3)</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782,127</w:t>
            </w:r>
          </w:p>
        </w:tc>
        <w:tc>
          <w:tcPr>
            <w:tcW w:w="17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12.1 %</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48.1 %</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6,470,841</w:t>
            </w:r>
          </w:p>
        </w:tc>
        <w:tc>
          <w:tcPr>
            <w:tcW w:w="30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Borders>
              <w:bottom w:val="single" w:sz="8" w:color="CFF0FC"/>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37.0 %</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431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-8255</wp:posOffset>
            </wp:positionV>
            <wp:extent cx="4318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1460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14605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60" w:lineRule="exact"/>
        <w:rPr>
          <w:sz w:val="20"/>
          <w:szCs w:val="20"/>
          <w:color w:val="auto"/>
        </w:rPr>
      </w:pPr>
    </w:p>
    <w:p>
      <w:pPr>
        <w:ind w:left="1320" w:hanging="473"/>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reported owner-occupied at origination in each real estate loan category.</w:t>
      </w:r>
    </w:p>
    <w:p>
      <w:pPr>
        <w:spacing w:after="0" w:line="17" w:lineRule="exact"/>
        <w:rPr>
          <w:rFonts w:ascii="Times New Roman" w:cs="Times New Roman" w:eastAsia="Times New Roman" w:hAnsi="Times New Roman"/>
          <w:sz w:val="14"/>
          <w:szCs w:val="14"/>
          <w:color w:val="auto"/>
        </w:rPr>
      </w:pPr>
    </w:p>
    <w:p>
      <w:pPr>
        <w:ind w:left="1320" w:right="140" w:hanging="470"/>
        <w:spacing w:after="0" w:line="249" w:lineRule="auto"/>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loans secured by farmland included $134.5 million for loans secured by dairy &amp; livestock land and $370.0 million for loans secured by agricultural land at March 31, 2022.</w:t>
      </w:r>
    </w:p>
    <w:p>
      <w:pPr>
        <w:ind w:left="1320" w:hanging="470"/>
        <w:spacing w:after="0"/>
        <w:tabs>
          <w:tab w:leader="none" w:pos="1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loans consist of a variety of loan types, none of which exceeded 2.5% of total commercial real estate loans at March 31, 2022.</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information on nonperforming assets as of the dates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2160" w:type="dxa"/>
            <w:vAlign w:val="bottom"/>
            <w:gridSpan w:val="3"/>
          </w:tcPr>
          <w:p>
            <w:pPr>
              <w:jc w:val="right"/>
              <w:ind w:right="115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13,265</w:t>
            </w: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past due 90 days or more and still accruing interest</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Nonperforming troubled debt restructured loans (TDRs)</w:t>
            </w: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Total nonperforming loans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13,265</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OREO, net</w:t>
            </w:r>
          </w:p>
        </w:tc>
        <w:tc>
          <w:tcPr>
            <w:tcW w:w="24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nonperforming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13,265</w:t>
            </w:r>
          </w:p>
        </w:tc>
        <w:tc>
          <w:tcPr>
            <w:tcW w:w="4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Performing TDRs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5,259</w:t>
            </w:r>
          </w:p>
        </w:tc>
        <w:tc>
          <w:tcPr>
            <w:tcW w:w="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5,293</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nonperforming loans and performing TDRs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18,524</w:t>
            </w:r>
          </w:p>
        </w:tc>
        <w:tc>
          <w:tcPr>
            <w:tcW w:w="4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06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6"/>
                <w:szCs w:val="16"/>
                <w:color w:val="auto"/>
              </w:rPr>
              <w:t>Percentage of nonperforming loans and performing TDRs to total loans,</w:t>
            </w:r>
          </w:p>
        </w:tc>
        <w:tc>
          <w:tcPr>
            <w:tcW w:w="240" w:type="dxa"/>
            <w:vAlign w:val="bottom"/>
            <w:shd w:val="clear" w:color="auto" w:fill="CFF0FC"/>
          </w:tcPr>
          <w:p>
            <w:pPr>
              <w:spacing w:after="0"/>
              <w:rPr>
                <w:sz w:val="12"/>
                <w:szCs w:val="12"/>
                <w:color w:val="auto"/>
              </w:rPr>
            </w:pPr>
          </w:p>
        </w:tc>
        <w:tc>
          <w:tcPr>
            <w:tcW w:w="196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0.22 %</w:t>
            </w:r>
          </w:p>
        </w:tc>
        <w:tc>
          <w:tcPr>
            <w:tcW w:w="160" w:type="dxa"/>
            <w:vAlign w:val="bottom"/>
            <w:shd w:val="clear" w:color="auto" w:fill="CFF0FC"/>
          </w:tcPr>
          <w:p>
            <w:pPr>
              <w:spacing w:after="0"/>
              <w:rPr>
                <w:sz w:val="12"/>
                <w:szCs w:val="12"/>
                <w:color w:val="auto"/>
              </w:rPr>
            </w:pPr>
          </w:p>
        </w:tc>
        <w:tc>
          <w:tcPr>
            <w:tcW w:w="182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0.15 %</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at amortized cost</w:t>
            </w:r>
          </w:p>
        </w:tc>
        <w:tc>
          <w:tcPr>
            <w:tcW w:w="240" w:type="dxa"/>
            <w:vAlign w:val="bottom"/>
            <w:shd w:val="clear" w:color="auto" w:fill="CFF0FC"/>
          </w:tcPr>
          <w:p>
            <w:pPr>
              <w:spacing w:after="0"/>
              <w:rPr>
                <w:sz w:val="18"/>
                <w:szCs w:val="18"/>
                <w:color w:val="auto"/>
              </w:rPr>
            </w:pPr>
          </w:p>
        </w:tc>
        <w:tc>
          <w:tcPr>
            <w:tcW w:w="1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loans, at amortized cost,</w:t>
            </w:r>
          </w:p>
        </w:tc>
        <w:tc>
          <w:tcPr>
            <w:tcW w:w="240" w:type="dxa"/>
            <w:vAlign w:val="bottom"/>
          </w:tcPr>
          <w:p>
            <w:pPr>
              <w:spacing w:after="0"/>
              <w:rPr>
                <w:sz w:val="24"/>
                <w:szCs w:val="24"/>
                <w:color w:val="auto"/>
              </w:rPr>
            </w:pPr>
          </w:p>
        </w:tc>
        <w:tc>
          <w:tcPr>
            <w:tcW w:w="19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0.15 %</w:t>
            </w:r>
          </w:p>
        </w:tc>
        <w:tc>
          <w:tcPr>
            <w:tcW w:w="160" w:type="dxa"/>
            <w:vAlign w:val="bottom"/>
          </w:tcPr>
          <w:p>
            <w:pPr>
              <w:spacing w:after="0"/>
              <w:rPr>
                <w:sz w:val="24"/>
                <w:szCs w:val="24"/>
                <w:color w:val="auto"/>
              </w:rPr>
            </w:pPr>
          </w:p>
        </w:tc>
        <w:tc>
          <w:tcPr>
            <w:tcW w:w="1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213"/>
        </w:trPr>
        <w:tc>
          <w:tcPr>
            <w:tcW w:w="7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OREO</w:t>
            </w:r>
          </w:p>
        </w:tc>
        <w:tc>
          <w:tcPr>
            <w:tcW w:w="240" w:type="dxa"/>
            <w:vAlign w:val="bottom"/>
          </w:tcPr>
          <w:p>
            <w:pPr>
              <w:spacing w:after="0"/>
              <w:rPr>
                <w:sz w:val="18"/>
                <w:szCs w:val="18"/>
                <w:color w:val="auto"/>
              </w:rPr>
            </w:pPr>
          </w:p>
        </w:tc>
        <w:tc>
          <w:tcPr>
            <w:tcW w:w="1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Percentage of nonperforming assets to total assets</w:t>
            </w:r>
          </w:p>
        </w:tc>
        <w:tc>
          <w:tcPr>
            <w:tcW w:w="24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0.08 %</w:t>
            </w:r>
          </w:p>
        </w:tc>
        <w:tc>
          <w:tcPr>
            <w:tcW w:w="16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-1687830</wp:posOffset>
            </wp:positionV>
            <wp:extent cx="13716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-1687830</wp:posOffset>
            </wp:positionV>
            <wp:extent cx="13716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-1422400</wp:posOffset>
            </wp:positionV>
            <wp:extent cx="13716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-1422400</wp:posOffset>
            </wp:positionV>
            <wp:extent cx="13716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-1130935</wp:posOffset>
            </wp:positionV>
            <wp:extent cx="13716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-1113790</wp:posOffset>
            </wp:positionV>
            <wp:extent cx="137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-1130935</wp:posOffset>
            </wp:positionV>
            <wp:extent cx="1371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-1113790</wp:posOffset>
            </wp:positionV>
            <wp:extent cx="13716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 (“TDRs”)</w:t>
      </w:r>
    </w:p>
    <w:p>
      <w:pPr>
        <w:spacing w:after="0" w:line="216" w:lineRule="exact"/>
        <w:rPr>
          <w:sz w:val="20"/>
          <w:szCs w:val="20"/>
          <w:color w:val="auto"/>
        </w:rPr>
      </w:pPr>
    </w:p>
    <w:p>
      <w:pPr>
        <w:ind w:right="60" w:firstLine="469"/>
        <w:spacing w:after="0" w:line="246" w:lineRule="auto"/>
        <w:rPr>
          <w:sz w:val="20"/>
          <w:szCs w:val="20"/>
          <w:color w:val="auto"/>
        </w:rPr>
      </w:pPr>
      <w:r>
        <w:rPr>
          <w:rFonts w:ascii="Times New Roman" w:cs="Times New Roman" w:eastAsia="Times New Roman" w:hAnsi="Times New Roman"/>
          <w:sz w:val="18"/>
          <w:szCs w:val="18"/>
          <w:color w:val="auto"/>
        </w:rPr>
        <w:t>Total TDRs were $5.3 million at March 31, 2022, compared to $5.3 million at December 31, 2021. At March 31,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provides a summary of TDRs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5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13"/>
                <w:szCs w:val="13"/>
                <w:color w:val="auto"/>
              </w:rPr>
            </w:pPr>
          </w:p>
        </w:tc>
        <w:tc>
          <w:tcPr>
            <w:tcW w:w="1140" w:type="dxa"/>
            <w:vAlign w:val="bottom"/>
          </w:tcPr>
          <w:p>
            <w:pPr>
              <w:jc w:val="center"/>
              <w:ind w:left="53"/>
              <w:spacing w:after="0" w:line="16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13"/>
                <w:szCs w:val="13"/>
                <w:color w:val="auto"/>
              </w:rPr>
            </w:pPr>
          </w:p>
        </w:tc>
        <w:tc>
          <w:tcPr>
            <w:tcW w:w="1300" w:type="dxa"/>
            <w:vAlign w:val="bottom"/>
          </w:tcPr>
          <w:p>
            <w:pPr>
              <w:jc w:val="right"/>
              <w:ind w:right="170"/>
              <w:spacing w:after="0" w:line="16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1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Performing TDRs: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SFR mortgage</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performing TDRs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TDRs: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SBA</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SFR mortgage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nonperforming TDRs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TDRs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6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5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-2039620</wp:posOffset>
            </wp:positionV>
            <wp:extent cx="5143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-2039620</wp:posOffset>
            </wp:positionV>
            <wp:extent cx="514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-2039620</wp:posOffset>
            </wp:positionV>
            <wp:extent cx="431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-2039620</wp:posOffset>
            </wp:positionV>
            <wp:extent cx="4318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-796290</wp:posOffset>
            </wp:positionV>
            <wp:extent cx="514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-796290</wp:posOffset>
            </wp:positionV>
            <wp:extent cx="514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-796290</wp:posOffset>
            </wp:positionV>
            <wp:extent cx="431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-796290</wp:posOffset>
            </wp:positionV>
            <wp:extent cx="431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-504825</wp:posOffset>
            </wp:positionV>
            <wp:extent cx="514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-488315</wp:posOffset>
            </wp:positionV>
            <wp:extent cx="5143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-504825</wp:posOffset>
            </wp:positionV>
            <wp:extent cx="514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-488315</wp:posOffset>
            </wp:positionV>
            <wp:extent cx="5143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-504825</wp:posOffset>
            </wp:positionV>
            <wp:extent cx="4318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-488315</wp:posOffset>
            </wp:positionV>
            <wp:extent cx="4318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-504825</wp:posOffset>
            </wp:positionV>
            <wp:extent cx="4318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-488315</wp:posOffset>
            </wp:positionV>
            <wp:extent cx="4318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jc w:val="both"/>
        <w:ind w:right="160" w:firstLine="469"/>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there was no ACL allocated to TDRs. Impairment amounts identified are typically charged off against the allowance at the time the loan is considered uncollectible. There were no charge-offs on TDRs for the three months ended March 31, 2022 and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 and Delinquencies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table below provides trends in our nonperforming assets and delinquencies as of the dates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30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320" w:type="dxa"/>
            <w:vAlign w:val="bottom"/>
            <w:gridSpan w:val="2"/>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w w:val="89"/>
              </w:rPr>
              <w:t>(Dollars 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640" w:type="dxa"/>
            <w:vAlign w:val="bottom"/>
            <w:gridSpan w:val="4"/>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Nonperforming loans:</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3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240" w:type="dxa"/>
            <w:vAlign w:val="bottom"/>
          </w:tcPr>
          <w:p>
            <w:pPr>
              <w:spacing w:after="0"/>
              <w:rPr>
                <w:sz w:val="15"/>
                <w:szCs w:val="15"/>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w:t>
            </w:r>
          </w:p>
        </w:tc>
        <w:tc>
          <w:tcPr>
            <w:tcW w:w="36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SBA - PPP</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64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13,265</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6,893</w:t>
            </w:r>
          </w:p>
        </w:tc>
        <w:tc>
          <w:tcPr>
            <w:tcW w:w="24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8,446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8,471</w:t>
            </w:r>
          </w:p>
        </w:tc>
        <w:tc>
          <w:tcPr>
            <w:tcW w:w="36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13,769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640" w:type="dxa"/>
            <w:vAlign w:val="bottom"/>
            <w:gridSpan w:val="4"/>
            <w:shd w:val="clear" w:color="auto" w:fill="CFF0FC"/>
          </w:tcPr>
          <w:p>
            <w:pPr>
              <w:ind w:left="3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0.15</w:t>
            </w:r>
          </w:p>
        </w:tc>
        <w:tc>
          <w:tcPr>
            <w:tcW w:w="3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0.09</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0.11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0.10</w:t>
            </w: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0.17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Past due 30-89 days: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Dairy &amp; livestock and agribusiness</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64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Consumer and other loans</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2,622</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2,457</w:t>
            </w:r>
          </w:p>
        </w:tc>
        <w:tc>
          <w:tcPr>
            <w:tcW w:w="240" w:type="dxa"/>
            <w:vAlign w:val="bottom"/>
          </w:tcPr>
          <w:p>
            <w:pPr>
              <w:spacing w:after="0"/>
              <w:rPr>
                <w:sz w:val="14"/>
                <w:szCs w:val="14"/>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415</w:t>
            </w:r>
          </w:p>
        </w:tc>
        <w:tc>
          <w:tcPr>
            <w:tcW w:w="36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3640" w:type="dxa"/>
            <w:vAlign w:val="bottom"/>
            <w:gridSpan w:val="4"/>
            <w:shd w:val="clear" w:color="auto" w:fill="CFF0FC"/>
          </w:tcPr>
          <w:p>
            <w:pPr>
              <w:ind w:left="3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3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2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0.01</w:t>
            </w:r>
          </w:p>
        </w:tc>
        <w:tc>
          <w:tcPr>
            <w:tcW w:w="3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0.02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OREO:</w:t>
            </w:r>
          </w:p>
        </w:tc>
        <w:tc>
          <w:tcPr>
            <w:tcW w:w="31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4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SBA</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364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SFR mortgage</w:t>
            </w: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w w:val="83"/>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4"/>
                <w:szCs w:val="14"/>
                <w:color w:val="auto"/>
              </w:rPr>
            </w:pPr>
          </w:p>
        </w:tc>
        <w:tc>
          <w:tcPr>
            <w:tcW w:w="280" w:type="dxa"/>
            <w:vAlign w:val="bottom"/>
            <w:tcBorders>
              <w:bottom w:val="single" w:sz="8" w:color="auto"/>
            </w:tcBorders>
            <w:gridSpan w:val="2"/>
          </w:tcPr>
          <w:p>
            <w:pPr>
              <w:ind w:left="180"/>
              <w:spacing w:after="0" w:line="169" w:lineRule="exact"/>
              <w:rPr>
                <w:sz w:val="20"/>
                <w:szCs w:val="20"/>
                <w:color w:val="auto"/>
              </w:rPr>
            </w:pPr>
            <w:r>
              <w:rPr>
                <w:rFonts w:ascii="Calibri" w:cs="Calibri" w:eastAsia="Calibri" w:hAnsi="Calibri"/>
                <w:sz w:val="14"/>
                <w:szCs w:val="14"/>
                <w:b w:val="1"/>
                <w:bCs w:val="1"/>
                <w:color w:val="auto"/>
              </w:rPr>
              <w:t>$</w:t>
            </w:r>
          </w:p>
        </w:tc>
        <w:tc>
          <w:tcPr>
            <w:tcW w:w="10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28"/>
              <w:spacing w:after="0" w:line="169" w:lineRule="exact"/>
              <w:rPr>
                <w:sz w:val="20"/>
                <w:szCs w:val="20"/>
                <w:color w:val="auto"/>
              </w:rPr>
            </w:pPr>
            <w:r>
              <w:rPr>
                <w:rFonts w:ascii="Calibri" w:cs="Calibri" w:eastAsia="Calibri" w:hAnsi="Calibri"/>
                <w:sz w:val="14"/>
                <w:szCs w:val="14"/>
                <w:b w:val="1"/>
                <w:bCs w:val="1"/>
                <w:color w:val="auto"/>
              </w:rPr>
              <w:t>$</w:t>
            </w:r>
          </w:p>
        </w:tc>
        <w:tc>
          <w:tcPr>
            <w:tcW w:w="960" w:type="dxa"/>
            <w:vAlign w:val="bottom"/>
            <w:tcBorders>
              <w:bottom w:val="single" w:sz="8" w:color="auto"/>
            </w:tcBorders>
          </w:tcPr>
          <w:p>
            <w:pPr>
              <w:jc w:val="right"/>
              <w:spacing w:after="0" w:line="169" w:lineRule="exact"/>
              <w:rPr>
                <w:sz w:val="20"/>
                <w:szCs w:val="20"/>
                <w:color w:val="auto"/>
              </w:rPr>
            </w:pPr>
            <w:r>
              <w:rPr>
                <w:rFonts w:ascii="Calibri" w:cs="Calibri" w:eastAsia="Calibri" w:hAnsi="Calibri"/>
                <w:sz w:val="14"/>
                <w:szCs w:val="14"/>
                <w:b w:val="1"/>
                <w:bCs w:val="1"/>
                <w:color w:val="auto"/>
              </w:rPr>
              <w:t>-</w:t>
            </w:r>
          </w:p>
        </w:tc>
        <w:tc>
          <w:tcPr>
            <w:tcW w:w="360" w:type="dxa"/>
            <w:vAlign w:val="bottom"/>
          </w:tcPr>
          <w:p>
            <w:pPr>
              <w:spacing w:after="0"/>
              <w:rPr>
                <w:sz w:val="14"/>
                <w:szCs w:val="1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1,575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160" w:type="dxa"/>
            <w:vAlign w:val="bottom"/>
            <w:gridSpan w:val="3"/>
            <w:shd w:val="clear" w:color="auto" w:fill="CFF0FC"/>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Total nonperforming, past due,</w:t>
            </w: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15,887</w:t>
            </w:r>
          </w:p>
        </w:tc>
        <w:tc>
          <w:tcPr>
            <w:tcW w:w="3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9,350</w:t>
            </w:r>
          </w:p>
        </w:tc>
        <w:tc>
          <w:tcPr>
            <w:tcW w:w="240" w:type="dxa"/>
            <w:vAlign w:val="bottom"/>
            <w:shd w:val="clear" w:color="auto" w:fill="CFF0FC"/>
          </w:tcPr>
          <w:p>
            <w:pPr>
              <w:spacing w:after="0"/>
              <w:rPr>
                <w:sz w:val="11"/>
                <w:szCs w:val="11"/>
                <w:color w:val="auto"/>
              </w:rPr>
            </w:pPr>
          </w:p>
        </w:tc>
        <w:tc>
          <w:tcPr>
            <w:tcW w:w="280" w:type="dxa"/>
            <w:vAlign w:val="bottom"/>
            <w:gridSpan w:val="2"/>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9,568</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8,886</w:t>
            </w:r>
          </w:p>
        </w:tc>
        <w:tc>
          <w:tcPr>
            <w:tcW w:w="36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17,019</w:t>
            </w: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3160" w:type="dxa"/>
            <w:vAlign w:val="bottom"/>
            <w:tcBorders>
              <w:bottom w:val="single" w:sz="8" w:color="CFF0FC"/>
            </w:tcBorders>
            <w:gridSpan w:val="3"/>
            <w:shd w:val="clear" w:color="auto" w:fill="CFF0FC"/>
          </w:tcPr>
          <w:p>
            <w:pPr>
              <w:ind w:left="160"/>
              <w:spacing w:after="0" w:line="127" w:lineRule="exact"/>
              <w:rPr>
                <w:sz w:val="20"/>
                <w:szCs w:val="20"/>
                <w:color w:val="auto"/>
              </w:rPr>
            </w:pPr>
            <w:r>
              <w:rPr>
                <w:rFonts w:ascii="Times New Roman" w:cs="Times New Roman" w:eastAsia="Times New Roman" w:hAnsi="Times New Roman"/>
                <w:sz w:val="14"/>
                <w:szCs w:val="14"/>
                <w:b w:val="1"/>
                <w:bCs w:val="1"/>
                <w:color w:val="auto"/>
              </w:rPr>
              <w:t>and OREO</w:t>
            </w: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gridSpan w:val="2"/>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960" w:type="dxa"/>
            <w:vAlign w:val="bottom"/>
            <w:tcBorders>
              <w:bottom w:val="single" w:sz="8" w:color="auto"/>
            </w:tcBorders>
            <w:vMerge w:val="continue"/>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 loans</w:t>
            </w:r>
          </w:p>
        </w:tc>
        <w:tc>
          <w:tcPr>
            <w:tcW w:w="1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0.18 %</w:t>
            </w:r>
          </w:p>
        </w:tc>
        <w:tc>
          <w:tcPr>
            <w:tcW w:w="12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alibri" w:cs="Calibri" w:eastAsia="Calibri" w:hAnsi="Calibri"/>
                <w:sz w:val="14"/>
                <w:szCs w:val="14"/>
                <w:b w:val="1"/>
                <w:bCs w:val="1"/>
                <w:color w:val="auto"/>
              </w:rPr>
              <w:t>0.12 %</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28"/>
              <w:spacing w:after="0"/>
              <w:rPr>
                <w:sz w:val="20"/>
                <w:szCs w:val="20"/>
                <w:color w:val="auto"/>
              </w:rPr>
            </w:pPr>
            <w:r>
              <w:rPr>
                <w:rFonts w:ascii="Calibri" w:cs="Calibri" w:eastAsia="Calibri" w:hAnsi="Calibri"/>
                <w:sz w:val="14"/>
                <w:szCs w:val="14"/>
                <w:b w:val="1"/>
                <w:bCs w:val="1"/>
                <w:color w:val="auto"/>
              </w:rPr>
              <w:t>0.12 %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168"/>
              <w:spacing w:after="0"/>
              <w:rPr>
                <w:sz w:val="20"/>
                <w:szCs w:val="20"/>
                <w:color w:val="auto"/>
              </w:rPr>
            </w:pPr>
            <w:r>
              <w:rPr>
                <w:rFonts w:ascii="Calibri" w:cs="Calibri" w:eastAsia="Calibri" w:hAnsi="Calibri"/>
                <w:sz w:val="14"/>
                <w:szCs w:val="14"/>
                <w:b w:val="1"/>
                <w:bCs w:val="1"/>
                <w:color w:val="auto"/>
              </w:rPr>
              <w:t>0.11 %</w:t>
            </w:r>
          </w:p>
        </w:tc>
        <w:tc>
          <w:tcPr>
            <w:tcW w:w="1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0.21 %</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Classified Loans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64,108</w:t>
            </w: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56,102</w:t>
            </w:r>
          </w:p>
        </w:tc>
        <w:tc>
          <w:tcPr>
            <w:tcW w:w="2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49,755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49,044</w:t>
            </w: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69,710</w:t>
            </w: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-2708275</wp:posOffset>
            </wp:positionV>
            <wp:extent cx="12890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-2708275</wp:posOffset>
            </wp:positionV>
            <wp:extent cx="14541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-2708275</wp:posOffset>
            </wp:positionV>
            <wp:extent cx="13716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-2708275</wp:posOffset>
            </wp:positionV>
            <wp:extent cx="13716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-2708275</wp:posOffset>
            </wp:positionV>
            <wp:extent cx="12001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-1464945</wp:posOffset>
            </wp:positionV>
            <wp:extent cx="1289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-1464945</wp:posOffset>
            </wp:positionV>
            <wp:extent cx="14541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-1464945</wp:posOffset>
            </wp:positionV>
            <wp:extent cx="1371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-1464945</wp:posOffset>
            </wp:positionV>
            <wp:extent cx="1371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-1464945</wp:posOffset>
            </wp:positionV>
            <wp:extent cx="12001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-668020</wp:posOffset>
            </wp:positionV>
            <wp:extent cx="12890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-668020</wp:posOffset>
            </wp:positionV>
            <wp:extent cx="14541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-668020</wp:posOffset>
            </wp:positionV>
            <wp:extent cx="13716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-668020</wp:posOffset>
            </wp:positionV>
            <wp:extent cx="13716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-668020</wp:posOffset>
            </wp:positionV>
            <wp:extent cx="12001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-359410</wp:posOffset>
            </wp:positionV>
            <wp:extent cx="12890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-342265</wp:posOffset>
            </wp:positionV>
            <wp:extent cx="12890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-359410</wp:posOffset>
            </wp:positionV>
            <wp:extent cx="14541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-342265</wp:posOffset>
            </wp:positionV>
            <wp:extent cx="14541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-359410</wp:posOffset>
            </wp:positionV>
            <wp:extent cx="13716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-342265</wp:posOffset>
            </wp:positionV>
            <wp:extent cx="13716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-359410</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-342265</wp:posOffset>
            </wp:positionV>
            <wp:extent cx="13716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-359410</wp:posOffset>
            </wp:positionV>
            <wp:extent cx="12001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-342265</wp:posOffset>
            </wp:positionV>
            <wp:extent cx="12001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67" w:lineRule="exact"/>
        <w:rPr>
          <w:sz w:val="20"/>
          <w:szCs w:val="20"/>
          <w:color w:val="auto"/>
        </w:rPr>
      </w:pPr>
    </w:p>
    <w:p>
      <w:pPr>
        <w:ind w:right="80" w:firstLine="469"/>
        <w:spacing w:after="0" w:line="243" w:lineRule="auto"/>
        <w:rPr>
          <w:sz w:val="20"/>
          <w:szCs w:val="20"/>
          <w:color w:val="auto"/>
        </w:rPr>
      </w:pPr>
      <w:r>
        <w:rPr>
          <w:rFonts w:ascii="Times New Roman" w:cs="Times New Roman" w:eastAsia="Times New Roman" w:hAnsi="Times New Roman"/>
          <w:sz w:val="18"/>
          <w:szCs w:val="18"/>
          <w:color w:val="auto"/>
        </w:rPr>
        <w:t>Nonperforming loans, defined as nonaccrual loans, nonperforming TDR loans and loans past due 90 days or more and still accruing interest, were $13.3 million at March 31, 2022, or 0.15% of total loans. This compares to nonperforming loans of $6.9 million, or 0.09% of total loans, at December 31, 2021 and $13.8 million, or 0.17% of total loans, at March 31, 2021. Of the $13.3 million in nonperforming loans, $4.0 million were commercial real estate loans acquired from Suncrest. Classified loans are loans that are graded “substandard” or worse. Classified loans of $64.1 million increased $8.0 million from December 31, 2021. Total classified loans at March 31, 2022 included $17.5 million of classified loans acquired from Suncrest, of which $10.9 million were commercial real estate loans. Excluding the $17.5 million of acquired classified Suncrest loans, classified loans decreased $9.5 million quarter-over-quarter and included a $10.5 million decrease in classified commercial real estate loans and a $1.6 million decrease in classified commercial and industrial loans, partially offset by a $2.8 million increase in classified dairy &amp; livestock and agribusiness loans.</w:t>
      </w:r>
    </w:p>
    <w:p>
      <w:pPr>
        <w:spacing w:after="0" w:line="186"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we had no OREO properties, compared with one OREO property with a carrying value of $1.6 million at March 31, 2021. There were no additions to OREO properties for the three months ended March 31, 2022.</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02" w:lineRule="exact"/>
        <w:rPr>
          <w:sz w:val="20"/>
          <w:szCs w:val="20"/>
          <w:color w:val="auto"/>
        </w:rPr>
      </w:pPr>
    </w:p>
    <w:p>
      <w:pPr>
        <w:ind w:right="40" w:firstLine="469"/>
        <w:spacing w:after="0" w:line="243" w:lineRule="auto"/>
        <w:rPr>
          <w:sz w:val="20"/>
          <w:szCs w:val="20"/>
          <w:color w:val="auto"/>
        </w:rPr>
      </w:pPr>
      <w:r>
        <w:rPr>
          <w:rFonts w:ascii="Times New Roman" w:cs="Times New Roman" w:eastAsia="Times New Roman" w:hAnsi="Times New Roman"/>
          <w:sz w:val="18"/>
          <w:szCs w:val="18"/>
          <w:color w:val="auto"/>
        </w:rPr>
        <w:t>We adopted CECL on January 1, 2020, which replaces the “incurred loss” approach with an “expected loss” model over the life of the loan, as further described in Note 3—</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contained in our Annual Report on Form 10-K for the year ended December 31, 2021. The allowance for credit losses totaled $76.1 million as of March 31, 2022, compared to $65.0 million as of December 31, 2021 and $71.8 million as of March 31, 2021. Our allowance for credit losses at March 31, 2022 was 0.89%, or 0.90% of total loans when excluding the $121.2 million in PPP loans. At March 31, 2021, the ACL was 0.97% of total loans, when PPP loans are excluded. The ACL was increased by $11.1 million in 2022, including $8.6 million for the acquired Suncrest PCD loans and a $2.5 million provision for credit losses. The $2.5 million provision for credit losses for the first quarter of 2022 was the net result of the January 7, 2022 provision for credit losses recorded for the acquisition of the Suncrest non-PCD loans and a $2.4 million recapture of provision due to the net impact of improvements in the underlying loan characteristics of certain classified loans and the impact of changes in the economic forecast of certain macroeconomic variables compared to the end of 2021. Net charge-offs were $5,000 for the three months ended March 31, 2022, which compares to $2.4 million in net charge-offs for the same period of 2021.</w:t>
      </w:r>
    </w:p>
    <w:p>
      <w:pPr>
        <w:spacing w:after="0" w:line="186" w:lineRule="exact"/>
        <w:rPr>
          <w:sz w:val="20"/>
          <w:szCs w:val="20"/>
          <w:color w:val="auto"/>
        </w:rPr>
      </w:pPr>
    </w:p>
    <w:p>
      <w:pPr>
        <w:ind w:firstLine="469"/>
        <w:spacing w:after="0" w:line="241" w:lineRule="auto"/>
        <w:rPr>
          <w:sz w:val="20"/>
          <w:szCs w:val="20"/>
          <w:color w:val="auto"/>
        </w:rPr>
      </w:pPr>
      <w:r>
        <w:rPr>
          <w:rFonts w:ascii="Times New Roman" w:cs="Times New Roman" w:eastAsia="Times New Roman" w:hAnsi="Times New Roman"/>
          <w:sz w:val="18"/>
          <w:szCs w:val="18"/>
          <w:color w:val="auto"/>
        </w:rPr>
        <w:t>The allowance for credit losses as of March 31, 2022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90" w:lineRule="exact"/>
        <w:rPr>
          <w:sz w:val="20"/>
          <w:szCs w:val="20"/>
          <w:color w:val="auto"/>
        </w:rPr>
      </w:pPr>
    </w:p>
    <w:p>
      <w:pPr>
        <w:ind w:right="80" w:firstLine="514"/>
        <w:spacing w:after="0" w:line="243" w:lineRule="auto"/>
        <w:rPr>
          <w:sz w:val="20"/>
          <w:szCs w:val="20"/>
          <w:color w:val="auto"/>
        </w:rPr>
      </w:pPr>
      <w:r>
        <w:rPr>
          <w:rFonts w:ascii="Times New Roman" w:cs="Times New Roman" w:eastAsia="Times New Roman" w:hAnsi="Times New Roman"/>
          <w:sz w:val="18"/>
          <w:szCs w:val="18"/>
          <w:color w:val="auto"/>
        </w:rPr>
        <w:t>Our economic forecast continues to be a blend of multiple forecasts produced by Moody’s. The U.S. economic forecasts included in our forecast comprise a baseline forecast, as well as multiple downside forecasts. The baseline forecast continues to represent the largest weighting in our multi-weighted forecast scenario. Our weighted forecast at March 31, 2022 assumes GDP will increase by 2.6% in 2022, 1.3% for 2023 and then grow by 3% in 2024. The unemployment rate is forecasted to be 4.3% in 2022, 5.2% in 2023 and then decline to 4.7% in 2024. As of December 31, 2021, our weighted forecast assumed GDP would increase by 2.7% in 2022, 2.0% for 2023 and then grow by 3% in 2024. The forecast at the end of 2021 expected the unemployment rate to be 5.2% in 2022, 5.4% in 2023 and then decline to 4.8% in 2024. Management believes that the ACL was appropriate at March 31, 2022 and December 31, 2021. As there continues to be a degree of uncertainty around the epidemiological assumptions and impact of government responses to the COVID-19 pandemic that impact our economic forecast, as well as inflationary pressures and changes in monetary policies, no assurance can be given that economic conditions that adversely affect the Company’s service areas or other circumstances will not be reflected in an increased allowance for credit losses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3" w:name="page54"/>
    <w:bookmarkEnd w:id="53"/>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charge-offs and recoveries by type, the provision for credit losses on loans, and the resulting allowance for credit losses for the periods presented.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As of and For the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7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7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r>
      <w:tr>
        <w:trPr>
          <w:trHeight w:val="208"/>
        </w:trPr>
        <w:tc>
          <w:tcPr>
            <w:tcW w:w="7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8"/>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65,019</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93,692</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tcPr>
          <w:p>
            <w:pPr>
              <w:spacing w:after="0"/>
              <w:rPr>
                <w:sz w:val="18"/>
                <w:szCs w:val="18"/>
                <w:color w:val="auto"/>
              </w:rPr>
            </w:pPr>
          </w:p>
        </w:tc>
        <w:tc>
          <w:tcPr>
            <w:tcW w:w="164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(15 )</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(2,475 )</w:t>
            </w: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(1 )</w:t>
            </w: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charge-offs</w:t>
            </w:r>
          </w:p>
        </w:tc>
        <w:tc>
          <w:tcPr>
            <w:tcW w:w="340" w:type="dxa"/>
            <w:vAlign w:val="bottom"/>
          </w:tcPr>
          <w:p>
            <w:pPr>
              <w:spacing w:after="0"/>
              <w:rPr>
                <w:sz w:val="18"/>
                <w:szCs w:val="18"/>
                <w:color w:val="auto"/>
              </w:rPr>
            </w:pPr>
          </w:p>
        </w:tc>
        <w:tc>
          <w:tcPr>
            <w:tcW w:w="164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(16 )</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(2,475 )</w:t>
            </w: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Construction</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SBA</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Dairy &amp; livestock and agribusiness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SFR mortgage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and other loans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0"/>
        </w:trPr>
        <w:tc>
          <w:tcPr>
            <w:tcW w:w="7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recoveries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340" w:type="dxa"/>
            <w:vAlign w:val="bottom"/>
          </w:tcPr>
          <w:p>
            <w:pPr>
              <w:spacing w:after="0"/>
              <w:rPr>
                <w:sz w:val="18"/>
                <w:szCs w:val="18"/>
                <w:color w:val="auto"/>
              </w:rPr>
            </w:pPr>
          </w:p>
        </w:tc>
        <w:tc>
          <w:tcPr>
            <w:tcW w:w="164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(5 )</w:t>
            </w:r>
          </w:p>
        </w:tc>
        <w:tc>
          <w:tcPr>
            <w:tcW w:w="5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(2,387 )</w:t>
            </w: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Initial ACL for PCD loans at acquisition</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recorded at acquisition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(Recapture of) provision for credit losses</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(2,432 )</w:t>
            </w: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(19,500 )</w:t>
            </w:r>
          </w:p>
        </w:tc>
      </w:tr>
      <w:tr>
        <w:trPr>
          <w:trHeight w:val="210"/>
        </w:trPr>
        <w:tc>
          <w:tcPr>
            <w:tcW w:w="7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76,119</w:t>
            </w:r>
          </w:p>
        </w:tc>
        <w:tc>
          <w:tcPr>
            <w:tcW w:w="4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71,805</w:t>
            </w:r>
          </w:p>
        </w:tc>
        <w:tc>
          <w:tcPr>
            <w:tcW w:w="220" w:type="dxa"/>
            <w:vAlign w:val="bottom"/>
            <w:tcBorders>
              <w:top w:val="single" w:sz="8" w:color="CFF0FC"/>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reserve for unfunded loan commitments:</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60" w:type="dxa"/>
            <w:vAlign w:val="bottom"/>
          </w:tcPr>
          <w:p>
            <w:pPr>
              <w:spacing w:after="0"/>
              <w:rPr>
                <w:sz w:val="18"/>
                <w:szCs w:val="18"/>
                <w:color w:val="auto"/>
              </w:rPr>
            </w:pPr>
          </w:p>
        </w:tc>
        <w:tc>
          <w:tcPr>
            <w:tcW w:w="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(Recapture of) provision for unfunded loan commitments</w:t>
            </w: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 for unfunded loan commitments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460" w:type="dxa"/>
            <w:vAlign w:val="bottom"/>
          </w:tcPr>
          <w:p>
            <w:pPr>
              <w:spacing w:after="0"/>
              <w:rPr>
                <w:sz w:val="18"/>
                <w:szCs w:val="18"/>
                <w:color w:val="auto"/>
              </w:rPr>
            </w:pPr>
          </w:p>
        </w:tc>
        <w:tc>
          <w:tcPr>
            <w:tcW w:w="5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7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71"/>
        </w:trPr>
        <w:tc>
          <w:tcPr>
            <w:tcW w:w="754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Reserve for unfunded loan commitments to total unfunded loan</w:t>
            </w: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r>
      <w:tr>
        <w:trPr>
          <w:trHeight w:val="234"/>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commitments</w:t>
            </w:r>
          </w:p>
        </w:tc>
        <w:tc>
          <w:tcPr>
            <w:tcW w:w="3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0.44 %</w:t>
            </w:r>
          </w:p>
        </w:tc>
        <w:tc>
          <w:tcPr>
            <w:tcW w:w="5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0.48 %</w:t>
            </w:r>
          </w:p>
        </w:tc>
      </w:tr>
      <w:tr>
        <w:trPr>
          <w:trHeight w:val="43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total loans at end of period (1)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8,591,684</w:t>
            </w:r>
          </w:p>
        </w:tc>
        <w:tc>
          <w:tcPr>
            <w:tcW w:w="460" w:type="dxa"/>
            <w:vAlign w:val="bottom"/>
          </w:tcPr>
          <w:p>
            <w:pPr>
              <w:spacing w:after="0"/>
              <w:rPr>
                <w:sz w:val="24"/>
                <w:szCs w:val="24"/>
                <w:color w:val="auto"/>
              </w:rPr>
            </w:pPr>
          </w:p>
        </w:tc>
        <w:tc>
          <w:tcPr>
            <w:tcW w:w="52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8,293,057</w:t>
            </w:r>
          </w:p>
        </w:tc>
        <w:tc>
          <w:tcPr>
            <w:tcW w:w="220" w:type="dxa"/>
            <w:vAlign w:val="bottom"/>
          </w:tcPr>
          <w:p>
            <w:pPr>
              <w:spacing w:after="0"/>
              <w:rPr>
                <w:sz w:val="24"/>
                <w:szCs w:val="24"/>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total loans outstanding (1)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8,500,436</w:t>
            </w:r>
          </w:p>
        </w:tc>
        <w:tc>
          <w:tcPr>
            <w:tcW w:w="460" w:type="dxa"/>
            <w:vAlign w:val="bottom"/>
            <w:shd w:val="clear" w:color="auto" w:fill="CFF0FC"/>
          </w:tcPr>
          <w:p>
            <w:pPr>
              <w:spacing w:after="0"/>
              <w:rPr>
                <w:sz w:val="18"/>
                <w:szCs w:val="18"/>
                <w:color w:val="auto"/>
              </w:rPr>
            </w:pPr>
          </w:p>
        </w:tc>
        <w:tc>
          <w:tcPr>
            <w:tcW w:w="520" w:type="dxa"/>
            <w:vAlign w:val="bottom"/>
            <w:shd w:val="clear" w:color="auto" w:fill="CFF0FC"/>
          </w:tcPr>
          <w:p>
            <w:pPr>
              <w:jc w:val="center"/>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8,270,282</w:t>
            </w:r>
          </w:p>
        </w:tc>
        <w:tc>
          <w:tcPr>
            <w:tcW w:w="220" w:type="dxa"/>
            <w:vAlign w:val="bottom"/>
            <w:shd w:val="clear" w:color="auto" w:fill="CFF0FC"/>
          </w:tcPr>
          <w:p>
            <w:pPr>
              <w:spacing w:after="0"/>
              <w:rPr>
                <w:sz w:val="18"/>
                <w:szCs w:val="18"/>
                <w:color w:val="auto"/>
              </w:rPr>
            </w:pPr>
          </w:p>
        </w:tc>
      </w:tr>
      <w:tr>
        <w:trPr>
          <w:trHeight w:val="43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total loans</w:t>
            </w:r>
          </w:p>
        </w:tc>
        <w:tc>
          <w:tcPr>
            <w:tcW w:w="340" w:type="dxa"/>
            <w:vAlign w:val="bottom"/>
          </w:tcPr>
          <w:p>
            <w:pPr>
              <w:spacing w:after="0"/>
              <w:rPr>
                <w:sz w:val="24"/>
                <w:szCs w:val="24"/>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0.000 %</w:t>
            </w:r>
          </w:p>
        </w:tc>
        <w:tc>
          <w:tcPr>
            <w:tcW w:w="5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-0.029 %</w:t>
            </w: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 to total loans at end of period</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0.000 %</w:t>
            </w: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-0.029 %</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average total loans</w:t>
            </w:r>
          </w:p>
        </w:tc>
        <w:tc>
          <w:tcPr>
            <w:tcW w:w="3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0.90 %</w:t>
            </w:r>
          </w:p>
        </w:tc>
        <w:tc>
          <w:tcPr>
            <w:tcW w:w="5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0.87 %</w:t>
            </w: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total loans at end of period</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0.89 %</w:t>
            </w: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0.87 %</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allowance for credit losses</w:t>
            </w:r>
          </w:p>
        </w:tc>
        <w:tc>
          <w:tcPr>
            <w:tcW w:w="340" w:type="dxa"/>
            <w:vAlign w:val="bottom"/>
          </w:tcPr>
          <w:p>
            <w:pPr>
              <w:spacing w:after="0"/>
              <w:rPr>
                <w:sz w:val="18"/>
                <w:szCs w:val="18"/>
                <w:color w:val="auto"/>
              </w:rPr>
            </w:pPr>
          </w:p>
        </w:tc>
        <w:tc>
          <w:tcPr>
            <w:tcW w:w="164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-0.01 %</w:t>
            </w:r>
          </w:p>
        </w:tc>
        <w:tc>
          <w:tcPr>
            <w:tcW w:w="5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-3.32 %</w:t>
            </w: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charge-offs to (recapture of) provision for credit losses</w:t>
            </w:r>
          </w:p>
        </w:tc>
        <w:tc>
          <w:tcPr>
            <w:tcW w:w="34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0.20 %</w:t>
            </w:r>
          </w:p>
        </w:tc>
        <w:tc>
          <w:tcPr>
            <w:tcW w:w="5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-4611370</wp:posOffset>
            </wp:positionV>
            <wp:extent cx="15430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-4611370</wp:posOffset>
            </wp:positionV>
            <wp:extent cx="14541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-3213735</wp:posOffset>
            </wp:positionV>
            <wp:extent cx="15430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-3213735</wp:posOffset>
            </wp:positionV>
            <wp:extent cx="14541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-2656840</wp:posOffset>
            </wp:positionV>
            <wp:extent cx="15430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-2656840</wp:posOffset>
            </wp:positionV>
            <wp:extent cx="14541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-1936750</wp:posOffset>
            </wp:positionV>
            <wp:extent cx="15430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-1936750</wp:posOffset>
            </wp:positionV>
            <wp:extent cx="14541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46" w:lineRule="exact"/>
        <w:rPr>
          <w:sz w:val="20"/>
          <w:szCs w:val="20"/>
          <w:color w:val="auto"/>
        </w:rPr>
      </w:pPr>
    </w:p>
    <w:p>
      <w:pPr>
        <w:ind w:left="1220" w:hanging="463"/>
        <w:spacing w:after="0"/>
        <w:tabs>
          <w:tab w:leader="none" w:pos="1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deferred loan origination fees, costs and discounts (amortized cost).</w:t>
      </w:r>
    </w:p>
    <w:p>
      <w:pPr>
        <w:spacing w:after="0" w:line="200" w:lineRule="exact"/>
        <w:rPr>
          <w:sz w:val="20"/>
          <w:szCs w:val="20"/>
          <w:color w:val="auto"/>
        </w:rPr>
      </w:pPr>
    </w:p>
    <w:p>
      <w:pPr>
        <w:spacing w:after="0" w:line="224" w:lineRule="exact"/>
        <w:rPr>
          <w:sz w:val="20"/>
          <w:szCs w:val="20"/>
          <w:color w:val="auto"/>
        </w:rPr>
      </w:pPr>
    </w:p>
    <w:p>
      <w:pPr>
        <w:ind w:right="20" w:firstLine="469"/>
        <w:spacing w:after="0" w:line="247" w:lineRule="auto"/>
        <w:rPr>
          <w:sz w:val="20"/>
          <w:szCs w:val="20"/>
          <w:color w:val="auto"/>
        </w:rPr>
      </w:pPr>
      <w:r>
        <w:rPr>
          <w:rFonts w:ascii="Times New Roman" w:cs="Times New Roman" w:eastAsia="Times New Roman" w:hAnsi="Times New Roman"/>
          <w:sz w:val="18"/>
          <w:szCs w:val="18"/>
          <w:color w:val="auto"/>
        </w:rPr>
        <w:t>The Bank’s ACL methodology also produced an allowance of $8.0 million for our off-balance sheet credit exposures as of March 31, 2022, compared with $8.0 million as of December 31, 2021 and $9.0 million as of March 31, 2021. The year-over-year decrease included a $1.0 million recapture of provision for unfunded loan commitments in the second quarter of 2021.</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ind w:right="140" w:firstLine="469"/>
        <w:spacing w:after="0" w:line="250" w:lineRule="auto"/>
        <w:rPr>
          <w:sz w:val="20"/>
          <w:szCs w:val="20"/>
          <w:color w:val="auto"/>
        </w:rPr>
      </w:pPr>
      <w:r>
        <w:rPr>
          <w:rFonts w:ascii="Times New Roman" w:cs="Times New Roman" w:eastAsia="Times New Roman" w:hAnsi="Times New Roman"/>
          <w:sz w:val="18"/>
          <w:szCs w:val="18"/>
          <w:color w:val="auto"/>
        </w:rPr>
        <w:t>While we believe that the allowance at March 31, 2022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64" w:lineRule="exact"/>
        <w:rPr>
          <w:sz w:val="20"/>
          <w:szCs w:val="20"/>
          <w:color w:val="auto"/>
        </w:rPr>
      </w:pPr>
    </w:p>
    <w:p>
      <w:pPr>
        <w:ind w:right="200" w:firstLine="469"/>
        <w:spacing w:after="0" w:line="250" w:lineRule="auto"/>
        <w:rPr>
          <w:sz w:val="20"/>
          <w:szCs w:val="20"/>
          <w:color w:val="auto"/>
        </w:rPr>
      </w:pPr>
      <w:r>
        <w:rPr>
          <w:rFonts w:ascii="Times New Roman" w:cs="Times New Roman" w:eastAsia="Times New Roman" w:hAnsi="Times New Roman"/>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Times New Roman" w:cs="Times New Roman" w:eastAsia="Times New Roman" w:hAnsi="Times New Roman"/>
          <w:sz w:val="18"/>
          <w:szCs w:val="18"/>
          <w:i w:val="1"/>
          <w:iCs w:val="1"/>
          <w:color w:val="auto"/>
        </w:rPr>
        <w:t>Risk Management – Credit Risk Management</w:t>
      </w:r>
      <w:r>
        <w:rPr>
          <w:rFonts w:ascii="Times New Roman" w:cs="Times New Roman" w:eastAsia="Times New Roman" w:hAnsi="Times New Roman"/>
          <w:sz w:val="18"/>
          <w:szCs w:val="18"/>
          <w:color w:val="auto"/>
        </w:rPr>
        <w:t>” contained in our Annual Report on Form 10-K for the year ended December 31, 2021.</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primary source of funds to support earning assets (loans and investments) is the generation of deposits.</w:t>
      </w:r>
    </w:p>
    <w:p>
      <w:pPr>
        <w:spacing w:after="0" w:line="212" w:lineRule="exact"/>
        <w:rPr>
          <w:sz w:val="20"/>
          <w:szCs w:val="20"/>
          <w:color w:val="auto"/>
        </w:rPr>
      </w:pPr>
    </w:p>
    <w:p>
      <w:pPr>
        <w:ind w:right="160" w:firstLine="469"/>
        <w:spacing w:after="0" w:line="266" w:lineRule="auto"/>
        <w:rPr>
          <w:sz w:val="20"/>
          <w:szCs w:val="20"/>
          <w:color w:val="auto"/>
        </w:rPr>
      </w:pPr>
      <w:r>
        <w:rPr>
          <w:rFonts w:ascii="Times New Roman" w:cs="Times New Roman" w:eastAsia="Times New Roman" w:hAnsi="Times New Roman"/>
          <w:sz w:val="18"/>
          <w:szCs w:val="18"/>
          <w:color w:val="auto"/>
        </w:rPr>
        <w:t>Total deposits were $14.49 billion at March 31, 2022. This represented an increase of $1.51 billion, or 11.65%, over total deposits of $12.98 billion at December 31, 2021. The composition of deposits is summarized as of the dates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40" w:type="dxa"/>
            <w:vAlign w:val="bottom"/>
            <w:gridSpan w:val="5"/>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4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spacing w:after="0"/>
              <w:rPr>
                <w:sz w:val="18"/>
                <w:szCs w:val="18"/>
                <w:color w:val="auto"/>
              </w:rPr>
            </w:pPr>
          </w:p>
        </w:tc>
        <w:tc>
          <w:tcPr>
            <w:tcW w:w="9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6"/>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0"/>
        </w:trPr>
        <w:tc>
          <w:tcPr>
            <w:tcW w:w="4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320" w:type="dxa"/>
            <w:vAlign w:val="bottom"/>
            <w:gridSpan w:val="2"/>
          </w:tcPr>
          <w:p>
            <w:pPr>
              <w:spacing w:after="0"/>
              <w:rPr>
                <w:sz w:val="19"/>
                <w:szCs w:val="19"/>
                <w:color w:val="auto"/>
              </w:rPr>
            </w:pPr>
          </w:p>
        </w:tc>
      </w:tr>
      <w:tr>
        <w:trPr>
          <w:trHeight w:val="216"/>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9,107,304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62.86 %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8,104,056</w:t>
            </w:r>
          </w:p>
        </w:tc>
        <w:tc>
          <w:tcPr>
            <w:tcW w:w="1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62.45 %</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checking</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714,567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4.93 %</w:t>
            </w: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655,333</w:t>
            </w:r>
          </w:p>
        </w:tc>
        <w:tc>
          <w:tcPr>
            <w:tcW w:w="1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5.05 %</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3,670,572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25.34 %</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3,342,531</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25.76 %</w:t>
            </w: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Savings</w:t>
            </w: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618,978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4.27 %</w:t>
            </w:r>
          </w:p>
        </w:tc>
        <w:tc>
          <w:tcPr>
            <w:tcW w:w="4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546,840</w:t>
            </w:r>
          </w:p>
        </w:tc>
        <w:tc>
          <w:tcPr>
            <w:tcW w:w="1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4.21 %</w:t>
            </w: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2.60 %</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327,682</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50"/>
        </w:trPr>
        <w:tc>
          <w:tcPr>
            <w:tcW w:w="4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14,487,778</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tcBorders>
              <w:bottom w:val="single" w:sz="8" w:color="CFF0FC"/>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12,976,442</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5143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5143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14605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14605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431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64" w:lineRule="exact"/>
        <w:rPr>
          <w:sz w:val="20"/>
          <w:szCs w:val="20"/>
          <w:color w:val="auto"/>
        </w:rPr>
      </w:pPr>
    </w:p>
    <w:p>
      <w:pPr>
        <w:ind w:right="60" w:firstLine="469"/>
        <w:spacing w:after="0" w:line="250" w:lineRule="auto"/>
        <w:rPr>
          <w:sz w:val="20"/>
          <w:szCs w:val="20"/>
          <w:color w:val="auto"/>
        </w:rPr>
      </w:pPr>
      <w:r>
        <w:rPr>
          <w:rFonts w:ascii="Times New Roman" w:cs="Times New Roman" w:eastAsia="Times New Roman" w:hAnsi="Times New Roman"/>
          <w:sz w:val="18"/>
          <w:szCs w:val="18"/>
          <w:color w:val="auto"/>
        </w:rPr>
        <w:t>The amount of noninterest-bearing deposits in relation to total deposits is an integral element in our strategy of seeking to achieve a low cost of funds. Noninterest-bearing deposits totaled $9.11 billion at March 31, 2022, representing an increase of $1.0 billion, or 12.38%, from noninterest-bearing deposits of $8.10 billion at December 31, 2021. Noninterest-bearing deposits represented 62.86% of total deposits at March 31, 2022, compared to 62.45% of total deposits at December 31, 2021.</w:t>
      </w:r>
    </w:p>
    <w:p>
      <w:pPr>
        <w:spacing w:after="0" w:line="177" w:lineRule="exact"/>
        <w:rPr>
          <w:sz w:val="20"/>
          <w:szCs w:val="20"/>
          <w:color w:val="auto"/>
        </w:rPr>
      </w:pPr>
    </w:p>
    <w:p>
      <w:pPr>
        <w:ind w:right="140" w:firstLine="469"/>
        <w:spacing w:after="0" w:line="266" w:lineRule="auto"/>
        <w:rPr>
          <w:sz w:val="20"/>
          <w:szCs w:val="20"/>
          <w:color w:val="auto"/>
        </w:rPr>
      </w:pPr>
      <w:r>
        <w:rPr>
          <w:rFonts w:ascii="Times New Roman" w:cs="Times New Roman" w:eastAsia="Times New Roman" w:hAnsi="Times New Roman"/>
          <w:sz w:val="18"/>
          <w:szCs w:val="18"/>
          <w:color w:val="auto"/>
        </w:rPr>
        <w:t>Savings deposits, which include savings, interest-bearing demand, and money market accounts, totaled $5.0 billion at March 31, 2022, representing an increase of $459.4 million, or 10.11%, from savings deposits of $4.54 billion at December 31, 2021.</w:t>
      </w:r>
    </w:p>
    <w:p>
      <w:pPr>
        <w:spacing w:after="0" w:line="149" w:lineRule="exact"/>
        <w:rPr>
          <w:sz w:val="20"/>
          <w:szCs w:val="20"/>
          <w:color w:val="auto"/>
        </w:rPr>
      </w:pPr>
    </w:p>
    <w:p>
      <w:pPr>
        <w:ind w:right="340" w:firstLine="469"/>
        <w:spacing w:after="0" w:line="282" w:lineRule="auto"/>
        <w:rPr>
          <w:sz w:val="20"/>
          <w:szCs w:val="20"/>
          <w:color w:val="auto"/>
        </w:rPr>
      </w:pPr>
      <w:r>
        <w:rPr>
          <w:rFonts w:ascii="Times New Roman" w:cs="Times New Roman" w:eastAsia="Times New Roman" w:hAnsi="Times New Roman"/>
          <w:sz w:val="18"/>
          <w:szCs w:val="18"/>
          <w:color w:val="auto"/>
        </w:rPr>
        <w:t>Time deposits totaled $376.4 million at March 31, 2022, representing an increase of $48.7 million, or 14.85%, from total time deposits of $327.7 million for December 31, 2021.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16" w:lineRule="exact"/>
        <w:rPr>
          <w:sz w:val="20"/>
          <w:szCs w:val="20"/>
          <w:color w:val="auto"/>
        </w:rPr>
      </w:pPr>
    </w:p>
    <w:p>
      <w:pPr>
        <w:ind w:right="60" w:firstLine="469"/>
        <w:spacing w:after="0" w:line="246" w:lineRule="auto"/>
        <w:rPr>
          <w:sz w:val="20"/>
          <w:szCs w:val="20"/>
          <w:color w:val="auto"/>
        </w:rPr>
      </w:pPr>
      <w:r>
        <w:rPr>
          <w:rFonts w:ascii="Times New Roman" w:cs="Times New Roman" w:eastAsia="Times New Roman" w:hAnsi="Times New Roman"/>
          <w:sz w:val="18"/>
          <w:szCs w:val="18"/>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these funds by the Bank for the period concerned. These repurchase agreements are signed with customers who want to invest their excess deposits, above a pre-determined balance in a demand deposit account, in order to earn interest. As of March 31, 2022 and December 31, 2021, total funds borrowed under these agreements were $598.9 million and $642.4 million, respectively, with a weighted average interest rate of 0.08% and 0.08%, respectively.</w:t>
      </w:r>
    </w:p>
    <w:p>
      <w:pPr>
        <w:spacing w:after="0" w:line="181"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color w:val="auto"/>
        </w:rPr>
        <w:t>On June 15, 2021, we redeemed our junior subordinated debentures of $25.8 million, representing the amounts that are due from the Company to CVB Statutory Trust III, which had a borrowing cost of approximately 1.60% at the time of repayment. The debentures and the Trust Preferred Securities had an original maturity date of 2036. The interest rate on these debentures were based on three-month LIBOR plus 1.38%.</w:t>
      </w:r>
    </w:p>
    <w:p>
      <w:pPr>
        <w:spacing w:after="0" w:line="156" w:lineRule="exact"/>
        <w:rPr>
          <w:sz w:val="20"/>
          <w:szCs w:val="20"/>
          <w:color w:val="auto"/>
        </w:rPr>
      </w:pPr>
    </w:p>
    <w:p>
      <w:pPr>
        <w:ind w:right="120" w:firstLine="469"/>
        <w:spacing w:after="0" w:line="266" w:lineRule="auto"/>
        <w:rPr>
          <w:sz w:val="20"/>
          <w:szCs w:val="20"/>
          <w:color w:val="auto"/>
        </w:rPr>
      </w:pPr>
      <w:r>
        <w:rPr>
          <w:rFonts w:ascii="Times New Roman" w:cs="Times New Roman" w:eastAsia="Times New Roman" w:hAnsi="Times New Roman"/>
          <w:sz w:val="18"/>
          <w:szCs w:val="18"/>
          <w:color w:val="auto"/>
        </w:rPr>
        <w:t>At March 31, 2022, $4.09 billion of loans and $2.53 billion of investment securities, at carrying value, were pledged to secure public deposits, short and long-term borrowings, and for other purposes as required or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Contractual Obligations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aggregate contractual obligations as of March 31,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440"/>
              <w:spacing w:after="0" w:line="156"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140" w:type="dxa"/>
            <w:vAlign w:val="bottom"/>
          </w:tcPr>
          <w:p>
            <w:pPr>
              <w:spacing w:after="0"/>
              <w:rPr>
                <w:sz w:val="13"/>
                <w:szCs w:val="13"/>
                <w:color w:val="auto"/>
              </w:rPr>
            </w:pPr>
          </w:p>
        </w:tc>
        <w:tc>
          <w:tcPr>
            <w:tcW w:w="1040" w:type="dxa"/>
            <w:vAlign w:val="bottom"/>
          </w:tcPr>
          <w:p>
            <w:pPr>
              <w:jc w:val="right"/>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Four Years</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vMerge w:val="restart"/>
          </w:tcPr>
          <w:p>
            <w:pPr>
              <w:spacing w:after="0"/>
              <w:rPr>
                <w:sz w:val="15"/>
                <w:szCs w:val="15"/>
                <w:color w:val="auto"/>
              </w:rPr>
            </w:pPr>
          </w:p>
        </w:tc>
        <w:tc>
          <w:tcPr>
            <w:tcW w:w="1200" w:type="dxa"/>
            <w:vAlign w:val="bottom"/>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Less Than One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140" w:type="dxa"/>
            <w:vAlign w:val="bottom"/>
          </w:tcPr>
          <w:p>
            <w:pPr>
              <w:spacing w:after="0"/>
              <w:rPr>
                <w:sz w:val="15"/>
                <w:szCs w:val="15"/>
                <w:color w:val="auto"/>
              </w:rPr>
            </w:pPr>
          </w:p>
        </w:tc>
        <w:tc>
          <w:tcPr>
            <w:tcW w:w="10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Through</w:t>
            </w:r>
          </w:p>
        </w:tc>
        <w:tc>
          <w:tcPr>
            <w:tcW w:w="22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Over Five Years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Five Years</w:t>
            </w:r>
          </w:p>
        </w:tc>
        <w:tc>
          <w:tcPr>
            <w:tcW w:w="220" w:type="dxa"/>
            <w:vAlign w:val="bottom"/>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Deposits (1)</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14,487,778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14,455,114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6,997</w:t>
            </w:r>
          </w:p>
        </w:tc>
        <w:tc>
          <w:tcPr>
            <w:tcW w:w="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repurchase agreements (1)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598,909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598,909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24,927</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21,715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Affordable housing investment</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15,137,584</w:t>
            </w:r>
          </w:p>
        </w:tc>
        <w:tc>
          <w:tcPr>
            <w:tcW w:w="24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15,063,264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36,236</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-162560</wp:posOffset>
            </wp:positionV>
            <wp:extent cx="431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4318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4318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342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9" w:lineRule="exact"/>
        <w:rPr>
          <w:sz w:val="20"/>
          <w:szCs w:val="20"/>
          <w:color w:val="auto"/>
        </w:rPr>
      </w:pPr>
    </w:p>
    <w:p>
      <w:pPr>
        <w:ind w:left="1040" w:hanging="470"/>
        <w:spacing w:after="0"/>
        <w:tabs>
          <w:tab w:leader="none" w:pos="10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accrued interest.</w:t>
      </w:r>
    </w:p>
    <w:p>
      <w:pPr>
        <w:spacing w:after="0" w:line="2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represent noninterest-bearing, money market, savings, NOW, certificates of deposits, brokered and all other deposits held by the Bank.</w:t>
      </w:r>
    </w:p>
    <w:p>
      <w:pPr>
        <w:spacing w:after="0" w:line="198" w:lineRule="exact"/>
        <w:rPr>
          <w:sz w:val="20"/>
          <w:szCs w:val="20"/>
          <w:color w:val="auto"/>
        </w:rPr>
      </w:pPr>
    </w:p>
    <w:p>
      <w:pPr>
        <w:ind w:right="40" w:firstLine="469"/>
        <w:spacing w:after="0" w:line="282" w:lineRule="auto"/>
        <w:rPr>
          <w:sz w:val="20"/>
          <w:szCs w:val="20"/>
          <w:color w:val="auto"/>
        </w:rPr>
      </w:pPr>
      <w:r>
        <w:rPr>
          <w:rFonts w:ascii="Times New Roman" w:cs="Times New Roman" w:eastAsia="Times New Roman" w:hAnsi="Times New Roman"/>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35"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33" w:lineRule="exact"/>
        <w:rPr>
          <w:sz w:val="20"/>
          <w:szCs w:val="20"/>
          <w:color w:val="auto"/>
        </w:rPr>
      </w:pPr>
    </w:p>
    <w:p>
      <w:pPr>
        <w:ind w:right="220" w:firstLine="469"/>
        <w:spacing w:after="0" w:line="255" w:lineRule="auto"/>
        <w:rPr>
          <w:sz w:val="20"/>
          <w:szCs w:val="20"/>
          <w:color w:val="auto"/>
        </w:rPr>
      </w:pPr>
      <w:r>
        <w:rPr>
          <w:rFonts w:ascii="Times New Roman" w:cs="Times New Roman" w:eastAsia="Times New Roman" w:hAnsi="Times New Roman"/>
          <w:sz w:val="18"/>
          <w:szCs w:val="18"/>
          <w:color w:val="auto"/>
        </w:rPr>
        <w:t xml:space="preserve">Operating leases represent the total minimum lease payments due under non-cancelable operating leases. Refer to Note 12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Company’s unaudited condensed consolidated financial statements for a more detailed discussion about leases.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off-balance sheet items at March 31,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Maturity by Period</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20"/>
              <w:spacing w:after="0" w:line="156" w:lineRule="exact"/>
              <w:rPr>
                <w:sz w:val="20"/>
                <w:szCs w:val="20"/>
                <w:color w:val="auto"/>
              </w:rPr>
            </w:pPr>
            <w:r>
              <w:rPr>
                <w:rFonts w:ascii="Times New Roman" w:cs="Times New Roman" w:eastAsia="Times New Roman" w:hAnsi="Times New Roman"/>
                <w:sz w:val="16"/>
                <w:szCs w:val="16"/>
                <w:b w:val="1"/>
                <w:bCs w:val="1"/>
                <w:color w:val="auto"/>
                <w:w w:val="96"/>
              </w:rPr>
              <w:t>One Year</w:t>
            </w:r>
          </w:p>
        </w:tc>
        <w:tc>
          <w:tcPr>
            <w:tcW w:w="140" w:type="dxa"/>
            <w:vAlign w:val="bottom"/>
          </w:tcPr>
          <w:p>
            <w:pPr>
              <w:spacing w:after="0"/>
              <w:rPr>
                <w:sz w:val="13"/>
                <w:szCs w:val="13"/>
                <w:color w:val="auto"/>
              </w:rPr>
            </w:pPr>
          </w:p>
        </w:tc>
        <w:tc>
          <w:tcPr>
            <w:tcW w:w="1040" w:type="dxa"/>
            <w:vAlign w:val="bottom"/>
          </w:tcPr>
          <w:p>
            <w:pPr>
              <w:jc w:val="center"/>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Four Years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4"/>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19"/>
              <w:spacing w:after="0" w:line="165" w:lineRule="exact"/>
              <w:rPr>
                <w:sz w:val="20"/>
                <w:szCs w:val="20"/>
                <w:color w:val="auto"/>
              </w:rPr>
            </w:pPr>
            <w:r>
              <w:rPr>
                <w:rFonts w:ascii="Times New Roman" w:cs="Times New Roman" w:eastAsia="Times New Roman" w:hAnsi="Times New Roman"/>
                <w:sz w:val="16"/>
                <w:szCs w:val="16"/>
                <w:b w:val="1"/>
                <w:bCs w:val="1"/>
                <w:color w:val="auto"/>
              </w:rPr>
              <w:t>Less Than One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140" w:type="dxa"/>
            <w:vAlign w:val="bottom"/>
          </w:tcPr>
          <w:p>
            <w:pPr>
              <w:spacing w:after="0"/>
              <w:rPr>
                <w:sz w:val="14"/>
                <w:szCs w:val="14"/>
                <w:color w:val="auto"/>
              </w:rPr>
            </w:pPr>
          </w:p>
        </w:tc>
        <w:tc>
          <w:tcPr>
            <w:tcW w:w="1040" w:type="dxa"/>
            <w:vAlign w:val="bottom"/>
          </w:tcPr>
          <w:p>
            <w:pPr>
              <w:jc w:val="center"/>
              <w:ind w:right="79"/>
              <w:spacing w:after="0" w:line="165" w:lineRule="exact"/>
              <w:rPr>
                <w:sz w:val="20"/>
                <w:szCs w:val="20"/>
                <w:color w:val="auto"/>
              </w:rPr>
            </w:pPr>
            <w:r>
              <w:rPr>
                <w:rFonts w:ascii="Times New Roman" w:cs="Times New Roman" w:eastAsia="Times New Roman" w:hAnsi="Times New Roman"/>
                <w:sz w:val="16"/>
                <w:szCs w:val="16"/>
                <w:b w:val="1"/>
                <w:bCs w:val="1"/>
                <w:color w:val="auto"/>
                <w:w w:val="99"/>
              </w:rPr>
              <w:t>Through</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After Five</w:t>
            </w:r>
          </w:p>
        </w:tc>
      </w:tr>
      <w:tr>
        <w:trPr>
          <w:trHeight w:val="216"/>
        </w:trPr>
        <w:tc>
          <w:tcPr>
            <w:tcW w:w="4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Year</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Three Years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Five Years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80" w:type="dxa"/>
            <w:vAlign w:val="bottom"/>
          </w:tcPr>
          <w:p>
            <w:pPr>
              <w:spacing w:after="0"/>
              <w:rPr>
                <w:sz w:val="18"/>
                <w:szCs w:val="18"/>
                <w:color w:val="auto"/>
              </w:rPr>
            </w:pPr>
          </w:p>
        </w:tc>
      </w:tr>
      <w:tr>
        <w:trPr>
          <w:trHeight w:val="196"/>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w w:val="96"/>
              </w:rPr>
              <w:t>(Dollars in thousands)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 to extend credit: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real estate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365,195</w:t>
            </w:r>
          </w:p>
        </w:tc>
        <w:tc>
          <w:tcPr>
            <w:tcW w:w="24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153,231</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31,147</w:t>
            </w:r>
          </w:p>
        </w:tc>
        <w:tc>
          <w:tcPr>
            <w:tcW w:w="80" w:type="dxa"/>
            <w:vAlign w:val="bottom"/>
          </w:tcPr>
          <w:p>
            <w:pPr>
              <w:spacing w:after="0"/>
              <w:rPr>
                <w:sz w:val="17"/>
                <w:szCs w:val="17"/>
                <w:color w:val="auto"/>
              </w:rPr>
            </w:pPr>
          </w:p>
        </w:tc>
      </w:tr>
      <w:tr>
        <w:trPr>
          <w:trHeight w:val="203"/>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Construction</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104,386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89,839</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12,708</w:t>
            </w:r>
          </w:p>
        </w:tc>
        <w:tc>
          <w:tcPr>
            <w:tcW w:w="80" w:type="dxa"/>
            <w:vAlign w:val="bottom"/>
            <w:shd w:val="clear" w:color="auto" w:fill="CFF0FC"/>
          </w:tcPr>
          <w:p>
            <w:pPr>
              <w:spacing w:after="0"/>
              <w:rPr>
                <w:sz w:val="17"/>
                <w:szCs w:val="17"/>
                <w:color w:val="auto"/>
              </w:rPr>
            </w:pPr>
          </w:p>
        </w:tc>
      </w:tr>
      <w:tr>
        <w:trPr>
          <w:trHeight w:val="203"/>
        </w:trPr>
        <w:tc>
          <w:tcPr>
            <w:tcW w:w="4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SBA</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(328 )</w:t>
            </w:r>
          </w:p>
        </w:tc>
      </w:tr>
      <w:tr>
        <w:trPr>
          <w:trHeight w:val="203"/>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SBA - PPP</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r>
      <w:tr>
        <w:trPr>
          <w:trHeight w:val="203"/>
        </w:trPr>
        <w:tc>
          <w:tcPr>
            <w:tcW w:w="4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934,973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748,199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116,841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65,202</w:t>
            </w:r>
          </w:p>
        </w:tc>
        <w:tc>
          <w:tcPr>
            <w:tcW w:w="80" w:type="dxa"/>
            <w:vAlign w:val="bottom"/>
          </w:tcPr>
          <w:p>
            <w:pPr>
              <w:spacing w:after="0"/>
              <w:rPr>
                <w:sz w:val="17"/>
                <w:szCs w:val="17"/>
                <w:color w:val="auto"/>
              </w:rPr>
            </w:pPr>
          </w:p>
        </w:tc>
      </w:tr>
      <w:tr>
        <w:trPr>
          <w:trHeight w:val="203"/>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Dairy &amp; livestock and agribusiness (1)</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237,161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114,993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122,167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r>
      <w:tr>
        <w:trPr>
          <w:trHeight w:val="203"/>
        </w:trPr>
        <w:tc>
          <w:tcPr>
            <w:tcW w:w="4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Municipal lease finance receivables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80" w:type="dxa"/>
            <w:vAlign w:val="bottom"/>
          </w:tcPr>
          <w:p>
            <w:pPr>
              <w:spacing w:after="0"/>
              <w:rPr>
                <w:sz w:val="17"/>
                <w:szCs w:val="17"/>
                <w:color w:val="auto"/>
              </w:rPr>
            </w:pPr>
          </w:p>
        </w:tc>
      </w:tr>
      <w:tr>
        <w:trPr>
          <w:trHeight w:val="203"/>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SFR Mortgage</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80" w:type="dxa"/>
            <w:vAlign w:val="bottom"/>
            <w:shd w:val="clear" w:color="auto" w:fill="CFF0FC"/>
          </w:tcPr>
          <w:p>
            <w:pPr>
              <w:spacing w:after="0"/>
              <w:rPr>
                <w:sz w:val="17"/>
                <w:szCs w:val="17"/>
                <w:color w:val="auto"/>
              </w:rPr>
            </w:pPr>
          </w:p>
        </w:tc>
      </w:tr>
      <w:tr>
        <w:trPr>
          <w:trHeight w:val="203"/>
        </w:trPr>
        <w:tc>
          <w:tcPr>
            <w:tcW w:w="4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and other loans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85,944</w:t>
            </w:r>
          </w:p>
        </w:tc>
        <w:tc>
          <w:tcPr>
            <w:tcW w:w="80" w:type="dxa"/>
            <w:vAlign w:val="bottom"/>
          </w:tcPr>
          <w:p>
            <w:pPr>
              <w:spacing w:after="0"/>
              <w:rPr>
                <w:sz w:val="17"/>
                <w:szCs w:val="17"/>
                <w:color w:val="auto"/>
              </w:rPr>
            </w:pPr>
          </w:p>
        </w:tc>
      </w:tr>
      <w:tr>
        <w:trPr>
          <w:trHeight w:val="196"/>
        </w:trPr>
        <w:tc>
          <w:tcPr>
            <w:tcW w:w="4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commitment to extend credit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1,772,418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1,024,421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401,714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136,203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210,079</w:t>
            </w:r>
          </w:p>
        </w:tc>
        <w:tc>
          <w:tcPr>
            <w:tcW w:w="80" w:type="dxa"/>
            <w:vAlign w:val="bottom"/>
            <w:shd w:val="clear" w:color="auto" w:fill="CFF0FC"/>
          </w:tcPr>
          <w:p>
            <w:pPr>
              <w:spacing w:after="0"/>
              <w:rPr>
                <w:sz w:val="17"/>
                <w:szCs w:val="17"/>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letters of credit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44,094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39,962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36"/>
        </w:trPr>
        <w:tc>
          <w:tcPr>
            <w:tcW w:w="43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1,816,512</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1,028,553</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441,676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136,203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210,079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-24765</wp:posOffset>
            </wp:positionV>
            <wp:extent cx="431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431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431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431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342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342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ind w:left="1040" w:hanging="470"/>
        <w:spacing w:after="0"/>
        <w:tabs>
          <w:tab w:leader="none" w:pos="10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commitments to extend credit to agribusiness were $29.1 million at March 31, 2022.</w:t>
      </w:r>
    </w:p>
    <w:p>
      <w:pPr>
        <w:spacing w:after="0" w:line="217" w:lineRule="exact"/>
        <w:rPr>
          <w:sz w:val="20"/>
          <w:szCs w:val="20"/>
          <w:color w:val="auto"/>
        </w:rPr>
      </w:pPr>
    </w:p>
    <w:p>
      <w:pPr>
        <w:ind w:right="80" w:firstLine="469"/>
        <w:spacing w:after="0" w:line="243" w:lineRule="auto"/>
        <w:rPr>
          <w:sz w:val="20"/>
          <w:szCs w:val="20"/>
          <w:color w:val="auto"/>
        </w:rPr>
      </w:pPr>
      <w:r>
        <w:rPr>
          <w:rFonts w:ascii="Times New Roman" w:cs="Times New Roman" w:eastAsia="Times New Roman" w:hAnsi="Times New Roman"/>
          <w:sz w:val="18"/>
          <w:szCs w:val="18"/>
          <w:color w:val="auto"/>
        </w:rPr>
        <w:t>As of March 31, 2022, we had commitments to extend credit of approximately $1.77 billion, and obligations under letters of credit of $44.1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As of March 31, 2022 and 2021, the balance in this reserve was $8.0 million and $9.0 million, respectively, and was included in other liabilities. There was no provision or recapture of provision for unfunded loan commitments recorded for the three months ended March 31, 2022 and 2021.</w:t>
      </w:r>
    </w:p>
    <w:p>
      <w:pPr>
        <w:spacing w:after="0" w:line="186" w:lineRule="exact"/>
        <w:rPr>
          <w:sz w:val="20"/>
          <w:szCs w:val="20"/>
          <w:color w:val="auto"/>
        </w:rPr>
      </w:pPr>
    </w:p>
    <w:p>
      <w:pPr>
        <w:jc w:val="both"/>
        <w:ind w:right="20" w:firstLine="469"/>
        <w:spacing w:after="0" w:line="272" w:lineRule="auto"/>
        <w:rPr>
          <w:sz w:val="20"/>
          <w:szCs w:val="20"/>
          <w:color w:val="auto"/>
        </w:rPr>
      </w:pPr>
      <w:r>
        <w:rPr>
          <w:rFonts w:ascii="Times New Roman" w:cs="Times New Roman" w:eastAsia="Times New Roman" w:hAnsi="Times New Roman"/>
          <w:sz w:val="17"/>
          <w:szCs w:val="17"/>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16" w:lineRule="exact"/>
        <w:rPr>
          <w:sz w:val="20"/>
          <w:szCs w:val="20"/>
          <w:color w:val="auto"/>
        </w:rPr>
      </w:pPr>
    </w:p>
    <w:p>
      <w:pPr>
        <w:ind w:right="20" w:firstLine="469"/>
        <w:spacing w:after="0" w:line="250" w:lineRule="auto"/>
        <w:rPr>
          <w:sz w:val="20"/>
          <w:szCs w:val="20"/>
          <w:color w:val="auto"/>
        </w:rPr>
      </w:pPr>
      <w:r>
        <w:rPr>
          <w:rFonts w:ascii="Times New Roman" w:cs="Times New Roman" w:eastAsia="Times New Roman" w:hAnsi="Times New Roman"/>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77" w:lineRule="exact"/>
        <w:rPr>
          <w:sz w:val="20"/>
          <w:szCs w:val="20"/>
          <w:color w:val="auto"/>
        </w:rPr>
      </w:pPr>
    </w:p>
    <w:p>
      <w:pPr>
        <w:ind w:firstLine="469"/>
        <w:spacing w:after="0" w:line="242" w:lineRule="auto"/>
        <w:rPr>
          <w:sz w:val="20"/>
          <w:szCs w:val="20"/>
          <w:color w:val="auto"/>
        </w:rPr>
      </w:pPr>
      <w:r>
        <w:rPr>
          <w:rFonts w:ascii="Times New Roman" w:cs="Times New Roman" w:eastAsia="Times New Roman" w:hAnsi="Times New Roman"/>
          <w:sz w:val="18"/>
          <w:szCs w:val="18"/>
          <w:color w:val="auto"/>
        </w:rPr>
        <w:t>Total equity decreased $6.5 million, or 0.31%, to $2.08 billion at March 31, 2022, from total equity of $2.08 billion at December 31, 2021. Increases to equity included $197.1 million for issuance of 8.6 million shares to acquire Suncrest and $45.6 million in net earnings. Decreases included $25.5 million in cash dividends and a $142.3 million decrease in other comprehensive income from the tax effected impact of the decline in market value of available-for-sale securities. During the first quarter of 2022, we executed on a $70 million accelerated stock repurchase program and retired 2,544,298 shares of common stock, or approximately 80% of the estimated shares repurchased under the program. We also repurchased, under our 10b5-1 stock repurchase plan, 536,010 shares of common stock, at an average repurchase price of $23.40, totaling $12.5 million. Our tangible book value per share at March 31, 2022 was $9.05.</w:t>
      </w:r>
    </w:p>
    <w:p>
      <w:pPr>
        <w:spacing w:after="0" w:line="186" w:lineRule="exact"/>
        <w:rPr>
          <w:sz w:val="20"/>
          <w:szCs w:val="20"/>
          <w:color w:val="auto"/>
        </w:rPr>
      </w:pPr>
    </w:p>
    <w:p>
      <w:pPr>
        <w:ind w:right="120" w:firstLine="469"/>
        <w:spacing w:after="0" w:line="250" w:lineRule="auto"/>
        <w:rPr>
          <w:sz w:val="20"/>
          <w:szCs w:val="20"/>
          <w:color w:val="auto"/>
        </w:rPr>
      </w:pPr>
      <w:r>
        <w:rPr>
          <w:rFonts w:ascii="Times New Roman" w:cs="Times New Roman" w:eastAsia="Times New Roman" w:hAnsi="Times New Roman"/>
          <w:sz w:val="18"/>
          <w:szCs w:val="18"/>
          <w:color w:val="auto"/>
        </w:rPr>
        <w:t>During the first quarter of 2022, the Board of Directors of CVB declared quarterly cash dividends totaling $0.18 per share. Dividends are payable at the discretion of the Board of Directors and there can be no assurance that the Board of Directors will continue to pay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77"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quarter of 2022, we executed on the $70 million accelerated stock repurchase program and retired 2,544,298 shares of common stock, or approximately 80% of the estimated shares repurchased under the program. We also repurchased, under our 10b5-1 stock repurchase plan, 536,010 shares of common stock, at an average repurchase price of $23.40, totaling $12.5 million. As of March 31, 2022, we had 6,919,692 shares of CVB common stock available for repurchase under the 2022 Repurchase Program.</w:t>
      </w:r>
    </w:p>
    <w:p>
      <w:pPr>
        <w:spacing w:after="0" w:line="168" w:lineRule="exact"/>
        <w:rPr>
          <w:sz w:val="20"/>
          <w:szCs w:val="20"/>
          <w:color w:val="auto"/>
        </w:rPr>
      </w:pPr>
    </w:p>
    <w:p>
      <w:pPr>
        <w:ind w:right="80" w:firstLine="469"/>
        <w:spacing w:after="0" w:line="244" w:lineRule="auto"/>
        <w:rPr>
          <w:sz w:val="20"/>
          <w:szCs w:val="20"/>
          <w:color w:val="auto"/>
        </w:rPr>
      </w:pPr>
      <w:r>
        <w:rPr>
          <w:rFonts w:ascii="Times New Roman" w:cs="Times New Roman" w:eastAsia="Times New Roman" w:hAnsi="Times New Roman"/>
          <w:sz w:val="18"/>
          <w:szCs w:val="18"/>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March 31, 2022, the Bank and the Company exceeded the minimum risk-based capital ratios and leverage ratios required to be considered “well-capitalized” for regulatory purposes. For further information about capital requirements and our capital ratios, see “Item 1. </w:t>
      </w:r>
      <w:r>
        <w:rPr>
          <w:rFonts w:ascii="Times New Roman" w:cs="Times New Roman" w:eastAsia="Times New Roman" w:hAnsi="Times New Roman"/>
          <w:sz w:val="18"/>
          <w:szCs w:val="18"/>
          <w:i w:val="1"/>
          <w:iCs w:val="1"/>
          <w:color w:val="auto"/>
        </w:rPr>
        <w:t>Business – Capital Adequacy Requirements</w:t>
      </w:r>
      <w:r>
        <w:rPr>
          <w:rFonts w:ascii="Times New Roman" w:cs="Times New Roman" w:eastAsia="Times New Roman" w:hAnsi="Times New Roman"/>
          <w:sz w:val="18"/>
          <w:szCs w:val="18"/>
          <w:color w:val="auto"/>
        </w:rPr>
        <w:t>” as described in our Annual Report on Form 10-K for the year ended December 31, 2021.</w:t>
      </w:r>
    </w:p>
    <w:p>
      <w:pPr>
        <w:spacing w:after="0" w:line="172" w:lineRule="exact"/>
        <w:rPr>
          <w:sz w:val="20"/>
          <w:szCs w:val="20"/>
          <w:color w:val="auto"/>
        </w:rPr>
      </w:pPr>
    </w:p>
    <w:p>
      <w:pPr>
        <w:ind w:right="160" w:firstLine="469"/>
        <w:spacing w:after="0" w:line="258" w:lineRule="auto"/>
        <w:rPr>
          <w:sz w:val="20"/>
          <w:szCs w:val="20"/>
          <w:color w:val="auto"/>
        </w:rPr>
      </w:pPr>
      <w:r>
        <w:rPr>
          <w:rFonts w:ascii="Times New Roman" w:cs="Times New Roman" w:eastAsia="Times New Roman" w:hAnsi="Times New Roman"/>
          <w:sz w:val="18"/>
          <w:szCs w:val="18"/>
          <w:color w:val="auto"/>
        </w:rPr>
        <w:t>At March 31, 2022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ind w:left="480"/>
        <w:spacing w:after="0"/>
        <w:rPr>
          <w:sz w:val="20"/>
          <w:szCs w:val="20"/>
          <w:color w:val="auto"/>
        </w:rPr>
      </w:pPr>
      <w:r>
        <w:rPr>
          <w:rFonts w:ascii="Times New Roman" w:cs="Times New Roman" w:eastAsia="Times New Roman" w:hAnsi="Times New Roman"/>
          <w:sz w:val="18"/>
          <w:szCs w:val="18"/>
          <w:color w:val="auto"/>
        </w:rPr>
        <w:t>The table below presents the Company’s and the Bank’s risk-based and leverage capital ratios for the periods presented.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22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59"/>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Adequately</w:t>
            </w:r>
          </w:p>
        </w:tc>
        <w:tc>
          <w:tcPr>
            <w:tcW w:w="16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Minimum Required</w:t>
            </w:r>
          </w:p>
        </w:tc>
        <w:tc>
          <w:tcPr>
            <w:tcW w:w="160" w:type="dxa"/>
            <w:vAlign w:val="bottom"/>
          </w:tcPr>
          <w:p>
            <w:pPr>
              <w:spacing w:after="0"/>
              <w:rPr>
                <w:sz w:val="13"/>
                <w:szCs w:val="13"/>
                <w:color w:val="auto"/>
              </w:rPr>
            </w:pPr>
          </w:p>
        </w:tc>
        <w:tc>
          <w:tcPr>
            <w:tcW w:w="110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Well</w:t>
            </w:r>
          </w:p>
        </w:tc>
        <w:tc>
          <w:tcPr>
            <w:tcW w:w="12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CVB Financial</w:t>
            </w:r>
          </w:p>
        </w:tc>
        <w:tc>
          <w:tcPr>
            <w:tcW w:w="160" w:type="dxa"/>
            <w:vAlign w:val="bottom"/>
          </w:tcPr>
          <w:p>
            <w:pPr>
              <w:spacing w:after="0"/>
              <w:rPr>
                <w:sz w:val="13"/>
                <w:szCs w:val="13"/>
                <w:color w:val="auto"/>
              </w:rPr>
            </w:pPr>
          </w:p>
        </w:tc>
        <w:tc>
          <w:tcPr>
            <w:tcW w:w="88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Citizens</w:t>
            </w:r>
          </w:p>
        </w:tc>
        <w:tc>
          <w:tcPr>
            <w:tcW w:w="14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CVB Financial</w:t>
            </w:r>
          </w:p>
        </w:tc>
        <w:tc>
          <w:tcPr>
            <w:tcW w:w="1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rPr>
              <w:t>Citizens</w:t>
            </w:r>
          </w:p>
        </w:tc>
      </w:tr>
      <w:tr>
        <w:trPr>
          <w:trHeight w:val="164"/>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Capitalized</w:t>
            </w:r>
          </w:p>
        </w:tc>
        <w:tc>
          <w:tcPr>
            <w:tcW w:w="160" w:type="dxa"/>
            <w:vAlign w:val="bottom"/>
          </w:tcPr>
          <w:p>
            <w:pPr>
              <w:spacing w:after="0"/>
              <w:rPr>
                <w:sz w:val="14"/>
                <w:szCs w:val="14"/>
                <w:color w:val="auto"/>
              </w:rPr>
            </w:pPr>
          </w:p>
        </w:tc>
        <w:tc>
          <w:tcPr>
            <w:tcW w:w="164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Plus Capital</w:t>
            </w:r>
          </w:p>
        </w:tc>
        <w:tc>
          <w:tcPr>
            <w:tcW w:w="160" w:type="dxa"/>
            <w:vAlign w:val="bottom"/>
          </w:tcPr>
          <w:p>
            <w:pPr>
              <w:spacing w:after="0"/>
              <w:rPr>
                <w:sz w:val="14"/>
                <w:szCs w:val="14"/>
                <w:color w:val="auto"/>
              </w:rPr>
            </w:pPr>
          </w:p>
        </w:tc>
        <w:tc>
          <w:tcPr>
            <w:tcW w:w="1100" w:type="dxa"/>
            <w:vAlign w:val="bottom"/>
            <w:gridSpan w:val="2"/>
          </w:tcPr>
          <w:p>
            <w:pPr>
              <w:jc w:val="center"/>
              <w:ind w:right="180"/>
              <w:spacing w:after="0" w:line="165" w:lineRule="exact"/>
              <w:rPr>
                <w:sz w:val="20"/>
                <w:szCs w:val="20"/>
                <w:color w:val="auto"/>
              </w:rPr>
            </w:pPr>
            <w:r>
              <w:rPr>
                <w:rFonts w:ascii="Times New Roman" w:cs="Times New Roman" w:eastAsia="Times New Roman" w:hAnsi="Times New Roman"/>
                <w:sz w:val="16"/>
                <w:szCs w:val="16"/>
                <w:b w:val="1"/>
                <w:bCs w:val="1"/>
                <w:color w:val="auto"/>
              </w:rPr>
              <w:t>Capitalized</w:t>
            </w:r>
          </w:p>
        </w:tc>
        <w:tc>
          <w:tcPr>
            <w:tcW w:w="12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Corp.</w:t>
            </w:r>
          </w:p>
        </w:tc>
        <w:tc>
          <w:tcPr>
            <w:tcW w:w="160" w:type="dxa"/>
            <w:vAlign w:val="bottom"/>
          </w:tcPr>
          <w:p>
            <w:pPr>
              <w:spacing w:after="0"/>
              <w:rPr>
                <w:sz w:val="14"/>
                <w:szCs w:val="14"/>
                <w:color w:val="auto"/>
              </w:rPr>
            </w:pPr>
          </w:p>
        </w:tc>
        <w:tc>
          <w:tcPr>
            <w:tcW w:w="8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Business</w:t>
            </w:r>
          </w:p>
        </w:tc>
        <w:tc>
          <w:tcPr>
            <w:tcW w:w="140" w:type="dxa"/>
            <w:vAlign w:val="bottom"/>
          </w:tcPr>
          <w:p>
            <w:pPr>
              <w:spacing w:after="0"/>
              <w:rPr>
                <w:sz w:val="14"/>
                <w:szCs w:val="14"/>
                <w:color w:val="auto"/>
              </w:rPr>
            </w:pPr>
          </w:p>
        </w:tc>
        <w:tc>
          <w:tcPr>
            <w:tcW w:w="1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Corp.</w:t>
            </w:r>
          </w:p>
        </w:tc>
        <w:tc>
          <w:tcPr>
            <w:tcW w:w="140" w:type="dxa"/>
            <w:vAlign w:val="bottom"/>
          </w:tcPr>
          <w:p>
            <w:pPr>
              <w:spacing w:after="0"/>
              <w:rPr>
                <w:sz w:val="14"/>
                <w:szCs w:val="14"/>
                <w:color w:val="auto"/>
              </w:rPr>
            </w:pPr>
          </w:p>
        </w:tc>
        <w:tc>
          <w:tcPr>
            <w:tcW w:w="8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Business</w:t>
            </w:r>
          </w:p>
        </w:tc>
      </w:tr>
      <w:tr>
        <w:trPr>
          <w:trHeight w:val="189"/>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Conservation Buffer</w:t>
            </w:r>
          </w:p>
        </w:tc>
        <w:tc>
          <w:tcPr>
            <w:tcW w:w="16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Ratios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Bank</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2"/>
          </w:tcPr>
          <w:p>
            <w:pPr>
              <w:spacing w:after="0"/>
              <w:rPr>
                <w:sz w:val="15"/>
                <w:szCs w:val="15"/>
                <w:color w:val="auto"/>
              </w:rPr>
            </w:pPr>
          </w:p>
        </w:tc>
        <w:tc>
          <w:tcPr>
            <w:tcW w:w="11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r>
      <w:tr>
        <w:trPr>
          <w:trHeight w:val="203"/>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Tier 1 leverage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4.00%</w:t>
            </w:r>
          </w:p>
        </w:tc>
        <w:tc>
          <w:tcPr>
            <w:tcW w:w="18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4.00%</w:t>
            </w:r>
          </w:p>
        </w:tc>
        <w:tc>
          <w:tcPr>
            <w:tcW w:w="110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5.00%</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8.67%</w:t>
            </w:r>
          </w:p>
        </w:tc>
        <w:tc>
          <w:tcPr>
            <w:tcW w:w="10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8.43%</w:t>
            </w:r>
          </w:p>
        </w:tc>
        <w:tc>
          <w:tcPr>
            <w:tcW w:w="13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6"/>
              </w:rPr>
              <w:t>9.18%</w:t>
            </w:r>
          </w:p>
        </w:tc>
        <w:tc>
          <w:tcPr>
            <w:tcW w:w="10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8.90%</w:t>
            </w:r>
          </w:p>
        </w:tc>
      </w:tr>
      <w:tr>
        <w:trPr>
          <w:trHeight w:val="203"/>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8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7.00%</w:t>
            </w:r>
          </w:p>
        </w:tc>
        <w:tc>
          <w:tcPr>
            <w:tcW w:w="11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6.50%</w:t>
            </w:r>
          </w:p>
        </w:tc>
        <w:tc>
          <w:tcPr>
            <w:tcW w:w="1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13.56%</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13.19%</w:t>
            </w:r>
          </w:p>
        </w:tc>
        <w:tc>
          <w:tcPr>
            <w:tcW w:w="13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14.86%</w:t>
            </w:r>
          </w:p>
        </w:tc>
        <w:tc>
          <w:tcPr>
            <w:tcW w:w="10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14.41%</w:t>
            </w:r>
          </w:p>
        </w:tc>
      </w:tr>
      <w:tr>
        <w:trPr>
          <w:trHeight w:val="203"/>
        </w:trPr>
        <w:tc>
          <w:tcPr>
            <w:tcW w:w="25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Tier 1 risk-based capital ratio</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6.00%</w:t>
            </w:r>
          </w:p>
        </w:tc>
        <w:tc>
          <w:tcPr>
            <w:tcW w:w="18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8.50%</w:t>
            </w:r>
          </w:p>
        </w:tc>
        <w:tc>
          <w:tcPr>
            <w:tcW w:w="110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8.00%</w:t>
            </w: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13.56%</w:t>
            </w:r>
          </w:p>
        </w:tc>
        <w:tc>
          <w:tcPr>
            <w:tcW w:w="10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13.19%</w:t>
            </w:r>
          </w:p>
        </w:tc>
        <w:tc>
          <w:tcPr>
            <w:tcW w:w="134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14.86%</w:t>
            </w:r>
          </w:p>
        </w:tc>
        <w:tc>
          <w:tcPr>
            <w:tcW w:w="100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14.41%</w:t>
            </w:r>
          </w:p>
        </w:tc>
      </w:tr>
      <w:tr>
        <w:trPr>
          <w:trHeight w:val="210"/>
        </w:trPr>
        <w:tc>
          <w:tcPr>
            <w:tcW w:w="25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risk-based capital ratio</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8.00%</w:t>
            </w:r>
          </w:p>
        </w:tc>
        <w:tc>
          <w:tcPr>
            <w:tcW w:w="18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10.50%</w:t>
            </w:r>
          </w:p>
        </w:tc>
        <w:tc>
          <w:tcPr>
            <w:tcW w:w="110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10.00%</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14.36%</w:t>
            </w:r>
          </w:p>
        </w:tc>
        <w:tc>
          <w:tcPr>
            <w:tcW w:w="10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13.99%</w:t>
            </w:r>
          </w:p>
        </w:tc>
        <w:tc>
          <w:tcPr>
            <w:tcW w:w="134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15.63%</w:t>
            </w:r>
          </w:p>
        </w:tc>
        <w:tc>
          <w:tcPr>
            <w:tcW w:w="100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15.18%</w:t>
            </w: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ASSET/LIABILITY AND MARKET RISK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Cash Flow</w:t>
      </w:r>
    </w:p>
    <w:p>
      <w:pPr>
        <w:spacing w:after="0" w:line="216" w:lineRule="exact"/>
        <w:rPr>
          <w:sz w:val="20"/>
          <w:szCs w:val="20"/>
          <w:color w:val="auto"/>
        </w:rPr>
      </w:pPr>
    </w:p>
    <w:p>
      <w:pPr>
        <w:ind w:right="80" w:firstLine="469"/>
        <w:spacing w:after="0" w:line="250" w:lineRule="auto"/>
        <w:rPr>
          <w:sz w:val="20"/>
          <w:szCs w:val="20"/>
          <w:color w:val="auto"/>
        </w:rPr>
      </w:pPr>
      <w:r>
        <w:rPr>
          <w:rFonts w:ascii="Times New Roman" w:cs="Times New Roman" w:eastAsia="Times New Roman" w:hAnsi="Times New Roman"/>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64" w:lineRule="exact"/>
        <w:rPr>
          <w:sz w:val="20"/>
          <w:szCs w:val="20"/>
          <w:color w:val="auto"/>
        </w:rPr>
      </w:pPr>
    </w:p>
    <w:p>
      <w:pPr>
        <w:ind w:right="80" w:firstLine="469"/>
        <w:spacing w:after="0" w:line="247" w:lineRule="auto"/>
        <w:rPr>
          <w:sz w:val="20"/>
          <w:szCs w:val="20"/>
          <w:color w:val="auto"/>
        </w:rPr>
      </w:pPr>
      <w:r>
        <w:rPr>
          <w:rFonts w:ascii="Times New Roman" w:cs="Times New Roman" w:eastAsia="Times New Roman" w:hAnsi="Times New Roman"/>
          <w:sz w:val="18"/>
          <w:szCs w:val="18"/>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66" w:lineRule="exact"/>
        <w:rPr>
          <w:sz w:val="20"/>
          <w:szCs w:val="20"/>
          <w:color w:val="auto"/>
        </w:rPr>
      </w:pPr>
    </w:p>
    <w:p>
      <w:pPr>
        <w:jc w:val="both"/>
        <w:ind w:firstLine="469"/>
        <w:spacing w:after="0" w:line="250" w:lineRule="auto"/>
        <w:rPr>
          <w:sz w:val="20"/>
          <w:szCs w:val="20"/>
          <w:color w:val="auto"/>
        </w:rPr>
      </w:pPr>
      <w:r>
        <w:rPr>
          <w:rFonts w:ascii="Times New Roman" w:cs="Times New Roman" w:eastAsia="Times New Roman" w:hAnsi="Times New Roman"/>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$14.49 billion at March 31, 2022 increased $1.51 billion, or 11.65%, over total deposits of $12.98 billion at December 31, 2021. This deposit growth was primarily due to our customers maintaining greater liquidity.</w:t>
      </w:r>
    </w:p>
    <w:p>
      <w:pPr>
        <w:spacing w:after="0" w:line="177" w:lineRule="exact"/>
        <w:rPr>
          <w:sz w:val="20"/>
          <w:szCs w:val="20"/>
          <w:color w:val="auto"/>
        </w:rPr>
      </w:pPr>
    </w:p>
    <w:p>
      <w:pPr>
        <w:ind w:right="60" w:firstLine="469"/>
        <w:spacing w:after="0" w:line="242" w:lineRule="auto"/>
        <w:rPr>
          <w:sz w:val="20"/>
          <w:szCs w:val="20"/>
          <w:color w:val="auto"/>
        </w:rPr>
      </w:pPr>
      <w:r>
        <w:rPr>
          <w:rFonts w:ascii="Times New Roman" w:cs="Times New Roman" w:eastAsia="Times New Roman" w:hAnsi="Times New Roman"/>
          <w:sz w:val="18"/>
          <w:szCs w:val="18"/>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March 31, 2022, the Bank had no short-term borrowings.</w:t>
      </w:r>
    </w:p>
    <w:p>
      <w:pPr>
        <w:spacing w:after="0" w:line="187" w:lineRule="exact"/>
        <w:rPr>
          <w:sz w:val="20"/>
          <w:szCs w:val="20"/>
          <w:color w:val="auto"/>
        </w:rPr>
      </w:pPr>
    </w:p>
    <w:p>
      <w:pPr>
        <w:jc w:val="both"/>
        <w:ind w:right="240" w:firstLine="469"/>
        <w:spacing w:after="0" w:line="250" w:lineRule="auto"/>
        <w:rPr>
          <w:sz w:val="20"/>
          <w:szCs w:val="20"/>
          <w:color w:val="auto"/>
        </w:rPr>
      </w:pPr>
      <w:r>
        <w:rPr>
          <w:rFonts w:ascii="Times New Roman" w:cs="Times New Roman" w:eastAsia="Times New Roman" w:hAnsi="Times New Roman"/>
          <w:sz w:val="18"/>
          <w:szCs w:val="18"/>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ind w:right="420" w:firstLine="464"/>
        <w:spacing w:after="0" w:line="282" w:lineRule="auto"/>
        <w:rPr>
          <w:sz w:val="20"/>
          <w:szCs w:val="20"/>
          <w:color w:val="auto"/>
        </w:rPr>
      </w:pPr>
      <w:r>
        <w:rPr>
          <w:rFonts w:ascii="Times New Roman" w:cs="Times New Roman" w:eastAsia="Times New Roman" w:hAnsi="Times New Roman"/>
          <w:sz w:val="18"/>
          <w:szCs w:val="18"/>
          <w:color w:val="auto"/>
        </w:rPr>
        <w:t>Below is a summary of our average cash position and statement of cash flows for the three months ended March 31, 2022 and 2021. For further details see our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(Unaudited)” under Part I, Item 1 of this report.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Consolidated Summary of Cash Flows</w:t>
      </w:r>
    </w:p>
    <w:p>
      <w:pPr>
        <w:spacing w:after="0" w:line="210"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r>
      <w:tr>
        <w:trPr>
          <w:trHeight w:val="206"/>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w:t>
            </w: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i w:val="1"/>
                <w:iCs w:val="1"/>
                <w:color w:val="auto"/>
              </w:rPr>
              <w:t>in</w:t>
            </w: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20" w:type="dxa"/>
            <w:vAlign w:val="bottom"/>
          </w:tcPr>
          <w:p>
            <w:pPr>
              <w:spacing w:after="0"/>
              <w:rPr>
                <w:sz w:val="17"/>
                <w:szCs w:val="17"/>
                <w:color w:val="auto"/>
              </w:rPr>
            </w:pPr>
          </w:p>
        </w:tc>
      </w:tr>
      <w:tr>
        <w:trPr>
          <w:trHeight w:val="220"/>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1,840,410</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1,772,635</w:t>
            </w:r>
          </w:p>
        </w:tc>
        <w:tc>
          <w:tcPr>
            <w:tcW w:w="220" w:type="dxa"/>
            <w:vAlign w:val="bottom"/>
            <w:shd w:val="clear" w:color="auto" w:fill="CFF0FC"/>
          </w:tcPr>
          <w:p>
            <w:pPr>
              <w:spacing w:after="0"/>
              <w:rPr>
                <w:sz w:val="18"/>
                <w:szCs w:val="18"/>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average assets</w:t>
            </w:r>
          </w:p>
        </w:tc>
        <w:tc>
          <w:tcPr>
            <w:tcW w:w="260" w:type="dxa"/>
            <w:vAlign w:val="bottom"/>
          </w:tcPr>
          <w:p>
            <w:pPr>
              <w:spacing w:after="0"/>
              <w:rPr>
                <w:sz w:val="20"/>
                <w:szCs w:val="20"/>
                <w:color w:val="auto"/>
              </w:rPr>
            </w:pP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10.59 %</w:t>
            </w:r>
          </w:p>
        </w:tc>
        <w:tc>
          <w:tcPr>
            <w:tcW w:w="28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12.22 %</w:t>
            </w:r>
          </w:p>
        </w:tc>
      </w:tr>
      <w:tr>
        <w:trPr>
          <w:trHeight w:val="198"/>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75,112</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46,938</w:t>
            </w:r>
          </w:p>
        </w:tc>
        <w:tc>
          <w:tcPr>
            <w:tcW w:w="220" w:type="dxa"/>
            <w:vAlign w:val="bottom"/>
            <w:shd w:val="clear" w:color="auto" w:fill="CFF0FC"/>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32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(330,307 )</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(864,874 )</w:t>
            </w:r>
          </w:p>
        </w:tc>
      </w:tr>
      <w:tr>
        <w:trPr>
          <w:trHeight w:val="216"/>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175,686</w:t>
            </w:r>
          </w:p>
        </w:tc>
        <w:tc>
          <w:tcPr>
            <w:tcW w:w="4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385,075</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(79,509 )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(432,861 )</w:t>
            </w:r>
          </w:p>
        </w:tc>
      </w:tr>
      <w:tr>
        <w:trPr>
          <w:trHeight w:val="20"/>
        </w:trPr>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-170815</wp:posOffset>
            </wp:positionV>
            <wp:extent cx="15430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64" w:lineRule="exact"/>
        <w:rPr>
          <w:sz w:val="20"/>
          <w:szCs w:val="20"/>
          <w:color w:val="auto"/>
        </w:rPr>
      </w:pPr>
    </w:p>
    <w:p>
      <w:pPr>
        <w:ind w:right="220" w:firstLine="469"/>
        <w:spacing w:after="0" w:line="282" w:lineRule="auto"/>
        <w:rPr>
          <w:sz w:val="20"/>
          <w:szCs w:val="20"/>
          <w:color w:val="auto"/>
        </w:rPr>
      </w:pPr>
      <w:r>
        <w:rPr>
          <w:rFonts w:ascii="Times New Roman" w:cs="Times New Roman" w:eastAsia="Times New Roman" w:hAnsi="Times New Roman"/>
          <w:sz w:val="18"/>
          <w:szCs w:val="18"/>
          <w:color w:val="auto"/>
        </w:rPr>
        <w:t>Average cash and cash equivalents increased by $67.8 million, or 3.82%, to $1.84 billion for the three months ended March 31, 2022, compared to $1.77 billion for the same period of 2021.</w:t>
      </w:r>
    </w:p>
    <w:p>
      <w:pPr>
        <w:spacing w:after="0" w:line="135"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At March 31, 2022, cash and cash equivalents totaled $1.65 billion. This represented an increase of $127.7 million, or 8.37%, from $1.53 billion at March 31,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Management</w:t>
      </w:r>
    </w:p>
    <w:p>
      <w:pPr>
        <w:spacing w:after="0" w:line="216" w:lineRule="exact"/>
        <w:rPr>
          <w:sz w:val="20"/>
          <w:szCs w:val="20"/>
          <w:color w:val="auto"/>
        </w:rPr>
      </w:pPr>
    </w:p>
    <w:p>
      <w:pPr>
        <w:ind w:right="40" w:firstLine="469"/>
        <w:spacing w:after="0" w:line="242" w:lineRule="auto"/>
        <w:rPr>
          <w:sz w:val="20"/>
          <w:szCs w:val="20"/>
          <w:color w:val="auto"/>
        </w:rPr>
      </w:pPr>
      <w:r>
        <w:rPr>
          <w:rFonts w:ascii="Times New Roman" w:cs="Times New Roman" w:eastAsia="Times New Roman" w:hAnsi="Times New Roman"/>
          <w:sz w:val="18"/>
          <w:szCs w:val="18"/>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87" w:lineRule="exact"/>
        <w:rPr>
          <w:sz w:val="20"/>
          <w:szCs w:val="20"/>
          <w:color w:val="auto"/>
        </w:rPr>
      </w:pPr>
    </w:p>
    <w:p>
      <w:pPr>
        <w:ind w:right="60" w:firstLine="469"/>
        <w:spacing w:after="0" w:line="245" w:lineRule="auto"/>
        <w:rPr>
          <w:sz w:val="20"/>
          <w:szCs w:val="20"/>
          <w:color w:val="auto"/>
        </w:rPr>
      </w:pPr>
      <w:r>
        <w:rPr>
          <w:rFonts w:ascii="Times New Roman" w:cs="Times New Roman" w:eastAsia="Times New Roman" w:hAnsi="Times New Roman"/>
          <w:sz w:val="18"/>
          <w:szCs w:val="18"/>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rate risk policy measures the sensitivity of our net interest income over both a one-year and two-year cumulative time horizon.</w:t>
      </w:r>
    </w:p>
    <w:p>
      <w:pPr>
        <w:spacing w:after="0" w:line="212" w:lineRule="exact"/>
        <w:rPr>
          <w:sz w:val="20"/>
          <w:szCs w:val="20"/>
          <w:color w:val="auto"/>
        </w:rPr>
      </w:pPr>
    </w:p>
    <w:p>
      <w:pPr>
        <w:ind w:firstLine="469"/>
        <w:spacing w:after="0" w:line="244" w:lineRule="auto"/>
        <w:rPr>
          <w:sz w:val="20"/>
          <w:szCs w:val="20"/>
          <w:color w:val="auto"/>
        </w:rPr>
      </w:pPr>
      <w:r>
        <w:rPr>
          <w:rFonts w:ascii="Times New Roman" w:cs="Times New Roman" w:eastAsia="Times New Roman" w:hAnsi="Times New Roman"/>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100 basis point downward shift in interest rates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ind w:right="200"/>
        <w:spacing w:after="0" w:line="282" w:lineRule="auto"/>
        <w:rPr>
          <w:sz w:val="20"/>
          <w:szCs w:val="20"/>
          <w:color w:val="auto"/>
        </w:rPr>
      </w:pPr>
      <w:r>
        <w:rPr>
          <w:rFonts w:ascii="Times New Roman" w:cs="Times New Roman" w:eastAsia="Times New Roman" w:hAnsi="Times New Roman"/>
          <w:sz w:val="18"/>
          <w:szCs w:val="18"/>
          <w:color w:val="auto"/>
        </w:rPr>
        <w:t>depending on the level of current market rates. The simulation model uses a parallel yield curve shift that ramps rates up or down on a pro rata basis over the 12-month and 24-month time horizon.</w:t>
      </w:r>
    </w:p>
    <w:p>
      <w:pPr>
        <w:spacing w:after="0" w:line="135" w:lineRule="exact"/>
        <w:rPr>
          <w:sz w:val="20"/>
          <w:szCs w:val="20"/>
          <w:color w:val="auto"/>
        </w:rPr>
      </w:pPr>
    </w:p>
    <w:p>
      <w:pPr>
        <w:ind w:right="240" w:firstLine="464"/>
        <w:spacing w:after="0" w:line="282" w:lineRule="auto"/>
        <w:rPr>
          <w:sz w:val="20"/>
          <w:szCs w:val="20"/>
          <w:color w:val="auto"/>
        </w:rPr>
      </w:pPr>
      <w:r>
        <w:rPr>
          <w:rFonts w:ascii="Times New Roman" w:cs="Times New Roman" w:eastAsia="Times New Roman" w:hAnsi="Times New Roman"/>
          <w:sz w:val="18"/>
          <w:szCs w:val="18"/>
          <w:color w:val="auto"/>
        </w:rPr>
        <w:t>The following depicts the Company’s net interest income sensitivity analysis for the periods presented below, when rates are ramped up 200bps or ramped down 100bps over a 12-month time horizon.</w:t>
      </w:r>
    </w:p>
    <w:p>
      <w:pPr>
        <w:spacing w:after="0" w:line="1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Estimated Net Interest Income Sensitivity (1)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300" w:type="dxa"/>
            <w:vAlign w:val="bottom"/>
            <w:tcBorders>
              <w:top w:val="single" w:sz="8" w:color="auto"/>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0"/>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Scenario</w:t>
            </w:r>
          </w:p>
        </w:tc>
        <w:tc>
          <w:tcPr>
            <w:tcW w:w="160" w:type="dxa"/>
            <w:vAlign w:val="bottom"/>
            <w:vMerge w:val="restart"/>
          </w:tcPr>
          <w:p>
            <w:pPr>
              <w:spacing w:after="0"/>
              <w:rPr>
                <w:sz w:val="13"/>
                <w:szCs w:val="13"/>
                <w:color w:val="auto"/>
              </w:rPr>
            </w:pP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13"/>
                <w:szCs w:val="13"/>
                <w:color w:val="auto"/>
              </w:rPr>
            </w:pP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24-month Period</w:t>
            </w:r>
          </w:p>
        </w:tc>
        <w:tc>
          <w:tcPr>
            <w:tcW w:w="160" w:type="dxa"/>
            <w:vAlign w:val="bottom"/>
          </w:tcPr>
          <w:p>
            <w:pPr>
              <w:spacing w:after="0"/>
              <w:rPr>
                <w:sz w:val="13"/>
                <w:szCs w:val="13"/>
                <w:color w:val="auto"/>
              </w:rPr>
            </w:pPr>
          </w:p>
        </w:tc>
        <w:tc>
          <w:tcPr>
            <w:tcW w:w="20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Interest Rate Scenario</w:t>
            </w:r>
          </w:p>
        </w:tc>
        <w:tc>
          <w:tcPr>
            <w:tcW w:w="160" w:type="dxa"/>
            <w:vAlign w:val="bottom"/>
            <w:vMerge w:val="restart"/>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12-month Period</w:t>
            </w:r>
          </w:p>
        </w:tc>
        <w:tc>
          <w:tcPr>
            <w:tcW w:w="160" w:type="dxa"/>
            <w:vAlign w:val="bottom"/>
          </w:tcPr>
          <w:p>
            <w:pPr>
              <w:spacing w:after="0"/>
              <w:rPr>
                <w:sz w:val="13"/>
                <w:szCs w:val="13"/>
                <w:color w:val="auto"/>
              </w:rPr>
            </w:pPr>
          </w:p>
        </w:tc>
        <w:tc>
          <w:tcPr>
            <w:tcW w:w="16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8"/>
              </w:rPr>
              <w:t>24-month Period</w:t>
            </w:r>
          </w:p>
        </w:tc>
        <w:tc>
          <w:tcPr>
            <w:tcW w:w="0" w:type="dxa"/>
            <w:vAlign w:val="bottom"/>
          </w:tcPr>
          <w:p>
            <w:pPr>
              <w:spacing w:after="0"/>
              <w:rPr>
                <w:sz w:val="1"/>
                <w:szCs w:val="1"/>
                <w:color w:val="auto"/>
              </w:rPr>
            </w:pPr>
          </w:p>
        </w:tc>
      </w:tr>
      <w:tr>
        <w:trPr>
          <w:trHeight w:val="238"/>
        </w:trPr>
        <w:tc>
          <w:tcPr>
            <w:tcW w:w="200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160" w:type="dxa"/>
            <w:vAlign w:val="bottom"/>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+ 200 basis points</w:t>
            </w:r>
          </w:p>
        </w:tc>
        <w:tc>
          <w:tcPr>
            <w:tcW w:w="15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7.62%</w:t>
            </w:r>
          </w:p>
        </w:tc>
        <w:tc>
          <w:tcPr>
            <w:tcW w:w="186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9.85%</w:t>
            </w:r>
          </w:p>
        </w:tc>
        <w:tc>
          <w:tcPr>
            <w:tcW w:w="184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34"/>
        </w:trPr>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- 100 basis points</w:t>
            </w: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-2.66%</w:t>
            </w:r>
          </w:p>
        </w:tc>
        <w:tc>
          <w:tcPr>
            <w:tcW w:w="1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-4.63%</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-4.30%</w:t>
            </w:r>
          </w:p>
        </w:tc>
        <w:tc>
          <w:tcPr>
            <w:tcW w:w="18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940" w:right="100" w:hanging="370"/>
        <w:spacing w:after="0" w:line="263" w:lineRule="auto"/>
        <w:tabs>
          <w:tab w:leader="none" w:pos="9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change from base scenario, but the current low interest rate environment limits the absolute decline in rates as the model does not assume rates go below zero.</w:t>
      </w:r>
    </w:p>
    <w:p>
      <w:pPr>
        <w:spacing w:after="0" w:line="173" w:lineRule="exact"/>
        <w:rPr>
          <w:sz w:val="20"/>
          <w:szCs w:val="20"/>
          <w:color w:val="auto"/>
        </w:rPr>
      </w:pPr>
    </w:p>
    <w:p>
      <w:pPr>
        <w:ind w:right="60" w:firstLine="469"/>
        <w:spacing w:after="0" w:line="246" w:lineRule="auto"/>
        <w:rPr>
          <w:sz w:val="20"/>
          <w:szCs w:val="20"/>
          <w:color w:val="auto"/>
        </w:rPr>
      </w:pPr>
      <w:r>
        <w:rPr>
          <w:rFonts w:ascii="Times New Roman" w:cs="Times New Roman" w:eastAsia="Times New Roman" w:hAnsi="Times New Roman"/>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166" w:lineRule="exact"/>
        <w:rPr>
          <w:sz w:val="20"/>
          <w:szCs w:val="20"/>
          <w:color w:val="auto"/>
        </w:rPr>
      </w:pPr>
    </w:p>
    <w:p>
      <w:pPr>
        <w:ind w:right="140" w:firstLine="469"/>
        <w:spacing w:after="0" w:line="243" w:lineRule="auto"/>
        <w:rPr>
          <w:sz w:val="20"/>
          <w:szCs w:val="20"/>
          <w:color w:val="auto"/>
        </w:rPr>
      </w:pPr>
      <w:r>
        <w:rPr>
          <w:rFonts w:ascii="Times New Roman" w:cs="Times New Roman" w:eastAsia="Times New Roman" w:hAnsi="Times New Roman"/>
          <w:sz w:val="18"/>
          <w:szCs w:val="18"/>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March 31, 2022 and December 31, 2021, the EVE profile indicates a decline in net balance sheet value due to instantaneous downward changes in rates, compared to an increase resulting from an increase in rates.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Value of Equity Sensitivity</w:t>
            </w:r>
          </w:p>
        </w:tc>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Instantaneous Rate Change</w:t>
            </w:r>
          </w:p>
        </w:tc>
        <w:tc>
          <w:tcPr>
            <w:tcW w:w="22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00" w:type="dxa"/>
            <w:vAlign w:val="bottom"/>
          </w:tcPr>
          <w:p>
            <w:pPr>
              <w:spacing w:after="0"/>
              <w:rPr>
                <w:sz w:val="24"/>
                <w:szCs w:val="24"/>
                <w:color w:val="auto"/>
              </w:rPr>
            </w:pPr>
          </w:p>
        </w:tc>
        <w:tc>
          <w:tcPr>
            <w:tcW w:w="3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400" w:type="dxa"/>
            <w:vAlign w:val="bottom"/>
            <w:gridSpan w:val="2"/>
          </w:tcPr>
          <w:p>
            <w:pPr>
              <w:spacing w:after="0"/>
              <w:rPr>
                <w:sz w:val="18"/>
                <w:szCs w:val="18"/>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 bp decrease in interest rates</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340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8"/>
              </w:rPr>
              <w:t>-14.1%</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 bp increase in interest rates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3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200 bp increase in interest rates</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340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11.8%</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 bp increase in interest rates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3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8"/>
              </w:rPr>
              <w:t>13.6%</w:t>
            </w: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400 bp increase in interest rates</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340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16.8%</w:t>
            </w:r>
          </w:p>
        </w:tc>
      </w:tr>
    </w:tbl>
    <w:p>
      <w:pPr>
        <w:spacing w:after="0" w:line="184" w:lineRule="exact"/>
        <w:rPr>
          <w:sz w:val="20"/>
          <w:szCs w:val="20"/>
          <w:color w:val="auto"/>
        </w:rPr>
      </w:pPr>
    </w:p>
    <w:p>
      <w:pPr>
        <w:jc w:val="both"/>
        <w:ind w:right="180" w:firstLine="469"/>
        <w:spacing w:after="0" w:line="250" w:lineRule="auto"/>
        <w:rPr>
          <w:sz w:val="20"/>
          <w:szCs w:val="20"/>
          <w:color w:val="auto"/>
        </w:rPr>
      </w:pPr>
      <w:r>
        <w:rPr>
          <w:rFonts w:ascii="Times New Roman" w:cs="Times New Roman" w:eastAsia="Times New Roman" w:hAnsi="Times New Roman"/>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firstLine="469"/>
        <w:spacing w:after="0" w:line="246" w:lineRule="auto"/>
        <w:rPr>
          <w:sz w:val="20"/>
          <w:szCs w:val="20"/>
          <w:color w:val="auto"/>
        </w:rPr>
      </w:pPr>
      <w:r>
        <w:rPr>
          <w:rFonts w:ascii="Times New Roman" w:cs="Times New Roman" w:eastAsia="Times New Roman" w:hAnsi="Times New Roman"/>
          <w:sz w:val="18"/>
          <w:szCs w:val="18"/>
          <w:color w:val="auto"/>
        </w:rPr>
        <w:t>We currently do not enter into futures, forwards, or option contracts. LIBOR is expected to be completely phased out by 2023, as such the Company continues to assess the impacts of this transition and exploring alternatives to use in place of LIBOR for various financial instruments, primarily related to our variable or adjustable rate loans and interest rate swap derivatives that are indexed to LIBOR. The Bank will use multiple alternative indices as replacements for LIBOR for new instruments originated after 2021. For further quantitative and qualitative disclosures about market risks in our portfolio, see “</w:t>
      </w:r>
      <w:r>
        <w:rPr>
          <w:rFonts w:ascii="Times New Roman" w:cs="Times New Roman" w:eastAsia="Times New Roman" w:hAnsi="Times New Roman"/>
          <w:sz w:val="18"/>
          <w:szCs w:val="18"/>
          <w:i w:val="1"/>
          <w:iCs w:val="1"/>
          <w:color w:val="auto"/>
        </w:rPr>
        <w:t>Asset/Liability Management and Interest Rate Sensitivity Management</w:t>
      </w:r>
      <w:r>
        <w:rPr>
          <w:rFonts w:ascii="Times New Roman" w:cs="Times New Roman" w:eastAsia="Times New Roman" w:hAnsi="Times New Roman"/>
          <w:sz w:val="18"/>
          <w:szCs w:val="18"/>
          <w:color w:val="auto"/>
        </w:rPr>
        <w:t>” included in Item 2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presented elsewhere in this report. This analysis should be read in conjunction with our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2021. Our analysis of market risk and market-sensitive financial information contains forward-looking statements and is subject to the disclosure at the beginning of Part I regarding such forward-looking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6" w:lineRule="exact"/>
        <w:rPr>
          <w:sz w:val="20"/>
          <w:szCs w:val="20"/>
          <w:color w:val="auto"/>
        </w:rPr>
      </w:pPr>
    </w:p>
    <w:p>
      <w:pPr>
        <w:ind w:right="80" w:firstLine="469"/>
        <w:spacing w:after="0" w:line="250"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64" w:lineRule="exact"/>
        <w:rPr>
          <w:sz w:val="20"/>
          <w:szCs w:val="20"/>
          <w:color w:val="auto"/>
        </w:rPr>
      </w:pPr>
    </w:p>
    <w:p>
      <w:pPr>
        <w:ind w:right="180" w:firstLine="46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2022, there have been no changes in our internal controls over financial reporting that have materially affected or are reasonably likely to materially affect our internal controls over financial reporting.</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w:t>
      </w:r>
    </w:p>
    <w:p>
      <w:pPr>
        <w:spacing w:after="0" w:line="154"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63"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33" w:lineRule="exact"/>
        <w:rPr>
          <w:sz w:val="20"/>
          <w:szCs w:val="20"/>
          <w:color w:val="auto"/>
        </w:rPr>
      </w:pPr>
    </w:p>
    <w:p>
      <w:pPr>
        <w:ind w:right="200" w:firstLine="509"/>
        <w:spacing w:after="0" w:line="244" w:lineRule="auto"/>
        <w:rPr>
          <w:sz w:val="20"/>
          <w:szCs w:val="20"/>
          <w:color w:val="auto"/>
        </w:rPr>
      </w:pPr>
      <w:r>
        <w:rPr>
          <w:rFonts w:ascii="Times New Roman" w:cs="Times New Roman" w:eastAsia="Times New Roman" w:hAnsi="Times New Roman"/>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ind w:firstLine="469"/>
        <w:spacing w:after="0" w:line="247" w:lineRule="auto"/>
        <w:rPr>
          <w:sz w:val="20"/>
          <w:szCs w:val="20"/>
          <w:color w:val="auto"/>
        </w:rPr>
      </w:pPr>
      <w:r>
        <w:rPr>
          <w:rFonts w:ascii="Times New Roman" w:cs="Times New Roman" w:eastAsia="Times New Roman" w:hAnsi="Times New Roman"/>
          <w:sz w:val="18"/>
          <w:szCs w:val="18"/>
          <w:color w:val="auto"/>
        </w:rPr>
        <w:t>Except as discussed below there have been no material changes to the risk factors as previously disclosed in Item 1A. to Part I of our Annual Report on Form 10-K for the year ended December 31, 2021.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Times New Roman" w:cs="Times New Roman" w:eastAsia="Times New Roman" w:hAnsi="Times New Roman"/>
          <w:sz w:val="18"/>
          <w:szCs w:val="18"/>
          <w:i w:val="1"/>
          <w:iCs w:val="1"/>
          <w:color w:val="auto"/>
        </w:rPr>
        <w:t>Management’s Discussion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 this Quarterly Report on Form 10-Q.</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market and political conditions can adversely affect our operating results and financial condition.</w:t>
      </w:r>
    </w:p>
    <w:p>
      <w:pPr>
        <w:spacing w:after="0" w:line="216" w:lineRule="exact"/>
        <w:rPr>
          <w:sz w:val="20"/>
          <w:szCs w:val="20"/>
          <w:color w:val="auto"/>
        </w:rPr>
      </w:pPr>
    </w:p>
    <w:p>
      <w:pPr>
        <w:ind w:right="60" w:firstLine="469"/>
        <w:spacing w:after="0" w:line="242" w:lineRule="auto"/>
        <w:rPr>
          <w:sz w:val="20"/>
          <w:szCs w:val="20"/>
          <w:color w:val="auto"/>
        </w:rPr>
      </w:pPr>
      <w:r>
        <w:rPr>
          <w:rFonts w:ascii="Times New Roman" w:cs="Times New Roman" w:eastAsia="Times New Roman" w:hAnsi="Times New Roman"/>
          <w:sz w:val="18"/>
          <w:szCs w:val="18"/>
          <w:color w:val="auto"/>
        </w:rPr>
        <w:t>We are subject to macroeconomic and interest rate risk due to domestic and global economic instability that has resulted in higher inflation than the United States has experienced in more than 40 years. The global economic impact from the geopolitical events in Europe that is contributing to rising energy and commodity prices, as well as the on-going supply chain disruptions have resulted in inflationary pressures and increases to prevailing interest rates. The Federal Reserve’s Open Market Committee (“FOMC”) raised the target range for the federal funds rate to 0.75% to 1.00% on May 4, 2022 and communicated a plan to reduce the size of the Federal Reserve’s holdings of Treasury and Mortgage-Backed securities starting in June of 2022. These recent increases in prevailing interest rates and the expectation that further increases are likely will impact both our customers and many aspects of our business. Higher interest rates will not only impact the interest we receive on loans and investment securities and the amount of interest we pay our depositors, but could also impact our ability to grow loans and deposits. Rising interest rates, higher commodity prices, and supply chain issues and an overall slowdown in economic growth could also impact the fair value of our assets and adversely impact our asset quality.</w:t>
      </w:r>
    </w:p>
    <w:p>
      <w:pPr>
        <w:spacing w:after="0" w:line="183" w:lineRule="exact"/>
        <w:rPr>
          <w:sz w:val="20"/>
          <w:szCs w:val="20"/>
          <w:color w:val="auto"/>
        </w:rPr>
      </w:pPr>
    </w:p>
    <w:p>
      <w:pPr>
        <w:ind w:right="120" w:firstLine="46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occurrence of fraudulent activity, breaches or failures of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155" w:lineRule="exact"/>
        <w:rPr>
          <w:sz w:val="20"/>
          <w:szCs w:val="20"/>
          <w:color w:val="auto"/>
        </w:rPr>
      </w:pPr>
    </w:p>
    <w:p>
      <w:pPr>
        <w:ind w:right="60" w:firstLine="464"/>
        <w:spacing w:after="0" w:line="243" w:lineRule="auto"/>
        <w:rPr>
          <w:sz w:val="20"/>
          <w:szCs w:val="20"/>
          <w:color w:val="auto"/>
        </w:rPr>
      </w:pPr>
      <w:r>
        <w:rPr>
          <w:rFonts w:ascii="Times New Roman" w:cs="Times New Roman" w:eastAsia="Times New Roman" w:hAnsi="Times New Roman"/>
          <w:sz w:val="18"/>
          <w:szCs w:val="18"/>
          <w:color w:val="auto"/>
        </w:rPr>
        <w:t>As a financial institution, we are susceptible to fraudulent activity, information security breaches and other cybersecurity-related incidents that may be committed against us or our customers, which may result in financial losses or increased costs to us or our customers, disclosure or misuse of our information or our customer information, misappropriation of assets, privacy breaches against our customers, litigation, or damage to our reputation. The U.S. government has warned financial institutions of the potential increase in malicious cyber-attacks and other activities involving critical infrastructure, such as the financial sector, and has encouraged the banking sector to enhance cyber-defense, and these warnings have been reiterated in connection with the current conflict in Europe initiated by Russia against Ukraine.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firstLine="469"/>
        <w:spacing w:after="0" w:line="245" w:lineRule="auto"/>
        <w:rPr>
          <w:sz w:val="20"/>
          <w:szCs w:val="20"/>
          <w:color w:val="auto"/>
        </w:rPr>
      </w:pPr>
      <w:r>
        <w:rPr>
          <w:rFonts w:ascii="Times New Roman" w:cs="Times New Roman" w:eastAsia="Times New Roman" w:hAnsi="Times New Roman"/>
          <w:sz w:val="18"/>
          <w:szCs w:val="18"/>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quarter of 2022, we executed on the $70 million accelerated stock repurchase program and retired 2,544,298 shares of common stock, or approximately 80% of the estimated shares repurchased under the program. We also repurchased, under our 10b5-1 stock repurchase plan, 536,010 shares of common stock, at an average repurchase price of $23.40, totaling $12.5 million. As of March 31, 2022, we had 6,919,692 shares of CVB common stock available for repurchase under the 2022 Repurchase Program.</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 Purchased as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 Shares Available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 Announced Plans or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Repurchase Under the Plans or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0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1 - 31, 2022</w:t>
            </w:r>
          </w:p>
        </w:tc>
        <w:tc>
          <w:tcPr>
            <w:tcW w:w="3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1 - 28, 2022</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2,544,298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7,455,702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1 - 31, 2022</w:t>
            </w:r>
          </w:p>
        </w:tc>
        <w:tc>
          <w:tcPr>
            <w:tcW w:w="3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536,010</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3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6,919,692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3,080,308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6,919,692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-170815</wp:posOffset>
            </wp:positionV>
            <wp:extent cx="7683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514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40" w:type="dxa"/>
            <w:vAlign w:val="bottom"/>
          </w:tcPr>
          <w:p>
            <w:pPr>
              <w:spacing w:after="0"/>
              <w:rPr>
                <w:sz w:val="19"/>
                <w:szCs w:val="19"/>
                <w:color w:val="auto"/>
              </w:rPr>
            </w:pPr>
          </w:p>
        </w:tc>
        <w:tc>
          <w:tcPr>
            <w:tcW w:w="9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91"/>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24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40" w:type="dxa"/>
            <w:vAlign w:val="bottom"/>
          </w:tcPr>
          <w:p>
            <w:pPr>
              <w:spacing w:after="0"/>
              <w:rPr>
                <w:sz w:val="17"/>
                <w:szCs w:val="17"/>
                <w:color w:val="auto"/>
              </w:rPr>
            </w:pPr>
          </w:p>
        </w:tc>
        <w:tc>
          <w:tcPr>
            <w:tcW w:w="9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32.1</w:t>
            </w:r>
          </w:p>
        </w:tc>
        <w:tc>
          <w:tcPr>
            <w:tcW w:w="240" w:type="dxa"/>
            <w:vAlign w:val="bottom"/>
          </w:tcPr>
          <w:p>
            <w:pPr>
              <w:spacing w:after="0"/>
              <w:rPr>
                <w:sz w:val="17"/>
                <w:szCs w:val="17"/>
                <w:color w:val="auto"/>
              </w:rPr>
            </w:pPr>
          </w:p>
        </w:tc>
        <w:tc>
          <w:tcPr>
            <w:tcW w:w="9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32.2</w:t>
            </w:r>
          </w:p>
        </w:tc>
        <w:tc>
          <w:tcPr>
            <w:tcW w:w="240" w:type="dxa"/>
            <w:vAlign w:val="bottom"/>
          </w:tcPr>
          <w:p>
            <w:pPr>
              <w:spacing w:after="0"/>
              <w:rPr>
                <w:sz w:val="17"/>
                <w:szCs w:val="17"/>
                <w:color w:val="auto"/>
              </w:rPr>
            </w:pPr>
          </w:p>
        </w:tc>
        <w:tc>
          <w:tcPr>
            <w:tcW w:w="9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6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1"/>
        </w:trPr>
        <w:tc>
          <w:tcPr>
            <w:tcW w:w="11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6"/>
                <w:szCs w:val="16"/>
                <w:color w:val="auto"/>
              </w:rPr>
            </w:pPr>
          </w:p>
        </w:tc>
        <w:tc>
          <w:tcPr>
            <w:tcW w:w="97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16"/>
        </w:trPr>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4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24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24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0"/>
                <w:szCs w:val="20"/>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440" w:right="420" w:hanging="966"/>
        <w:spacing w:after="0" w:line="234" w:lineRule="auto"/>
        <w:tabs>
          <w:tab w:leader="none" w:pos="1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2022, has been formatted in Inline XBRL.</w:t>
      </w:r>
    </w:p>
    <w:p>
      <w:pPr>
        <w:spacing w:after="0" w:line="17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Filed herewith</w:t>
      </w:r>
    </w:p>
    <w:p>
      <w:pPr>
        <w:spacing w:after="0" w:line="27" w:lineRule="exact"/>
        <w:rPr>
          <w:rFonts w:ascii="Times New Roman" w:cs="Times New Roman" w:eastAsia="Times New Roman" w:hAnsi="Times New Roman"/>
          <w:sz w:val="18"/>
          <w:szCs w:val="18"/>
          <w:color w:val="auto"/>
        </w:rPr>
      </w:pPr>
    </w:p>
    <w:p>
      <w:pPr>
        <w:ind w:left="1680" w:hanging="1339"/>
        <w:spacing w:after="0" w:line="227" w:lineRule="auto"/>
        <w:tabs>
          <w:tab w:leader="none" w:pos="1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237426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CVB FINANCIAL CORP.</w:t>
      </w:r>
    </w:p>
    <w:p>
      <w:pPr>
        <w:spacing w:after="0" w:line="1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May 10, 2022</w:t>
            </w:r>
          </w:p>
        </w:tc>
      </w:tr>
    </w:tbl>
    <w:p>
      <w:pPr>
        <w:spacing w:after="0" w:line="16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/s/ E. Allen Nicholson</w:t>
      </w:r>
    </w:p>
    <w:p>
      <w:pPr>
        <w:spacing w:after="0" w:line="1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E. Allen Nicholson</w:t>
      </w:r>
    </w:p>
    <w:p>
      <w:pPr>
        <w:ind w:left="5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60" w:right="7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Brager, certify that:</w:t>
      </w:r>
    </w:p>
    <w:p>
      <w:pPr>
        <w:spacing w:after="0" w:line="21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500" w:right="140" w:hanging="369"/>
        <w:spacing w:after="0" w:line="250"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500" w:right="200" w:hanging="369"/>
        <w:spacing w:after="0" w:line="250"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right="26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560" w:hanging="369"/>
        <w:spacing w:after="0" w:line="266" w:lineRule="auto"/>
        <w:tabs>
          <w:tab w:leader="none" w:pos="15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10, 2022</w:t>
            </w:r>
          </w:p>
        </w:tc>
        <w:tc>
          <w:tcPr>
            <w:tcW w:w="2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Brager</w:t>
            </w:r>
          </w:p>
        </w:tc>
      </w:tr>
      <w:tr>
        <w:trPr>
          <w:trHeight w:val="178"/>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David A. Brager</w:t>
            </w:r>
          </w:p>
        </w:tc>
        <w:tc>
          <w:tcPr>
            <w:tcW w:w="3040" w:type="dxa"/>
            <w:vAlign w:val="bottom"/>
          </w:tcPr>
          <w:p>
            <w:pPr>
              <w:spacing w:after="0"/>
              <w:rPr>
                <w:sz w:val="15"/>
                <w:szCs w:val="15"/>
                <w:color w:val="auto"/>
              </w:rPr>
            </w:pPr>
          </w:p>
        </w:tc>
      </w:tr>
      <w:tr>
        <w:trPr>
          <w:trHeight w:val="234"/>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 Allen Nicholson, certify that:</w:t>
      </w:r>
    </w:p>
    <w:p>
      <w:pPr>
        <w:spacing w:after="0" w:line="212"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CVB Financial Corp.;</w:t>
      </w:r>
    </w:p>
    <w:p>
      <w:pPr>
        <w:spacing w:after="0" w:line="211" w:lineRule="exact"/>
        <w:rPr>
          <w:rFonts w:ascii="Times New Roman" w:cs="Times New Roman" w:eastAsia="Times New Roman" w:hAnsi="Times New Roman"/>
          <w:sz w:val="18"/>
          <w:szCs w:val="18"/>
          <w:color w:val="auto"/>
        </w:rPr>
      </w:pPr>
    </w:p>
    <w:p>
      <w:pPr>
        <w:jc w:val="both"/>
        <w:ind w:left="760" w:right="20" w:hanging="378"/>
        <w:spacing w:after="0" w:line="258"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760" w:right="24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500" w:right="140" w:hanging="369"/>
        <w:spacing w:after="0" w:line="250"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ind w:left="1500" w:right="200" w:hanging="369"/>
        <w:spacing w:after="0" w:line="250"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1500" w:right="40" w:hanging="369"/>
        <w:spacing w:after="0" w:line="258"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260" w:hanging="369"/>
        <w:spacing w:after="0" w:line="266"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10, 2022</w:t>
            </w:r>
          </w:p>
        </w:tc>
        <w:tc>
          <w:tcPr>
            <w:tcW w:w="2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 Allen Nicholson</w:t>
            </w:r>
          </w:p>
        </w:tc>
      </w:tr>
      <w:tr>
        <w:trPr>
          <w:trHeight w:val="178"/>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15"/>
                <w:szCs w:val="15"/>
                <w:color w:val="auto"/>
              </w:rPr>
            </w:pPr>
          </w:p>
        </w:tc>
      </w:tr>
      <w:tr>
        <w:trPr>
          <w:trHeight w:val="234"/>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20"/>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jc w:val="both"/>
        <w:ind w:right="140"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March 31, 2022, as filed with the Securities and Exchange Commission on the date hereof (the “Report”), I, David A. Brager, Chief Executive Officer of the Company, certify, pursuant to 18 U.S.C. § 1350, as adopted pursuant to § 906 of the Sarbanes-Oxley Act of 2002, to the best of my knowledge that:</w:t>
      </w:r>
    </w:p>
    <w:p>
      <w:pPr>
        <w:spacing w:after="0" w:line="169"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10, 2022</w:t>
            </w:r>
          </w:p>
        </w:tc>
        <w:tc>
          <w:tcPr>
            <w:tcW w:w="2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A. Brager</w:t>
            </w:r>
          </w:p>
        </w:tc>
      </w:tr>
      <w:tr>
        <w:trPr>
          <w:trHeight w:val="178"/>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2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David A. Brager</w:t>
            </w:r>
          </w:p>
        </w:tc>
        <w:tc>
          <w:tcPr>
            <w:tcW w:w="3040" w:type="dxa"/>
            <w:vAlign w:val="bottom"/>
          </w:tcPr>
          <w:p>
            <w:pPr>
              <w:spacing w:after="0"/>
              <w:rPr>
                <w:sz w:val="15"/>
                <w:szCs w:val="15"/>
                <w:color w:val="auto"/>
              </w:rPr>
            </w:pPr>
          </w:p>
        </w:tc>
      </w:tr>
      <w:tr>
        <w:trPr>
          <w:trHeight w:val="234"/>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CVB Financial Corp. (the “Company”) on Form 10-Q for the period ended March 31, 2022, as filed with the Securities and Exchange Commission on the date hereof (the “Report”), I, E. Allen Nicholson, Chief Financial Officer of the Company, certify, pursuant to 18 U.S.C. § 1350, as adopted pursuant to § 906 of the Sarbanes-Oxley Act of 2002, to the best of my knowledge that:</w:t>
      </w:r>
    </w:p>
    <w:p>
      <w:pPr>
        <w:spacing w:after="0" w:line="169"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10, 2022</w:t>
            </w:r>
          </w:p>
        </w:tc>
        <w:tc>
          <w:tcPr>
            <w:tcW w:w="2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 Allen Nicholson</w:t>
            </w:r>
          </w:p>
        </w:tc>
      </w:tr>
      <w:tr>
        <w:trPr>
          <w:trHeight w:val="178"/>
        </w:trPr>
        <w:tc>
          <w:tcPr>
            <w:tcW w:w="5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E. Allen Nicholson</w:t>
            </w:r>
          </w:p>
        </w:tc>
        <w:tc>
          <w:tcPr>
            <w:tcW w:w="2860" w:type="dxa"/>
            <w:vAlign w:val="bottom"/>
          </w:tcPr>
          <w:p>
            <w:pPr>
              <w:spacing w:after="0"/>
              <w:rPr>
                <w:sz w:val="15"/>
                <w:szCs w:val="15"/>
                <w:color w:val="auto"/>
              </w:rPr>
            </w:pPr>
          </w:p>
        </w:tc>
      </w:tr>
      <w:tr>
        <w:trPr>
          <w:trHeight w:val="234"/>
        </w:trPr>
        <w:tc>
          <w:tcPr>
            <w:tcW w:w="5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33"/>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 "/>
      <w:numFmt w:val="bullet"/>
      <w:start w:val="1"/>
    </w:lvl>
  </w:abstractNum>
  <w:abstractNum w:abstractNumId="1">
    <w:nsid w:val="3352255A"/>
    <w:multiLevelType w:val="hybridMultilevel"/>
    <w:lvl w:ilvl="0">
      <w:lvlJc w:val="left"/>
      <w:lvlText w:val=" "/>
      <w:numFmt w:val="bullet"/>
      <w:start w:val="1"/>
    </w:lvl>
  </w:abstractNum>
  <w:abstractNum w:abstractNumId="2">
    <w:nsid w:val="109CF92E"/>
    <w:multiLevelType w:val="hybridMultilevel"/>
    <w:lvl w:ilvl="0">
      <w:lvlJc w:val="left"/>
      <w:lvlText w:val="%1."/>
      <w:numFmt w:val="decimal"/>
      <w:start w:val="6"/>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
      <w:numFmt w:val="bullet"/>
      <w:start w:val="1"/>
    </w:lvl>
    <w:lvl w:ilvl="1">
      <w:lvlJc w:val="left"/>
      <w:lvlText w:val="%2"/>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2022-05-10T11:02:19Z</dcterms:created>
  <dcterms:modified xsi:type="dcterms:W3CDTF">2022-05-10T11:02:19Z</dcterms:modified>
</cp:coreProperties>
</file>