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10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June 30, 2024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38" w:lineRule="exact"/>
        <w:rPr>
          <w:sz w:val="24"/>
          <w:szCs w:val="24"/>
          <w:color w:val="auto"/>
        </w:rPr>
      </w:pPr>
    </w:p>
    <w:p>
      <w:pPr>
        <w:ind w:left="3480" w:right="2780" w:hanging="3472"/>
        <w:spacing w:after="0" w:line="271" w:lineRule="auto"/>
        <w:tabs>
          <w:tab w:leader="none" w:pos="232"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 to _____</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auto"/>
              </w:rPr>
              <w:t>Commission File Number: 000-10140</w:t>
            </w:r>
          </w:p>
        </w:tc>
        <w:tc>
          <w:tcPr>
            <w:tcW w:w="4120" w:type="dxa"/>
            <w:vAlign w:val="bottom"/>
          </w:tcPr>
          <w:p>
            <w:pPr>
              <w:spacing w:after="0"/>
              <w:rPr>
                <w:sz w:val="18"/>
                <w:szCs w:val="18"/>
                <w:color w:val="auto"/>
              </w:rPr>
            </w:pPr>
          </w:p>
        </w:tc>
      </w:tr>
      <w:tr>
        <w:trPr>
          <w:trHeight w:val="528"/>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Times New Roman" w:cs="Times New Roman" w:eastAsia="Times New Roman" w:hAnsi="Times New Roman"/>
                <w:sz w:val="40"/>
                <w:szCs w:val="40"/>
                <w:b w:val="1"/>
                <w:bCs w:val="1"/>
                <w:color w:val="auto"/>
                <w:w w:val="98"/>
              </w:rPr>
              <w:t>CVB FINANCIAL CORP.</w:t>
            </w:r>
          </w:p>
        </w:tc>
      </w:tr>
      <w:tr>
        <w:trPr>
          <w:trHeight w:val="234"/>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3"/>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rPr>
              <w:t>95-3629339</w:t>
            </w:r>
          </w:p>
        </w:tc>
      </w:tr>
      <w:tr>
        <w:trPr>
          <w:trHeight w:val="222"/>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59"/>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0"/>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Ontario, California</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91764</w:t>
            </w:r>
          </w:p>
        </w:tc>
      </w:tr>
      <w:tr>
        <w:trPr>
          <w:trHeight w:val="230"/>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459"/>
        </w:trPr>
        <w:tc>
          <w:tcPr>
            <w:tcW w:w="3360" w:type="dxa"/>
            <w:vAlign w:val="bottom"/>
          </w:tcPr>
          <w:p>
            <w:pPr>
              <w:spacing w:after="0"/>
              <w:rPr>
                <w:sz w:val="24"/>
                <w:szCs w:val="24"/>
                <w:color w:val="auto"/>
              </w:rPr>
            </w:pPr>
          </w:p>
        </w:tc>
        <w:tc>
          <w:tcPr>
            <w:tcW w:w="308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22"/>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(Registrant's telephone number,</w:t>
            </w:r>
          </w:p>
        </w:tc>
        <w:tc>
          <w:tcPr>
            <w:tcW w:w="4120" w:type="dxa"/>
            <w:vAlign w:val="bottom"/>
          </w:tcPr>
          <w:p>
            <w:pPr>
              <w:spacing w:after="0"/>
              <w:rPr>
                <w:sz w:val="19"/>
                <w:szCs w:val="19"/>
                <w:color w:val="auto"/>
              </w:rPr>
            </w:pPr>
          </w:p>
        </w:tc>
      </w:t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including area code)</w:t>
            </w:r>
          </w:p>
        </w:tc>
        <w:tc>
          <w:tcPr>
            <w:tcW w:w="4120" w:type="dxa"/>
            <w:vAlign w:val="bottom"/>
          </w:tcPr>
          <w:p>
            <w:pPr>
              <w:spacing w:after="0"/>
              <w:rPr>
                <w:sz w:val="18"/>
                <w:szCs w:val="18"/>
                <w:color w:val="auto"/>
              </w:rPr>
            </w:pPr>
          </w:p>
        </w:tc>
      </w:tr>
      <w:tr>
        <w:trPr>
          <w:trHeight w:val="440"/>
        </w:trPr>
        <w:tc>
          <w:tcPr>
            <w:tcW w:w="7120" w:type="dxa"/>
            <w:vAlign w:val="bottom"/>
            <w:tcBorders>
              <w:bottom w:val="single" w:sz="8" w:color="auto"/>
            </w:tcBorders>
            <w:gridSpan w:val="4"/>
          </w:tcPr>
          <w:p>
            <w:pPr>
              <w:jc w:val="center"/>
              <w:ind w:right="3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221"/>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4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68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CVBF</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9"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335" w:lineRule="exact"/>
        <w:rPr>
          <w:sz w:val="24"/>
          <w:szCs w:val="24"/>
          <w:color w:val="auto"/>
        </w:rPr>
      </w:pPr>
    </w:p>
    <w:tbl>
      <w:tblPr>
        <w:tblLayout w:type="fixed"/>
        <w:tblInd w:w="100" w:type="dxa"/>
        <w:tblCellMar>
          <w:top w:w="0" w:type="dxa"/>
          <w:left w:w="0" w:type="dxa"/>
          <w:bottom w:w="0" w:type="dxa"/>
          <w:right w:w="0" w:type="dxa"/>
        </w:tblCellMar>
      </w:tblPr>
      <w:tr>
        <w:trPr>
          <w:trHeight w:val="229"/>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8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of the registrant: 139,682,875 outstanding as of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 –</w:t>
            </w:r>
          </w:p>
        </w:tc>
        <w:tc>
          <w:tcPr>
            <w:tcW w:w="3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INFORMATION (UNAUDITED)</w:t>
            </w:r>
          </w:p>
        </w:tc>
        <w:tc>
          <w:tcPr>
            <w:tcW w:w="20" w:type="dxa"/>
            <w:vAlign w:val="bottom"/>
            <w:tcBorders>
              <w:bottom w:val="single" w:sz="8" w:color="0000EE"/>
            </w:tcBorders>
          </w:tcPr>
          <w:p>
            <w:pPr>
              <w:spacing w:after="0"/>
              <w:rPr>
                <w:sz w:val="17"/>
                <w:szCs w:val="17"/>
                <w:color w:val="auto"/>
              </w:rPr>
            </w:pPr>
          </w:p>
        </w:tc>
        <w:tc>
          <w:tcPr>
            <w:tcW w:w="5680" w:type="dxa"/>
            <w:vAlign w:val="bottom"/>
            <w:gridSpan w:val="9"/>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FINANCIAL STATEMENTS</w:t>
            </w:r>
          </w:p>
        </w:tc>
        <w:tc>
          <w:tcPr>
            <w:tcW w:w="20" w:type="dxa"/>
            <w:vAlign w:val="bottom"/>
            <w:tcBorders>
              <w:bottom w:val="single" w:sz="8" w:color="0000EE"/>
            </w:tcBorders>
          </w:tcPr>
          <w:p>
            <w:pPr>
              <w:spacing w:after="0"/>
              <w:rPr>
                <w:sz w:val="18"/>
                <w:szCs w:val="18"/>
                <w:color w:val="auto"/>
              </w:rPr>
            </w:pPr>
          </w:p>
        </w:tc>
        <w:tc>
          <w:tcPr>
            <w:tcW w:w="446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8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CRITICAL ACCOUNTING POLICIES</w:t>
            </w:r>
          </w:p>
        </w:tc>
        <w:tc>
          <w:tcPr>
            <w:tcW w:w="628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OVERVIEW</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ANALYSIS OF THE RESULTS OF OPERATIONS</w:t>
            </w:r>
          </w:p>
        </w:tc>
        <w:tc>
          <w:tcPr>
            <w:tcW w:w="540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ANALYSIS OF FINANCIAL CONDITION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ASSET/LIABILITY AND MARKET RISK MANAGEMENT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61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04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 –</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00" w:type="dxa"/>
            <w:vAlign w:val="bottom"/>
            <w:tcBorders>
              <w:top w:val="single" w:sz="8" w:color="0000FF"/>
            </w:tcBorders>
            <w:gridSpan w:val="2"/>
          </w:tcPr>
          <w:p>
            <w:pPr>
              <w:spacing w:after="0"/>
              <w:rPr>
                <w:sz w:val="18"/>
                <w:szCs w:val="18"/>
                <w:color w:val="auto"/>
              </w:rPr>
            </w:pPr>
          </w:p>
        </w:tc>
        <w:tc>
          <w:tcPr>
            <w:tcW w:w="6580" w:type="dxa"/>
            <w:vAlign w:val="bottom"/>
            <w:gridSpan w:val="1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730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12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32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80" w:type="dxa"/>
            <w:vAlign w:val="bottom"/>
            <w:gridSpan w:val="11"/>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540" w:type="dxa"/>
            <w:vAlign w:val="bottom"/>
            <w:tcBorders>
              <w:top w:val="single" w:sz="8" w:color="0000FF"/>
            </w:tcBorders>
          </w:tcPr>
          <w:p>
            <w:pPr>
              <w:spacing w:after="0"/>
              <w:rPr>
                <w:sz w:val="18"/>
                <w:szCs w:val="18"/>
                <w:color w:val="auto"/>
              </w:rPr>
            </w:pPr>
          </w:p>
        </w:tc>
        <w:tc>
          <w:tcPr>
            <w:tcW w:w="674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13"/>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 –</w:t>
      </w:r>
      <w:r>
        <w:rPr>
          <w:sz w:val="20"/>
          <w:szCs w:val="20"/>
          <w:color w:val="auto"/>
        </w:rPr>
        <w:tab/>
      </w:r>
      <w:r>
        <w:rPr>
          <w:rFonts w:ascii="Times New Roman" w:cs="Times New Roman" w:eastAsia="Times New Roman" w:hAnsi="Times New Roman"/>
          <w:sz w:val="17"/>
          <w:szCs w:val="17"/>
          <w:b w:val="1"/>
          <w:bCs w:val="1"/>
          <w:color w:val="auto"/>
        </w:rPr>
        <w:t>FINANCIAL INFORMATION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32" w:lineRule="exact"/>
        <w:rPr>
          <w:sz w:val="20"/>
          <w:szCs w:val="20"/>
          <w:color w:val="auto"/>
        </w:rPr>
      </w:pPr>
    </w:p>
    <w:p>
      <w:pPr>
        <w:ind w:firstLine="469"/>
        <w:spacing w:after="0" w:line="267" w:lineRule="auto"/>
        <w:rPr>
          <w:sz w:val="20"/>
          <w:szCs w:val="20"/>
          <w:color w:val="auto"/>
        </w:rPr>
      </w:pPr>
      <w:r>
        <w:rPr>
          <w:rFonts w:ascii="Times New Roman" w:cs="Times New Roman" w:eastAsia="Times New Roman" w:hAnsi="Times New Roman"/>
          <w:sz w:val="16"/>
          <w:szCs w:val="16"/>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78" w:lineRule="exact"/>
        <w:rPr>
          <w:sz w:val="20"/>
          <w:szCs w:val="20"/>
          <w:color w:val="auto"/>
        </w:rPr>
      </w:pPr>
    </w:p>
    <w:p>
      <w:pPr>
        <w:ind w:firstLine="469"/>
        <w:spacing w:after="0" w:line="265" w:lineRule="auto"/>
        <w:rPr>
          <w:sz w:val="20"/>
          <w:szCs w:val="20"/>
          <w:color w:val="auto"/>
        </w:rPr>
      </w:pPr>
      <w:r>
        <w:rPr>
          <w:rFonts w:ascii="Times New Roman" w:cs="Times New Roman" w:eastAsia="Times New Roman" w:hAnsi="Times New Roman"/>
          <w:sz w:val="16"/>
          <w:szCs w:val="16"/>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customers and key personnel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credit quality, business operations and employees, as well as the impact on general economic and financial market conditions; cybersecurity and fraud threats and the cost of defending against them, including the costs of compliance with potential legislation to combat cybersecurity and fraud threats at a state, national, or global level; our ability to recruit and retain key executives, board members and other employees, and compliance with employment laws and regulations; unanticipated regulatory or legal proceedings or outcomes; and our ability to manage the risks involved in the foregoing.</w:t>
      </w:r>
    </w:p>
    <w:p>
      <w:pPr>
        <w:spacing w:after="0" w:line="188" w:lineRule="exact"/>
        <w:rPr>
          <w:sz w:val="20"/>
          <w:szCs w:val="20"/>
          <w:color w:val="auto"/>
        </w:rPr>
      </w:pPr>
    </w:p>
    <w:p>
      <w:pPr>
        <w:ind w:right="220" w:firstLine="469"/>
        <w:spacing w:after="0" w:line="301" w:lineRule="auto"/>
        <w:rPr>
          <w:sz w:val="20"/>
          <w:szCs w:val="20"/>
          <w:color w:val="auto"/>
        </w:rPr>
      </w:pPr>
      <w:r>
        <w:rPr>
          <w:rFonts w:ascii="Times New Roman" w:cs="Times New Roman" w:eastAsia="Times New Roman" w:hAnsi="Times New Roman"/>
          <w:sz w:val="16"/>
          <w:szCs w:val="16"/>
          <w:i w:val="1"/>
          <w:iCs w:val="1"/>
          <w:color w:val="auto"/>
        </w:rPr>
        <w:t>Additional factors that could cause actual results to differ materially from those expressed in the forward-looking statements are discussed in the Company's 2023 Annual Report on Form 10-K filed with the SEC and available at the SEC’s Internet site (http://www.sec.gov).</w:t>
      </w:r>
    </w:p>
    <w:p>
      <w:pPr>
        <w:spacing w:after="0" w:line="146" w:lineRule="exact"/>
        <w:rPr>
          <w:sz w:val="20"/>
          <w:szCs w:val="20"/>
          <w:color w:val="auto"/>
        </w:rPr>
      </w:pPr>
    </w:p>
    <w:p>
      <w:pPr>
        <w:jc w:val="both"/>
        <w:ind w:right="40" w:firstLine="469"/>
        <w:spacing w:after="0" w:line="268" w:lineRule="auto"/>
        <w:rPr>
          <w:sz w:val="20"/>
          <w:szCs w:val="20"/>
          <w:color w:val="auto"/>
        </w:rPr>
      </w:pPr>
      <w:r>
        <w:rPr>
          <w:rFonts w:ascii="Times New Roman" w:cs="Times New Roman" w:eastAsia="Times New Roman" w:hAnsi="Times New Roman"/>
          <w:sz w:val="16"/>
          <w:szCs w:val="16"/>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ind w:left="520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174,454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Federal Reserve</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669,740</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844,194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depository institutions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 at fair value (with amortized cost of</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$3,247,428 at June 30, 2024, and $3,398,942 at December 31, 2023)</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2,745,796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 (with fair value of $2,006,090 at</w:t>
            </w:r>
          </w:p>
        </w:tc>
        <w:tc>
          <w:tcPr>
            <w:tcW w:w="30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2,429,886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June 30, 2024, and $2,082,881 at December 31, 2023)</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5,175,682</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stock of Federal Home Loan Bank (FHLB)</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and lease finance receivables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8,681,846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(82,786 )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c>
          <w:tcPr>
            <w:tcW w:w="0" w:type="dxa"/>
            <w:vAlign w:val="bottom"/>
          </w:tcPr>
          <w:p>
            <w:pPr>
              <w:spacing w:after="0"/>
              <w:rPr>
                <w:sz w:val="1"/>
                <w:szCs w:val="1"/>
                <w:color w:val="auto"/>
              </w:rPr>
            </w:pPr>
          </w:p>
        </w:tc>
      </w:tr>
      <w:tr>
        <w:trPr>
          <w:trHeight w:val="237"/>
        </w:trPr>
        <w:tc>
          <w:tcPr>
            <w:tcW w:w="772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loans and lease finance receivables</w:t>
            </w: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8,599,060</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43,232</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owned life insurance (BOLI)</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314,329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141,664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16,151,495</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Noninterest-bearing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7,090,095</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Interest-bearing</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4,700,230</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4,227,467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11,790,325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268,826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borrowings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122,097</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14,039,068</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13,943,021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authorized, 225,000,000 shares without par; issued and</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139,677,162 at June 30, 2024, and 139,344,981 at December 31, 2023</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1,291,383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1,155,372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(334,328 )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(323,569 )</w:t>
            </w: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2,112,427</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2,077,972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16,151,495</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16,020,993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-6419850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-5520055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-5520055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-4885690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-3634105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-1585595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20" w:type="dxa"/>
            <w:vAlign w:val="bottom"/>
            <w:gridSpan w:val="2"/>
          </w:tcPr>
          <w:p>
            <w:pPr>
              <w:jc w:val="right"/>
              <w:ind w:right="895"/>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5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Pr>
          <w:p>
            <w:pPr>
              <w:spacing w:after="0"/>
              <w:rPr>
                <w:sz w:val="24"/>
                <w:szCs w:val="24"/>
                <w:color w:val="auto"/>
              </w:rPr>
            </w:pPr>
          </w:p>
        </w:tc>
        <w:tc>
          <w:tcPr>
            <w:tcW w:w="1820" w:type="dxa"/>
            <w:vAlign w:val="bottom"/>
            <w:gridSpan w:val="5"/>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Loans and leases, including fees</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114,200</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110,990</w:t>
            </w:r>
          </w:p>
        </w:tc>
        <w:tc>
          <w:tcPr>
            <w:tcW w:w="2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230,549</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Investment securities:</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Investment securities available-for-sale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Investment securities held-to-maturity</w:t>
            </w: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13,445</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13,740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26,847</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27,696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Total investment income</w:t>
            </w: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34,670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33,096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69,518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Dividends from FHLB stock</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Interest-earning deposits with other institutions</w:t>
            </w: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9,825</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b w:val="1"/>
                <w:bCs w:val="1"/>
                <w:color w:val="auto"/>
              </w:rPr>
              <w:t>Total interest income</w:t>
            </w: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159,072</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149,239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316,761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292,025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Deposits</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25,979</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10,765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47,345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Borrowings and customer repurchase agreements</w:t>
            </w: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22,244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18,939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46,106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b w:val="1"/>
                <w:bCs w:val="1"/>
                <w:color w:val="auto"/>
              </w:rPr>
              <w:t>Total interest expense</w:t>
            </w: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48,223</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29,704</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93,451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46,762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interest income before provision for credit losses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110,849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Net interest income after provision for credit losses</w:t>
            </w:r>
          </w:p>
        </w:tc>
        <w:tc>
          <w:tcPr>
            <w:tcW w:w="16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110,849</w:t>
            </w: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119,035</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223,310</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243,263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Trust and investment services</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3,428</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6,652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Bankcard services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BOLI income</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6,535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2,567</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b w:val="1"/>
                <w:bCs w:val="1"/>
                <w:color w:val="auto"/>
              </w:rPr>
              <w:t>Total noninterest income</w:t>
            </w: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14,424</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12,656</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28,537</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35,426</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33,548</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71,827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68,795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Occupancy and equipment</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Professional services</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4,981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Computer software expense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Marketing and promotion</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(Recapture of) provision for unfunded loan commitments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(500 )</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(500 )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1,719</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5,634</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b w:val="1"/>
                <w:bCs w:val="1"/>
                <w:color w:val="auto"/>
              </w:rPr>
              <w:t>Total noninterest expense</w:t>
            </w: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56,497</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54,017</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116,268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108,898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68,776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135,579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18,741</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21,904</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36,945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45,183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50,035</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55,770</w:t>
            </w:r>
          </w:p>
        </w:tc>
        <w:tc>
          <w:tcPr>
            <w:tcW w:w="2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98,634</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Unrealized gain (loss) on securities arising during the period, before tax</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(23,335 )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(15,560 )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Less: Income tax (expense) benefit related to items of other</w:t>
            </w: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(556 )</w:t>
            </w:r>
          </w:p>
        </w:tc>
        <w:tc>
          <w:tcPr>
            <w:tcW w:w="16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4,586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4,801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(7,447 )</w:t>
            </w: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comprehensive income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(18,749 )</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(10,759 )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Comprehensive income</w:t>
            </w:r>
          </w:p>
        </w:tc>
        <w:tc>
          <w:tcPr>
            <w:tcW w:w="16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50,992</w:t>
            </w:r>
          </w:p>
        </w:tc>
        <w:tc>
          <w:tcPr>
            <w:tcW w:w="300" w:type="dxa"/>
            <w:vAlign w:val="bottom"/>
            <w:tcBorders>
              <w:bottom w:val="single" w:sz="8" w:color="CFF0FC"/>
              <w:right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37,021</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87,875</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124,960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5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200" w:type="dxa"/>
            <w:vAlign w:val="bottom"/>
          </w:tcPr>
          <w:p>
            <w:pPr>
              <w:spacing w:after="0"/>
              <w:rPr>
                <w:sz w:val="24"/>
                <w:szCs w:val="24"/>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18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-6128385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-6128385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-6128385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-6128385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-5520055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-5520055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-5520055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-5520055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-4919980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-4919980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-4919980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-4619625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-4619625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-4619625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-3428365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-3428365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-3428365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-1953895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-1953895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-1953895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-1653540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-1653540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-1653540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-770890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-770890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-770890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-462280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-445135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-462280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-445135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-462280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-445135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2"/>
                <w:szCs w:val="12"/>
                <w:color w:val="auto"/>
              </w:rPr>
            </w:pPr>
          </w:p>
        </w:tc>
        <w:tc>
          <w:tcPr>
            <w:tcW w:w="10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April 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139,642</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1,288,755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1,133,355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(335,285 )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2,086,825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46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46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4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(28,018 )</w:t>
            </w:r>
          </w:p>
        </w:tc>
        <w:tc>
          <w:tcPr>
            <w:tcW w:w="12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(28,018 )</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($0.20 per share)</w:t>
            </w:r>
          </w:p>
        </w:tc>
        <w:tc>
          <w:tcPr>
            <w:tcW w:w="1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4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4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2024</w:t>
            </w: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139,677</w:t>
            </w:r>
          </w:p>
        </w:tc>
        <w:tc>
          <w:tcPr>
            <w:tcW w:w="30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1,291,383</w:t>
            </w:r>
          </w:p>
        </w:tc>
        <w:tc>
          <w:tcPr>
            <w:tcW w:w="26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1,155,372</w:t>
            </w:r>
          </w:p>
        </w:tc>
        <w:tc>
          <w:tcPr>
            <w:tcW w:w="260" w:type="dxa"/>
            <w:vAlign w:val="bottom"/>
          </w:tcPr>
          <w:p>
            <w:pPr>
              <w:spacing w:after="0"/>
              <w:rPr>
                <w:sz w:val="14"/>
                <w:szCs w:val="14"/>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(334,328 )</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2,112,427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April 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139,302</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1,281,786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1,034,110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(326,127 )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1,989,769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46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46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4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(27,787 )</w:t>
            </w:r>
          </w:p>
        </w:tc>
        <w:tc>
          <w:tcPr>
            <w:tcW w:w="12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(27,787 )</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($0.20 per share)</w:t>
            </w:r>
          </w:p>
        </w:tc>
        <w:tc>
          <w:tcPr>
            <w:tcW w:w="1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(18,749 )</w:t>
            </w: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(18,749 )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34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2023</w:t>
            </w: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139,343</w:t>
            </w:r>
          </w:p>
        </w:tc>
        <w:tc>
          <w:tcPr>
            <w:tcW w:w="30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1,284,150</w:t>
            </w:r>
          </w:p>
        </w:tc>
        <w:tc>
          <w:tcPr>
            <w:tcW w:w="26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1,062,093</w:t>
            </w:r>
          </w:p>
        </w:tc>
        <w:tc>
          <w:tcPr>
            <w:tcW w:w="260" w:type="dxa"/>
            <w:vAlign w:val="bottom"/>
          </w:tcPr>
          <w:p>
            <w:pPr>
              <w:spacing w:after="0"/>
              <w:rPr>
                <w:sz w:val="14"/>
                <w:szCs w:val="14"/>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(344,876 )</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2,001,367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-1645285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-1645285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-1645285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-1645285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-1645285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-419735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-419735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-419735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-419735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-419735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12"/>
                <w:szCs w:val="12"/>
                <w:color w:val="auto"/>
              </w:rPr>
            </w:pPr>
          </w:p>
        </w:tc>
        <w:tc>
          <w:tcPr>
            <w:tcW w:w="10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139,345</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1,288,899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1,112,642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(323,569 )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(147 )</w:t>
            </w:r>
          </w:p>
        </w:tc>
        <w:tc>
          <w:tcPr>
            <w:tcW w:w="16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(2,594 )</w:t>
            </w:r>
          </w:p>
        </w:tc>
        <w:tc>
          <w:tcPr>
            <w:tcW w:w="10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(2,594 )</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2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plan</w:t>
            </w: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4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(55,904 )</w:t>
            </w:r>
          </w:p>
        </w:tc>
        <w:tc>
          <w:tcPr>
            <w:tcW w:w="14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(55,904 )</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($0.40 per share)</w:t>
            </w:r>
          </w:p>
        </w:tc>
        <w:tc>
          <w:tcPr>
            <w:tcW w:w="14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98,634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(10,759 )</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(10,759 )</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2024</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139,677</w:t>
            </w:r>
          </w:p>
        </w:tc>
        <w:tc>
          <w:tcPr>
            <w:tcW w:w="28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1,291,383</w:t>
            </w:r>
          </w:p>
        </w:tc>
        <w:tc>
          <w:tcPr>
            <w:tcW w:w="2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1,155,372</w:t>
            </w:r>
          </w:p>
        </w:tc>
        <w:tc>
          <w:tcPr>
            <w:tcW w:w="26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(334,328 )</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2,112,427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139,819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1,300,466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1,002,847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(354,796 )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1,948,517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(919 )</w:t>
            </w:r>
          </w:p>
        </w:tc>
        <w:tc>
          <w:tcPr>
            <w:tcW w:w="16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(21,051 )</w:t>
            </w:r>
          </w:p>
        </w:tc>
        <w:tc>
          <w:tcPr>
            <w:tcW w:w="10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(21,051 )</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2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 compensation</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plan</w:t>
            </w: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4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(55,794 )</w:t>
            </w:r>
          </w:p>
        </w:tc>
        <w:tc>
          <w:tcPr>
            <w:tcW w:w="14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(55,794 )</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($0.40 per share)</w:t>
            </w:r>
          </w:p>
        </w:tc>
        <w:tc>
          <w:tcPr>
            <w:tcW w:w="14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115,040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9,920</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2023</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139,343</w:t>
            </w:r>
          </w:p>
        </w:tc>
        <w:tc>
          <w:tcPr>
            <w:tcW w:w="28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1,284,150</w:t>
            </w:r>
          </w:p>
        </w:tc>
        <w:tc>
          <w:tcPr>
            <w:tcW w:w="2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1,062,093</w:t>
            </w:r>
          </w:p>
        </w:tc>
        <w:tc>
          <w:tcPr>
            <w:tcW w:w="26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(344,876 )</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2,001,367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-1370965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-1370965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-1370965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-1370965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-144780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-144780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-144780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and dividends received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321,569</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and other fees received</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22,551</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(82,316 )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(41,600 )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paid to vendors, employees and others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(114,270 )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(116,630 )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(43,462 )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36"/>
        </w:trPr>
        <w:tc>
          <w:tcPr>
            <w:tcW w:w="8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103,620</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FHLB stock, net</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(1,857 )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change in interest-earning balances from depository institutions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(20,925 )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repayment of investment securities available-for-sale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186,106</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maturity of investment securities available-for-sale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available-for-sale</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(33,435 )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repayment and maturity of investment securities held-to-maturity</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held-to-maturity</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(11,455 )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(2,026 )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in equity investments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(2,813 )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 loan and lease finance receivables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222,728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(1,946 )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(2,349 )</w:t>
            </w:r>
          </w:p>
        </w:tc>
      </w:tr>
      <w:tr>
        <w:trPr>
          <w:trHeight w:val="243"/>
        </w:trPr>
        <w:tc>
          <w:tcPr>
            <w:tcW w:w="82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BOLI death benefit</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433,931</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381,502</w:t>
            </w:r>
          </w:p>
        </w:tc>
        <w:tc>
          <w:tcPr>
            <w:tcW w:w="100" w:type="dxa"/>
            <w:vAlign w:val="bottom"/>
          </w:tcPr>
          <w:p>
            <w:pPr>
              <w:spacing w:after="0"/>
              <w:rPr>
                <w:sz w:val="20"/>
                <w:szCs w:val="20"/>
                <w:color w:val="auto"/>
              </w:rPr>
            </w:pPr>
          </w:p>
        </w:tc>
      </w:tr>
      <w:tr>
        <w:trPr>
          <w:trHeight w:val="241"/>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 other deposits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(21,902 )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(460,134 )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in time deposits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378,585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21,410</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increase in other borrowings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(270,000 )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 customer repurchase agreements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(2,816 )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(113,058 )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(55,958 )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(55,951 )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(2,594 )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(21,051 )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r>
      <w:tr>
        <w:trPr>
          <w:trHeight w:val="237"/>
        </w:trPr>
        <w:tc>
          <w:tcPr>
            <w:tcW w:w="8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(128,711 )</w:t>
            </w:r>
          </w:p>
        </w:tc>
      </w:tr>
      <w:tr>
        <w:trPr>
          <w:trHeight w:val="236"/>
        </w:trPr>
        <w:tc>
          <w:tcPr>
            <w:tcW w:w="8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562,909</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414,894</w:t>
            </w:r>
          </w:p>
        </w:tc>
        <w:tc>
          <w:tcPr>
            <w:tcW w:w="100" w:type="dxa"/>
            <w:vAlign w:val="bottom"/>
            <w:tcBorders>
              <w:top w:val="single" w:sz="8" w:color="CFF0FC"/>
            </w:tcBorders>
          </w:tcPr>
          <w:p>
            <w:pPr>
              <w:spacing w:after="0"/>
              <w:rPr>
                <w:sz w:val="20"/>
                <w:szCs w:val="20"/>
                <w:color w:val="auto"/>
              </w:rPr>
            </w:pPr>
          </w:p>
        </w:tc>
      </w:tr>
      <w:tr>
        <w:trPr>
          <w:trHeight w:val="248"/>
        </w:trPr>
        <w:tc>
          <w:tcPr>
            <w:tcW w:w="8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844,194</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618,355</w:t>
            </w:r>
          </w:p>
        </w:tc>
        <w:tc>
          <w:tcPr>
            <w:tcW w:w="100" w:type="dxa"/>
            <w:vAlign w:val="bottom"/>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-4088765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-2228215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 Net Cash Provided by Operating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98,634</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115,040</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BOLI</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(6,535 )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(3,286 )</w:t>
            </w: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 securities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for acquired loans, net</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(2,035 )</w:t>
            </w: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Valuation allowance on other real estate owned</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net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other assets and liabilities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Pr>
          <w:p>
            <w:pPr>
              <w:spacing w:after="0"/>
              <w:rPr>
                <w:sz w:val="20"/>
                <w:szCs w:val="20"/>
                <w:color w:val="auto"/>
              </w:rPr>
            </w:pPr>
          </w:p>
        </w:tc>
      </w:tr>
      <w:tr>
        <w:trPr>
          <w:trHeight w:val="237"/>
        </w:trPr>
        <w:tc>
          <w:tcPr>
            <w:tcW w:w="8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8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103,620</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162,103</w:t>
            </w:r>
          </w:p>
        </w:tc>
        <w:tc>
          <w:tcPr>
            <w:tcW w:w="100" w:type="dxa"/>
            <w:vAlign w:val="bottom"/>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-645160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-645160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left="340" w:right="24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CVB FINANCIAL CORP. AND SUBSIDIARIES NOTES TO THE CONDENSED CONSOLIDATED FINANCIAL STATEMENTS </w:t>
      </w: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w:t>
      </w:r>
    </w:p>
    <w:p>
      <w:pPr>
        <w:spacing w:after="0" w:line="229"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76"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June 30, 2024, the Bank operated 62 banking centers and three trust office locations. The Company is headquartered in the city of Ontario, California.</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six months ended June 30, 2024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2023, filed with the SEC. A summary of the significant accounting policies consistently applied in the preparation of the accompanying unaudited condensed consolidated financial statements follows.</w:t>
      </w:r>
    </w:p>
    <w:p>
      <w:pPr>
        <w:spacing w:after="0" w:line="190" w:lineRule="exact"/>
        <w:rPr>
          <w:sz w:val="20"/>
          <w:szCs w:val="20"/>
          <w:color w:val="auto"/>
        </w:rPr>
      </w:pPr>
    </w:p>
    <w:p>
      <w:pPr>
        <w:ind w:right="320" w:firstLine="4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unaudited condensed consolidated financial statements and related footnote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reclassified to conform to the current presentation with no impact on previously reported net income or stockholders’ equity.</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ind w:right="260" w:firstLine="469"/>
        <w:spacing w:after="0" w:line="267" w:lineRule="auto"/>
        <w:rPr>
          <w:sz w:val="20"/>
          <w:szCs w:val="20"/>
          <w:color w:val="auto"/>
        </w:rPr>
      </w:pPr>
      <w:r>
        <w:rPr>
          <w:rFonts w:ascii="Times New Roman" w:cs="Times New Roman" w:eastAsia="Times New Roman" w:hAnsi="Times New Roman"/>
          <w:sz w:val="18"/>
          <w:szCs w:val="18"/>
          <w:color w:val="auto"/>
        </w:rPr>
        <w:t xml:space="preserve">Except as discussed below, our accounting policies are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audited consolidated financial statements included in our Annual Report on Form 10-K for the year ended December 31, 2023 as filed with the SEC (“Form 10-K”).</w:t>
      </w:r>
    </w:p>
    <w:p>
      <w:pPr>
        <w:spacing w:after="0" w:line="171"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INVESTMENT SECURITIES</w:t>
      </w:r>
    </w:p>
    <w:p>
      <w:pPr>
        <w:spacing w:after="0" w:line="229" w:lineRule="exact"/>
        <w:rPr>
          <w:sz w:val="20"/>
          <w:szCs w:val="20"/>
          <w:color w:val="auto"/>
        </w:r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2,682,003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(365,935 )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2,316,075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84.35 %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(119,899 )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370,491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13.49 %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(13,728 )</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3,247,428</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(501,666 )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2,745,796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522,678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(105,876 )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416,802</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21.51 %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639,889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(111,532 )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26.34 %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793,753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(167,006 )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626,747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32.67 %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462,111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(40,858 )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19.02 %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 (2)</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6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2,429,886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(425,272 )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2,006,090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9" w:lineRule="exact"/>
        <w:rPr>
          <w:sz w:val="20"/>
          <w:szCs w:val="20"/>
          <w:color w:val="auto"/>
        </w:rPr>
      </w:pPr>
    </w:p>
    <w:p>
      <w:pPr>
        <w:ind w:left="760" w:right="180" w:hanging="378"/>
        <w:spacing w:after="0" w:line="267"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Commercial Property Assessed Clean Energy ("C-PACE") bonds.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2,843,744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(336,107 )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2,507,679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84.83 %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502,234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(112,872 )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389,362</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(6,938 )</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3,398,942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530,656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21.53 %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663,090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(97,436 )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565,654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802,892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(156,155 )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646,737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32.58 %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467,972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(33,604 )</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437,806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18.99 %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(385,167 )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2,082,881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10" w:name="page11"/>
    <w:bookmarkEnd w:id="10"/>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amount of interest income earned on investment securities which is fully taxable and which is exempt from regular federal income tax.</w:t>
      </w:r>
    </w:p>
    <w:p>
      <w:pPr>
        <w:spacing w:after="0" w:line="171" w:lineRule="exact"/>
        <w:rPr>
          <w:sz w:val="20"/>
          <w:szCs w:val="20"/>
          <w:color w:val="auto"/>
        </w:rPr>
      </w:pPr>
    </w:p>
    <w:tbl>
      <w:tblPr>
        <w:tblLayout w:type="fixed"/>
        <w:tblInd w:w="5940" w:type="dxa"/>
        <w:tblCellMar>
          <w:top w:w="0" w:type="dxa"/>
          <w:left w:w="0" w:type="dxa"/>
          <w:bottom w:w="0" w:type="dxa"/>
          <w:right w:w="0" w:type="dxa"/>
        </w:tblCellMar>
      </w:tblPr>
      <w:tr>
        <w:trPr>
          <w:trHeight w:val="238"/>
        </w:trPr>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50"/>
        </w:trPr>
        <w:tc>
          <w:tcPr>
            <w:tcW w:w="9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wp:posOffset>
            </wp:positionV>
            <wp:extent cx="32918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7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42,337</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38,615</w:t>
            </w:r>
          </w:p>
        </w:tc>
        <w:tc>
          <w:tcPr>
            <w:tcW w:w="100" w:type="dxa"/>
            <w:vAlign w:val="bottom"/>
          </w:tcPr>
          <w:p>
            <w:pPr>
              <w:spacing w:after="0"/>
              <w:rPr>
                <w:sz w:val="20"/>
                <w:szCs w:val="20"/>
                <w:color w:val="auto"/>
              </w:rPr>
            </w:pPr>
          </w:p>
        </w:tc>
      </w:tr>
      <w:tr>
        <w:trPr>
          <w:trHeight w:val="247"/>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available-for-sale securities</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19,356</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100" w:type="dxa"/>
            <w:vAlign w:val="bottom"/>
          </w:tcPr>
          <w:p>
            <w:pPr>
              <w:spacing w:after="0"/>
              <w:rPr>
                <w:sz w:val="20"/>
                <w:szCs w:val="20"/>
                <w:color w:val="auto"/>
              </w:rPr>
            </w:pPr>
          </w:p>
        </w:tc>
      </w:tr>
      <w:tr>
        <w:trPr>
          <w:trHeight w:val="237"/>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4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tcPr>
          <w:p>
            <w:pPr>
              <w:spacing w:after="0"/>
              <w:rPr>
                <w:sz w:val="20"/>
                <w:szCs w:val="20"/>
                <w:color w:val="auto"/>
              </w:rPr>
            </w:pPr>
          </w:p>
        </w:tc>
      </w:tr>
      <w:tr>
        <w:trPr>
          <w:trHeight w:val="247"/>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tcPr>
          <w:p>
            <w:pPr>
              <w:spacing w:after="0"/>
              <w:rPr>
                <w:sz w:val="20"/>
                <w:szCs w:val="20"/>
                <w:color w:val="auto"/>
              </w:rPr>
            </w:pPr>
          </w:p>
        </w:tc>
      </w:tr>
      <w:tr>
        <w:trPr>
          <w:trHeight w:val="277"/>
        </w:trPr>
        <w:tc>
          <w:tcPr>
            <w:tcW w:w="59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interest income from investment securities</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34,670</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-985520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-985520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-985520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-351155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-351155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-351155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8"/>
          <w:szCs w:val="18"/>
          <w:color w:val="auto"/>
        </w:rPr>
        <w:t>Approximately 90% of the total investment securities portfolio at June 30, 2024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June 30, 2024 and December 31, 2023.</w:t>
      </w:r>
    </w:p>
    <w:p>
      <w:pPr>
        <w:spacing w:after="0" w:line="180"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and held-to-maturity investment securities, by investment category, in an unrealized loss position for which an allowance for credit losses has not been recorded as of June 30, 2024 and December 31, 2023.</w:t>
      </w:r>
    </w:p>
    <w:p>
      <w:pPr>
        <w:spacing w:after="0" w:line="1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8" w:lineRule="exact"/>
        <w:rPr>
          <w:sz w:val="20"/>
          <w:szCs w:val="20"/>
          <w:color w:val="auto"/>
        </w:rPr>
      </w:pPr>
    </w:p>
    <w:tbl>
      <w:tblPr>
        <w:tblLayout w:type="fixed"/>
        <w:tblInd w:w="3540" w:type="dxa"/>
        <w:tblCellMar>
          <w:top w:w="0" w:type="dxa"/>
          <w:left w:w="0" w:type="dxa"/>
          <w:bottom w:w="0" w:type="dxa"/>
          <w:right w:w="0" w:type="dxa"/>
        </w:tblCellMar>
      </w:tblPr>
      <w:tr>
        <w:trPr>
          <w:trHeight w:val="236"/>
        </w:trPr>
        <w:tc>
          <w:tcPr>
            <w:tcW w:w="236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320" w:type="dxa"/>
            <w:vAlign w:val="bottom"/>
            <w:tcBorders>
              <w:top w:val="single" w:sz="8" w:color="auto"/>
            </w:tcBorders>
          </w:tcPr>
          <w:p>
            <w:pPr>
              <w:spacing w:after="0"/>
              <w:rPr>
                <w:sz w:val="20"/>
                <w:szCs w:val="20"/>
                <w:color w:val="auto"/>
              </w:rPr>
            </w:pPr>
          </w:p>
        </w:tc>
        <w:tc>
          <w:tcPr>
            <w:tcW w:w="23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116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Gross</w:t>
            </w:r>
          </w:p>
        </w:tc>
      </w:tr>
      <w:tr>
        <w:trPr>
          <w:trHeight w:val="203"/>
        </w:trPr>
        <w:tc>
          <w:tcPr>
            <w:tcW w:w="116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116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12700</wp:posOffset>
            </wp:positionV>
            <wp:extent cx="4817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28,599</w:t>
            </w:r>
          </w:p>
        </w:tc>
        <w:tc>
          <w:tcPr>
            <w:tcW w:w="7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(1 )</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2,314,832</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(365,934 )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2,315,080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(365,935 )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370,490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(119,899 )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(119,899 )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(183 )</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20,362</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(1,902 )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23,550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(2,085 )</w:t>
            </w:r>
          </w:p>
        </w:tc>
      </w:tr>
      <w:tr>
        <w:trPr>
          <w:trHeight w:val="20"/>
        </w:trPr>
        <w:tc>
          <w:tcPr>
            <w:tcW w:w="3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32,036</w:t>
            </w:r>
          </w:p>
        </w:tc>
        <w:tc>
          <w:tcPr>
            <w:tcW w:w="3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(203 )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2,705,684</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(487,735 )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2,737,720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(487,938 )</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416,802</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(105,876 )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416,802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(105,876 )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528,357</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(111,532 )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528,357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(111,532 )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(167,006 )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(167,006 )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45,913</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(737 )</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300,985</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(40,121 )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346,898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(40,858 )</w:t>
            </w:r>
          </w:p>
        </w:tc>
      </w:tr>
      <w:tr>
        <w:trPr>
          <w:trHeight w:val="20"/>
        </w:trPr>
        <w:tc>
          <w:tcPr>
            <w:tcW w:w="3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45,913</w:t>
            </w:r>
          </w:p>
        </w:tc>
        <w:tc>
          <w:tcPr>
            <w:tcW w:w="3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(737 )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1,872,891</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(424,535 )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1,918,804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(425,272 )</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-1088390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-1088390</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-1088390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-1088390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-1088390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-179705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-179705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-179705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-179705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-179705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2,506,162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(336,107 )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2,506,210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(336,107 )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(112,872 )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(112,872 )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(888 )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2,913,626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(449,850 )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(449,867 )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(97,972 )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(97,436 )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(97,436 )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(156,155 )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(156,155 )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293,467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(33,404 )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314,076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(33,604 )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1,938,543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(384,967 )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(385,167 )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-1233805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-1233805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-1233805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-1233805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469"/>
        <w:spacing w:after="0" w:line="261" w:lineRule="auto"/>
        <w:rPr>
          <w:sz w:val="20"/>
          <w:szCs w:val="20"/>
          <w:color w:val="auto"/>
        </w:rPr>
      </w:pPr>
      <w:r>
        <w:rPr>
          <w:rFonts w:ascii="Times New Roman" w:cs="Times New Roman" w:eastAsia="Times New Roman" w:hAnsi="Times New Roman"/>
          <w:sz w:val="18"/>
          <w:szCs w:val="18"/>
          <w:color w:val="auto"/>
        </w:rPr>
        <w:t>At June 30, 2024, investment securities with carrying values of $2.52 billion were pledged to secure various types of deposits, including $1.41 billion of public funds. In addition, investment securities with carrying values of $2.18 billion were pledged to secure $363.3 million for repurchase agreements, $1.35 billion for outstanding borrowings, $427.4 million for unused borrowing capacity and approximately $46 million for other purposes as required or permitted by law.</w:t>
      </w:r>
    </w:p>
    <w:p>
      <w:pPr>
        <w:spacing w:after="0" w:line="180"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At December 31, 2023, investment securities with carrying values of $2.26 billion were pledged to secure various types of deposits, including $1.38 billion of public funds. In addition, investment securities with carrying values of $3.02 billion were pledged to secure $372.5 million for repurchase agreements, $1.8 billion for outstanding borrowings, $796 million for unused borrowing capacity and approximately $51 million for other purposes as required or permitted by law.</w:t>
      </w:r>
    </w:p>
    <w:p>
      <w:pPr>
        <w:spacing w:after="0" w:line="180" w:lineRule="exact"/>
        <w:rPr>
          <w:sz w:val="20"/>
          <w:szCs w:val="20"/>
          <w:color w:val="auto"/>
        </w:rPr>
      </w:pPr>
    </w:p>
    <w:p>
      <w:pPr>
        <w:ind w:right="360" w:firstLine="464"/>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debt securities at June 30, 2024,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1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in one year or less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ten years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bottom w:val="single" w:sz="8" w:color="auto"/>
            </w:tcBorders>
          </w:tcPr>
          <w:p>
            <w:pPr>
              <w:spacing w:after="0"/>
              <w:rPr>
                <w:sz w:val="14"/>
                <w:szCs w:val="14"/>
                <w:color w:val="auto"/>
              </w:rPr>
            </w:pPr>
          </w:p>
        </w:tc>
        <w:tc>
          <w:tcPr>
            <w:tcW w:w="2680" w:type="dxa"/>
            <w:vAlign w:val="bottom"/>
            <w:tcBorders>
              <w:top w:val="single" w:sz="8" w:color="auto"/>
              <w:bottom w:val="single" w:sz="8" w:color="auto"/>
            </w:tcBorders>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20" w:type="dxa"/>
            <w:vAlign w:val="bottom"/>
            <w:tcBorders>
              <w:top w:val="single" w:sz="8" w:color="auto"/>
              <w:bottom w:val="single" w:sz="8" w:color="auto"/>
            </w:tcBorders>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69"/>
        </w:trPr>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2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43,972</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43,677</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10,613</w:t>
            </w: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10,341</w:t>
            </w:r>
          </w:p>
        </w:tc>
      </w:tr>
      <w:tr>
        <w:trPr>
          <w:trHeight w:val="175"/>
        </w:trPr>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240,902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216,478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45,765</w:t>
            </w:r>
          </w:p>
        </w:tc>
      </w:tr>
      <w:tr>
        <w:trPr>
          <w:trHeight w:val="175"/>
        </w:trPr>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2,470,052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2,114,826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323,158</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280,962</w:t>
            </w:r>
          </w:p>
        </w:tc>
      </w:tr>
      <w:tr>
        <w:trPr>
          <w:trHeight w:val="185"/>
        </w:trPr>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492,502</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370,815</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2,048,072</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1,669,022</w:t>
            </w:r>
          </w:p>
        </w:tc>
      </w:tr>
      <w:tr>
        <w:trPr>
          <w:trHeight w:val="16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3,247,428</w:t>
            </w:r>
          </w:p>
        </w:tc>
        <w:tc>
          <w:tcPr>
            <w:tcW w:w="34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2,745,796</w:t>
            </w:r>
          </w:p>
        </w:tc>
        <w:tc>
          <w:tcPr>
            <w:tcW w:w="32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2,429,886</w:t>
            </w:r>
          </w:p>
        </w:tc>
        <w:tc>
          <w:tcPr>
            <w:tcW w:w="3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2,006,090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-590550</wp:posOffset>
            </wp:positionV>
            <wp:extent cx="7132320"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-367665</wp:posOffset>
            </wp:positionV>
            <wp:extent cx="7132320"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-136525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920"/>
          </w:cols>
          <w:pgMar w:left="320" w:top="13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type w:val="continuous"/>
        </w:sectPr>
      </w:pPr>
    </w:p>
    <w:bookmarkStart w:id="12" w:name="page13"/>
    <w:bookmarkEnd w:id="12"/>
    <w:p>
      <w:pPr>
        <w:ind w:left="480" w:right="3500" w:hanging="472"/>
        <w:spacing w:after="0" w:line="538" w:lineRule="auto"/>
        <w:tabs>
          <w:tab w:leader="none" w:pos="33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LOANS AND LEASE FINANCE RECEIVABLES AND ALLOWANCE FOR CREDIT LOSSES </w:t>
      </w:r>
      <w:r>
        <w:rPr>
          <w:rFonts w:ascii="Times New Roman" w:cs="Times New Roman" w:eastAsia="Times New Roman" w:hAnsi="Times New Roman"/>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23"/>
        </w:trPr>
        <w:tc>
          <w:tcPr>
            <w:tcW w:w="6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gridSpan w:val="5"/>
          </w:tcPr>
          <w:p>
            <w:pPr>
              <w:jc w:val="right"/>
              <w:ind w:right="14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3"/>
        </w:trPr>
        <w:tc>
          <w:tcPr>
            <w:tcW w:w="6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6,664,925</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6,784,505</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267,938</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270,619</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956,184</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969,895</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350,562</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412,891</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70,889</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267,593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269,868</w:t>
            </w:r>
          </w:p>
        </w:tc>
        <w:tc>
          <w:tcPr>
            <w:tcW w:w="10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49,771</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8,681,846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(82,786 )</w:t>
            </w: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r>
      <w:tr>
        <w:trPr>
          <w:trHeight w:val="236"/>
        </w:trPr>
        <w:tc>
          <w:tcPr>
            <w:tcW w:w="6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8,599,060</w:t>
            </w:r>
          </w:p>
        </w:tc>
        <w:tc>
          <w:tcPr>
            <w:tcW w:w="3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-505460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2024, 80.45% of the Company’s total loan portfolio consisted of real estate loans, with commercial real estate loans representing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76.77% of total loans. The Company’s real estate loans and construction loans are secured by real properties primarily located in California. As of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$480.1 million, or 7.20% of the total commercial real estate loans included loans secured by farmland, compared to $497.7 million, or 7.34%,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loans secured by farmland included $120.0 million for loans secured by dairy &amp; livestock land and $360.1 million for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by agricultural land at June 30, 2024, compared to $122.4 million for loans secured by dairy &amp; livestock land and $375.3 million for loans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agricultural land at December 31, 2023. As of June 30, 2024, dairy &amp; livestock and agribusiness loans of $350.6 million were comprised of $304.1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dairy &amp; livestock loans and $46.5 million of agribusiness loans, compared to $412.9 million comprised of $374.9 million of dairy &amp; livestock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$38.0 million of agribusiness loans December 31, 2023.</w:t>
      </w:r>
    </w:p>
    <w:p>
      <w:pPr>
        <w:spacing w:after="0" w:line="207"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loans with a carrying value totaling $4.45 billion and $4.04 billion, respectively, were pledged to secure available lines of credit from the FHLB and the Federal Reserve Bank.</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outstanding loans held-for-sale as of June 30, 2024 and December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ind w:right="20" w:firstLine="464"/>
        <w:spacing w:after="0" w:line="282"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62" w:lineRule="exact"/>
        <w:rPr>
          <w:sz w:val="20"/>
          <w:szCs w:val="20"/>
          <w:color w:val="auto"/>
        </w:rPr>
      </w:pPr>
    </w:p>
    <w:p>
      <w:pPr>
        <w:jc w:val="both"/>
        <w:ind w:right="100" w:firstLine="464"/>
        <w:spacing w:after="0" w:line="258"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83" w:lineRule="exact"/>
        <w:rPr>
          <w:sz w:val="20"/>
          <w:szCs w:val="20"/>
          <w:color w:val="auto"/>
        </w:rPr>
      </w:pPr>
    </w:p>
    <w:p>
      <w:pPr>
        <w:ind w:right="120" w:firstLine="464"/>
        <w:spacing w:after="0" w:line="282"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62"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80" w:lineRule="exact"/>
        <w:rPr>
          <w:sz w:val="20"/>
          <w:szCs w:val="20"/>
          <w:color w:val="auto"/>
        </w:rPr>
      </w:pPr>
    </w:p>
    <w:p>
      <w:pPr>
        <w:jc w:val="both"/>
        <w:ind w:right="80" w:firstLine="464"/>
        <w:spacing w:after="0" w:line="266"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76" w:lineRule="exact"/>
        <w:rPr>
          <w:sz w:val="20"/>
          <w:szCs w:val="20"/>
          <w:color w:val="auto"/>
        </w:rPr>
      </w:pPr>
    </w:p>
    <w:p>
      <w:pPr>
        <w:jc w:val="both"/>
        <w:ind w:right="140" w:firstLine="464"/>
        <w:spacing w:after="0" w:line="266"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6" w:lineRule="exact"/>
        <w:rPr>
          <w:sz w:val="20"/>
          <w:szCs w:val="20"/>
          <w:color w:val="auto"/>
        </w:rPr>
      </w:pPr>
    </w:p>
    <w:p>
      <w:pPr>
        <w:ind w:right="160" w:firstLine="464"/>
        <w:spacing w:after="0" w:line="282" w:lineRule="auto"/>
        <w:rPr>
          <w:sz w:val="20"/>
          <w:szCs w:val="20"/>
          <w:color w:val="auto"/>
        </w:rPr>
      </w:pPr>
      <w:r>
        <w:rPr>
          <w:rFonts w:ascii="Times New Roman" w:cs="Times New Roman" w:eastAsia="Times New Roman" w:hAnsi="Times New Roman"/>
          <w:sz w:val="18"/>
          <w:szCs w:val="18"/>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62" w:lineRule="exact"/>
        <w:rPr>
          <w:sz w:val="20"/>
          <w:szCs w:val="20"/>
          <w:color w:val="auto"/>
        </w:rPr>
      </w:pPr>
    </w:p>
    <w:p>
      <w:pPr>
        <w:jc w:val="both"/>
        <w:ind w:right="40" w:firstLine="464"/>
        <w:spacing w:after="0" w:line="266"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The following table summarizes loans by type and origination year, according to our internal risk ratings as of the dates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84"/>
              </w:rPr>
              <w:t>2021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w w:val="93"/>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129,875</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439,124</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1,273,312</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1,102,354</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840,945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2,347,375</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181,405</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38,646</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6,353,036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26,095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53,438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139,375</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444,491</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1,300,453</w:t>
            </w:r>
          </w:p>
        </w:tc>
        <w:tc>
          <w:tcPr>
            <w:tcW w:w="50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1,128,692</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905,910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2,522,411</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184,947</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38,646</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6,664,925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2,956</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15,222</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22,301</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8,078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2,956</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15,222</w:t>
            </w:r>
          </w:p>
        </w:tc>
        <w:tc>
          <w:tcPr>
            <w:tcW w:w="50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24,370</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8,078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52,227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17,018</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18,160</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47,462</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50,152</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24,211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97,627</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254,630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17,018</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18,160</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49,068</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50,152</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28,963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104,577</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267,938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52,068</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126,396</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127,154</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77,749</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76,560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141,745</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314,046</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5,625</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921,343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52,771</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135,306</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128,534</w:t>
            </w:r>
          </w:p>
        </w:tc>
        <w:tc>
          <w:tcPr>
            <w:tcW w:w="50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80,470</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77,162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144,389</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324,637</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12,915</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956,184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-4549775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-4549775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-4549775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-4549775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-4549775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-4549775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-4549775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-4549775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-4549775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-3443605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-3443605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-3443605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-3443605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-3443605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-3443605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-3443605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-3443605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-3443605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-2414905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-2414905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-2414905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-2414905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-2414905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-2414905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-2414905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-2414905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-2414905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-1386205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-1386205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-1386205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-1386205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-1386205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-1386205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-1386205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-1386205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-194945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-194945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-194945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-194945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-194945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-194945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-194945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-194945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-194945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84"/>
              </w:rPr>
              <w:t>2021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w w:val="93"/>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240,963</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242,947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12,442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345,447</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2,654</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350,562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5,374</w:t>
            </w:r>
          </w:p>
        </w:tc>
        <w:tc>
          <w:tcPr>
            <w:tcW w:w="50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25,661</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33,317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5,374</w:t>
            </w:r>
          </w:p>
        </w:tc>
        <w:tc>
          <w:tcPr>
            <w:tcW w:w="500" w:type="dxa"/>
            <w:vAlign w:val="bottom"/>
            <w:gridSpan w:val="3"/>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25,661</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33,458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12,199</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20,499</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60,288</w:t>
            </w:r>
          </w:p>
        </w:tc>
        <w:tc>
          <w:tcPr>
            <w:tcW w:w="50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42,662</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39,738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89,239</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12,199</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21,246</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60,288</w:t>
            </w:r>
          </w:p>
        </w:tc>
        <w:tc>
          <w:tcPr>
            <w:tcW w:w="500" w:type="dxa"/>
            <w:vAlign w:val="bottom"/>
            <w:gridSpan w:val="3"/>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42,662</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40,647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90,252</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267,593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2,588</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50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34,841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2,588</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500" w:type="dxa"/>
            <w:vAlign w:val="bottom"/>
            <w:gridSpan w:val="3"/>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2,467</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34,845</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216,366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610,870</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1,531,647</w:t>
            </w:r>
          </w:p>
        </w:tc>
        <w:tc>
          <w:tcPr>
            <w:tcW w:w="50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1,324,280</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997,779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2,710,447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771,255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45,412</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8,208,056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9,542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26,095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58,149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16,643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124,728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226,569</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626,311</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1,561,774</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2"/>
              </w:rPr>
              <w:t>1,355,592</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1,069,007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2,896,291</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889,876</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56,426</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8,681,846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94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0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4,318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4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Total gross charge-offs</w:t>
            </w:r>
          </w:p>
        </w:tc>
        <w:tc>
          <w:tcPr>
            <w:tcW w:w="1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-4817110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-4817110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-4817110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-4817110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-4817110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-4817110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-4817110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-4817110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-3539490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-3539490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-3539490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-3539490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-3539490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-3539490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-3539490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-3539490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-2433955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-2433955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-2433955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-2433955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-2433955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-2433955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-2433955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-2433955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-1242695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-1242695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-1242695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-1242695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-1242695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-1242695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-1242695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-1242695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-213995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-196215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-213995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-196215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-213995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-196215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-213995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-196215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-213995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-196215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-213995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-196215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-213995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447,991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1,315,563</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1,133,331</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885,590</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497,541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2,041,329</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171,223</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38,568</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6,531,136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30,637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451,976</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1,327,587</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1,152,090</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938,359</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554,351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2,146,639</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174,935</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38,568</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6,784,505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22,288</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8,058</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17,938</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15,046</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24,418</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8,058</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17,938</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760" w:type="dxa"/>
            <w:vAlign w:val="bottom"/>
            <w:gridSpan w:val="3"/>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48,212</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51,038</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29,306</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101,856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257,349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49,839</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51,038</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34,090</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106,834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141,080</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143,847</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100,059</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88,743</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68,352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94,027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289,539</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5,460</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931,107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148,909</w:t>
            </w:r>
          </w:p>
        </w:tc>
        <w:tc>
          <w:tcPr>
            <w:tcW w:w="240" w:type="dxa"/>
            <w:vAlign w:val="bottom"/>
            <w:gridSpan w:val="2"/>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144,842</w:t>
            </w:r>
          </w:p>
        </w:tc>
        <w:tc>
          <w:tcPr>
            <w:tcW w:w="240" w:type="dxa"/>
            <w:vAlign w:val="bottom"/>
            <w:gridSpan w:val="2"/>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100,804</w:t>
            </w:r>
          </w:p>
        </w:tc>
        <w:tc>
          <w:tcPr>
            <w:tcW w:w="240" w:type="dxa"/>
            <w:vAlign w:val="bottom"/>
            <w:gridSpan w:val="2"/>
            <w:vMerge w:val="restart"/>
            <w:shd w:val="clear" w:color="auto" w:fill="CFF0FC"/>
          </w:tcPr>
          <w:p>
            <w:pPr>
              <w:spacing w:after="0"/>
              <w:rPr>
                <w:sz w:val="10"/>
                <w:szCs w:val="10"/>
                <w:color w:val="auto"/>
              </w:rPr>
            </w:pPr>
          </w:p>
        </w:tc>
        <w:tc>
          <w:tcPr>
            <w:tcW w:w="260" w:type="dxa"/>
            <w:vAlign w:val="bottom"/>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89,295</w:t>
            </w:r>
          </w:p>
        </w:tc>
        <w:tc>
          <w:tcPr>
            <w:tcW w:w="240" w:type="dxa"/>
            <w:vAlign w:val="bottom"/>
            <w:gridSpan w:val="2"/>
            <w:vMerge w:val="restart"/>
            <w:shd w:val="clear" w:color="auto" w:fill="CFF0FC"/>
          </w:tcPr>
          <w:p>
            <w:pPr>
              <w:spacing w:after="0"/>
              <w:rPr>
                <w:sz w:val="10"/>
                <w:szCs w:val="10"/>
                <w:color w:val="auto"/>
              </w:rPr>
            </w:pPr>
          </w:p>
        </w:tc>
        <w:tc>
          <w:tcPr>
            <w:tcW w:w="1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99,309</w:t>
            </w:r>
          </w:p>
        </w:tc>
        <w:tc>
          <w:tcPr>
            <w:tcW w:w="220" w:type="dxa"/>
            <w:vAlign w:val="bottom"/>
            <w:gridSpan w:val="2"/>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302,555</w:t>
            </w:r>
          </w:p>
        </w:tc>
        <w:tc>
          <w:tcPr>
            <w:tcW w:w="200" w:type="dxa"/>
            <w:vAlign w:val="bottom"/>
            <w:gridSpan w:val="2"/>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11,626</w:t>
            </w:r>
          </w:p>
        </w:tc>
        <w:tc>
          <w:tcPr>
            <w:tcW w:w="220" w:type="dxa"/>
            <w:vAlign w:val="bottom"/>
            <w:gridSpan w:val="2"/>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969,895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gridSpan w:val="2"/>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gridSpan w:val="2"/>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gridSpan w:val="2"/>
            <w:vMerge w:val="continue"/>
            <w:shd w:val="clear" w:color="auto" w:fill="CFF0FC"/>
          </w:tcPr>
          <w:p>
            <w:pPr>
              <w:spacing w:after="0"/>
              <w:rPr>
                <w:sz w:val="13"/>
                <w:szCs w:val="13"/>
                <w:color w:val="auto"/>
              </w:rPr>
            </w:pPr>
          </w:p>
        </w:tc>
        <w:tc>
          <w:tcPr>
            <w:tcW w:w="260" w:type="dxa"/>
            <w:vAlign w:val="bottom"/>
            <w:tcBorders>
              <w:bottom w:val="single" w:sz="8" w:color="auto"/>
            </w:tcBorders>
            <w:vMerge w:val="continue"/>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gridSpan w:val="2"/>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gridSpan w:val="2"/>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-4362450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-4362450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-4362450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-4362450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-4362450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-4362450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-4362450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-4362450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-3256915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-3256915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-3256915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-3256915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-3256915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-3256915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-3256915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-3256915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-2228215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-2228215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-2228215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-2228215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-2228215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-2228215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-2228215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-2228215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-1199515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-1199515</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-1199515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-1199515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-1199515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-1199515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-1199515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-1199515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-8255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-8255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337,525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340,626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409,257</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31,804</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22,248</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44,076</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67,750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266,766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23,037</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44,994</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68,277</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38,595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638,501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1,593,595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1,381,084</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1,065,424</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2,337,278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854,820</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44,899</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8,520,770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651,552</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1,608,241</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1,402,964</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1,124,447</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668,632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2,453,629</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943,285</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52,160</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8,904,910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-4628515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-4628515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-4628515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-4628515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-4628515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-4628515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-4628515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-4628515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-3350895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-3350895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-3350895</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-3350895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-3350895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-3350895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-3350895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-3350895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-2245360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-2245360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-2245360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-2245360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-2245360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-2245360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-2245360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-2245360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-1053465</wp:posOffset>
            </wp:positionV>
            <wp:extent cx="768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-1053465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-1053465</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-1053465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-1053465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-1053465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-1053465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-24765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-7620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("ACL")</w:t>
      </w:r>
    </w:p>
    <w:p>
      <w:pPr>
        <w:spacing w:after="0" w:line="22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("OLTV"), origination year, loan seasoning, and macroeconomic variables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8" w:name="page19"/>
    <w:bookmarkEnd w:id="18"/>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our Annual Report on Form 10-K for the year ended December 31, 2023 for a more detailed discussion concerning the allowance for credit losses.</w:t>
      </w:r>
    </w:p>
    <w:p>
      <w:pPr>
        <w:spacing w:after="0" w:line="196"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ACL totaled $82.8 million at June 30, 2024, compared to $86.8 million at December 31, 2023. The $4.0 million decrease in the ACL from December 31, 2023 to June 30, 2024 was comprised of $4.0 million in net charge-offs. At June 30, 2024, the ACL as a percentage of total loans and leases, at amortized cost, was 0.95%. This compares to 0.98% at December 31, 2023. The majority of the net charge-offs in 2024 were related to loans in which specific loan loss reserves had been established prior to December 31, 2023. Our economic forecast continues to be a blend of multiple forecasts produced by Moody’s. These U.S. economic forecasts include a baseline forecast, as well as downside forecasts. The baseline forecast continues to represent the largest weighting in our multi-weighted forecast scenario, with downside risks weighted among multiple forecasts. As of June 30, 2024, the resulting weighted forecast resulted in Real GDP declining slightly in the second half of 2024 and continuing to be negative in the first quarter of 2025. GDP growth is forecasted to be less than 1% for all of 2025, before rebounding to 1.9% in 2026, and then returning to higher growth of 2.78% in 2027. The unemployment rate is forecasted to increase, with unemployment averaging 6% for all of 2025. The unemployment rate is forecasted to stay elevated until late 2027.</w:t>
      </w:r>
    </w:p>
    <w:p>
      <w:pPr>
        <w:spacing w:after="0" w:line="194" w:lineRule="exact"/>
        <w:rPr>
          <w:sz w:val="20"/>
          <w:szCs w:val="20"/>
          <w:color w:val="auto"/>
        </w:rPr>
      </w:pPr>
    </w:p>
    <w:p>
      <w:pPr>
        <w:jc w:val="both"/>
        <w:ind w:right="400" w:firstLine="469"/>
        <w:spacing w:after="0" w:line="266" w:lineRule="auto"/>
        <w:rPr>
          <w:sz w:val="20"/>
          <w:szCs w:val="20"/>
          <w:color w:val="auto"/>
        </w:rPr>
      </w:pPr>
      <w:r>
        <w:rPr>
          <w:rFonts w:ascii="Times New Roman" w:cs="Times New Roman" w:eastAsia="Times New Roman" w:hAnsi="Times New Roman"/>
          <w:sz w:val="18"/>
          <w:szCs w:val="18"/>
          <w:color w:val="auto"/>
        </w:rPr>
        <w:t>Management believes that the ACL was appropriate at June 30, 2024 and December 31, 2023. Due to inflationary pressures, high interest rates, lower commercial real estate values, and geopolitical events, no assurance can be given that economic conditions that adversely affect the Company’s service areas or other circumstances will not be reflected in increased provisions for credit losses in the future.</w:t>
      </w:r>
    </w:p>
    <w:p>
      <w:pPr>
        <w:spacing w:after="0" w:line="135" w:lineRule="exact"/>
        <w:rPr>
          <w:sz w:val="20"/>
          <w:szCs w:val="20"/>
          <w:color w:val="auto"/>
        </w:rPr>
      </w:pPr>
    </w:p>
    <w:p>
      <w:pPr>
        <w:ind w:right="16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ectPr>
          <w:pgSz w:w="11900" w:h="16838" w:orient="portrait"/>
          <w:cols w:equalWidth="0" w:num="1">
            <w:col w:w="11200"/>
          </w:cols>
          <w:pgMar w:left="320" w:top="109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real estate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Construction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SBA</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SFR mortgage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 loans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allowance for credit losses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4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March</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460" w:type="dxa"/>
            <w:vAlign w:val="bottom"/>
            <w:tcBorders>
              <w:top w:val="single" w:sz="8" w:color="auto"/>
            </w:tcBorders>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Ending Balance June</w:t>
            </w:r>
          </w:p>
        </w:tc>
        <w:tc>
          <w:tcPr>
            <w:tcW w:w="0" w:type="dxa"/>
            <w:vAlign w:val="bottom"/>
          </w:tcPr>
          <w:p>
            <w:pPr>
              <w:spacing w:after="0"/>
              <w:rPr>
                <w:sz w:val="1"/>
                <w:szCs w:val="1"/>
                <w:color w:val="auto"/>
              </w:rPr>
            </w:pPr>
          </w:p>
        </w:tc>
      </w:tr>
      <w:tr>
        <w:trPr>
          <w:trHeight w:val="148"/>
        </w:trPr>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2"/>
                <w:szCs w:val="12"/>
                <w:color w:val="auto"/>
              </w:rPr>
            </w:pPr>
          </w:p>
        </w:tc>
        <w:tc>
          <w:tcPr>
            <w:tcW w:w="12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60" w:type="dxa"/>
            <w:vAlign w:val="bottom"/>
          </w:tcPr>
          <w:p>
            <w:pPr>
              <w:spacing w:after="0"/>
              <w:rPr>
                <w:sz w:val="12"/>
                <w:szCs w:val="12"/>
                <w:color w:val="auto"/>
              </w:rPr>
            </w:pPr>
          </w:p>
        </w:tc>
        <w:tc>
          <w:tcPr>
            <w:tcW w:w="17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160"/>
        </w:trPr>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Borders>
              <w:top w:val="single" w:sz="8" w:color="auto"/>
            </w:tcBorders>
            <w:gridSpan w:val="2"/>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69,445</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69,405</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(510 )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(49 )</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(2 )</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(20 )</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69"/>
        </w:trPr>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82,817</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82,786</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-1036320</wp:posOffset>
            </wp:positionV>
            <wp:extent cx="7132320" cy="1111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-814070</wp:posOffset>
            </wp:positionV>
            <wp:extent cx="7132320" cy="1111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-590550</wp:posOffset>
            </wp:positionV>
            <wp:extent cx="7132320" cy="1111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-367665</wp:posOffset>
            </wp:positionV>
            <wp:extent cx="7132320" cy="1111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-136525</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080" w:space="700"/>
            <w:col w:w="8420"/>
          </w:cols>
          <w:pgMar w:left="320" w:top="1093"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March</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5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Ending Balance June</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2"/>
                <w:szCs w:val="12"/>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67,117</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(515 )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(87 )</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(1 )</w:t>
            </w:r>
          </w:p>
        </w:tc>
        <w:tc>
          <w:tcPr>
            <w:tcW w:w="2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(192 )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86,540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(88 )</w:t>
            </w:r>
          </w:p>
        </w:tc>
        <w:tc>
          <w:tcPr>
            <w:tcW w:w="2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86,967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5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Ending Balance June</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2"/>
                <w:szCs w:val="12"/>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69,466</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(2,258 )</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(494 )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(139 )</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(125 )</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(1,917 )</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(2,272 )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(37 )</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(4 )</w:t>
            </w:r>
          </w:p>
        </w:tc>
        <w:tc>
          <w:tcPr>
            <w:tcW w:w="2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86,842</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(4,318 )</w:t>
            </w:r>
          </w:p>
        </w:tc>
        <w:tc>
          <w:tcPr>
            <w:tcW w:w="2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FF0FC"/>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82,786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5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Ending Balance June</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2"/>
                <w:szCs w:val="12"/>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64,806</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(546 )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(181 )</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(16 )</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(1,083 )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Municipal lease finance</w:t>
            </w:r>
          </w:p>
        </w:tc>
        <w:tc>
          <w:tcPr>
            <w:tcW w:w="1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(23 )</w:t>
            </w:r>
          </w:p>
        </w:tc>
        <w:tc>
          <w:tcPr>
            <w:tcW w:w="2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receivables</w:t>
            </w:r>
          </w:p>
        </w:tc>
        <w:tc>
          <w:tcPr>
            <w:tcW w:w="1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(1 )</w:t>
            </w:r>
          </w:p>
        </w:tc>
        <w:tc>
          <w:tcPr>
            <w:tcW w:w="2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(129 )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85,117</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(198 )</w:t>
            </w:r>
          </w:p>
        </w:tc>
        <w:tc>
          <w:tcPr>
            <w:tcW w:w="2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2,000</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86,967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-3573780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-3556635</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-3573780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-3556635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-3573780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-3556635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-3573780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-3556635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-1816735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-1799590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-1816735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-1799590</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-1816735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-1799590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-1816735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-1799590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Nonperforming Loans</w:t>
      </w:r>
    </w:p>
    <w:p>
      <w:pPr>
        <w:spacing w:after="0" w:line="229" w:lineRule="exact"/>
        <w:rPr>
          <w:sz w:val="20"/>
          <w:szCs w:val="20"/>
          <w:color w:val="auto"/>
        </w:rPr>
      </w:pPr>
    </w:p>
    <w:p>
      <w:pPr>
        <w:ind w:right="80" w:firstLine="464"/>
        <w:spacing w:after="0" w:line="254" w:lineRule="auto"/>
        <w:rPr>
          <w:sz w:val="20"/>
          <w:szCs w:val="20"/>
          <w:color w:val="auto"/>
        </w:rPr>
      </w:pPr>
      <w:r>
        <w:rPr>
          <w:rFonts w:ascii="Times New Roman" w:cs="Times New Roman" w:eastAsia="Times New Roman" w:hAnsi="Times New Roman"/>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included in our Annual Report on Form 10-K for the year ended December 31, 2023, for additional discussion concerning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Bank’s policy for past due and nonperforming loans.</w:t>
      </w:r>
    </w:p>
    <w:p>
      <w:pPr>
        <w:spacing w:after="0" w:line="192" w:lineRule="exact"/>
        <w:rPr>
          <w:sz w:val="20"/>
          <w:szCs w:val="20"/>
          <w:color w:val="auto"/>
        </w:rPr>
      </w:pPr>
    </w:p>
    <w:p>
      <w:pPr>
        <w:ind w:right="3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(including nonaccrual loans), by type of loans as of the dates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22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2,391,373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2,393,727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19,597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19,597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4,251,601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4,271,198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267,601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267,938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953,591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956,184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350,562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70,889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267,593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49,771</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49,771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8,656,965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8,681,846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-145415</wp:posOffset>
            </wp:positionV>
            <wp:extent cx="768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-145415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-145415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-145415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-145415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22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2,430,447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2,433,252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4,350,706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4,351,253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269,542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270,619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965,630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969,895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73,590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269,667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54,072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8,895,997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-144780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-144780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-144780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-144780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right="340" w:firstLine="469"/>
        <w:spacing w:after="0" w:line="282" w:lineRule="auto"/>
        <w:rPr>
          <w:sz w:val="20"/>
          <w:szCs w:val="20"/>
          <w:color w:val="auto"/>
        </w:rPr>
      </w:pPr>
      <w:r>
        <w:rPr>
          <w:rFonts w:ascii="Times New Roman" w:cs="Times New Roman" w:eastAsia="Times New Roman" w:hAnsi="Times New Roman"/>
          <w:sz w:val="18"/>
          <w:szCs w:val="18"/>
          <w:color w:val="auto"/>
        </w:rPr>
        <w:t>Amortized cost of our finance receivables and loans that are on nonaccrual status, including loans with no allowance are presented as of June 30, 2024 and December 31, 2023 by type of loan.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6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Total Nonaccrual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45"/>
        </w:trPr>
        <w:tc>
          <w:tcPr>
            <w:tcW w:w="6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 (3)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r>
      <w:tr>
        <w:trPr>
          <w:trHeight w:val="233"/>
        </w:trPr>
        <w:tc>
          <w:tcPr>
            <w:tcW w:w="6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2024, $223,000 of nonaccruing loans were current, $122,000 were 30-59 days past due, and $24.6 million were 90+ days past due.</w:t>
      </w:r>
    </w:p>
    <w:p>
      <w:pPr>
        <w:spacing w:after="0" w:line="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$157,000 of guaranteed portion of nonaccrual SBA loans that are in process of collection.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6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Nonaccrual</w:t>
            </w: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45"/>
        </w:trPr>
        <w:tc>
          <w:tcPr>
            <w:tcW w:w="6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c>
          <w:tcPr>
            <w:tcW w:w="100" w:type="dxa"/>
            <w:vAlign w:val="bottom"/>
          </w:tcPr>
          <w:p>
            <w:pPr>
              <w:spacing w:after="0"/>
              <w:rPr>
                <w:sz w:val="21"/>
                <w:szCs w:val="21"/>
                <w:color w:val="auto"/>
              </w:rPr>
            </w:pPr>
          </w:p>
        </w:tc>
      </w:tr>
      <w:tr>
        <w:trPr>
          <w:trHeight w:val="233"/>
        </w:trPr>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$13.0 million of nonaccruing loans were current, $16,000 were 30-59 days past due, and $8.3 million were 90+ days past due.</w:t>
      </w:r>
    </w:p>
    <w:p>
      <w:pPr>
        <w:spacing w:after="0" w:line="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229" w:lineRule="exact"/>
        <w:rPr>
          <w:sz w:val="20"/>
          <w:szCs w:val="20"/>
          <w:color w:val="auto"/>
        </w:rPr>
      </w:pPr>
    </w:p>
    <w:p>
      <w:pPr>
        <w:ind w:right="220" w:firstLine="464"/>
        <w:spacing w:after="0" w:line="266"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 Loans</w:t>
            </w:r>
          </w:p>
        </w:tc>
      </w:tr>
      <w:tr>
        <w:trPr>
          <w:trHeight w:val="200"/>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25"/>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2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r>
      <w:tr>
        <w:trPr>
          <w:trHeight w:val="221"/>
        </w:trPr>
        <w:tc>
          <w:tcPr>
            <w:tcW w:w="4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20"/>
                <w:szCs w:val="20"/>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3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-179070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-179070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-179070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 Loans</w:t>
            </w:r>
          </w:p>
        </w:tc>
      </w:tr>
      <w:tr>
        <w:trPr>
          <w:trHeight w:val="200"/>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25"/>
        </w:trPr>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20" w:type="dxa"/>
            <w:vAlign w:val="bottom"/>
          </w:tcPr>
          <w:p>
            <w:pPr>
              <w:spacing w:after="0"/>
              <w:rPr>
                <w:sz w:val="19"/>
                <w:szCs w:val="19"/>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r>
      <w:tr>
        <w:trPr>
          <w:trHeight w:val="221"/>
        </w:trPr>
        <w:tc>
          <w:tcPr>
            <w:tcW w:w="4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3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-179070</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-179070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229"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$7.0 million for the off-balance sheet credit exposures as of June 30, 2024. There was a $500,000 recapture of provision for unfunded loan commitments for the six months ended June 30, 2024, compared to a $900,000 provision for the six months ended June 30, 2023. As of June 30, 2024 and December 31,2023, the balance in this reserve was $7.0 million and $7.5 million, respectively, and was included in other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440" w:firstLine="469"/>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 (“ASU”) 2022-02, Financial Instruments - Credit Losses (Topic 326) Troubled Debt Restructurings and Vintage Disclosures (“ASU 2022-02”) effective January 1,2024. The amendments in ASU 2022-02 eliminated the recognition and measurement of TDRs and enhanced disclosures for loan modifications to borrowers experiencing financial difficulty.</w:t>
      </w:r>
    </w:p>
    <w:p>
      <w:pPr>
        <w:spacing w:after="0" w:line="176"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There were eight loans to borrowers experiencing financial difficulty that were modified during the six months ended June 30, 2024 with an amortized cost totaling $16.9 million as of June 30, 2024, including one commercial real estate loan of $8.8 million, two dairy &amp; livestock and agribusiness loans of $6.0 million, and five commercial and industrial loans totaling $2.1 million.</w:t>
      </w:r>
    </w:p>
    <w:p>
      <w:pPr>
        <w:spacing w:after="0" w:line="176" w:lineRule="exact"/>
        <w:rPr>
          <w:sz w:val="20"/>
          <w:szCs w:val="20"/>
          <w:color w:val="auto"/>
        </w:rPr>
      </w:pPr>
    </w:p>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The tables below reflect the amortized cost of loans by type made to borrowers experiencing financial difficulty that were modified as of June 30, 2024 and June 30,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Combination-Term Extension and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280" w:type="dxa"/>
            <w:vAlign w:val="bottom"/>
          </w:tcPr>
          <w:p>
            <w:pPr>
              <w:spacing w:after="0"/>
              <w:rPr>
                <w:sz w:val="21"/>
                <w:szCs w:val="21"/>
                <w:color w:val="auto"/>
              </w:rPr>
            </w:pPr>
          </w:p>
        </w:tc>
        <w:tc>
          <w:tcPr>
            <w:tcW w:w="28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300" w:type="dxa"/>
            <w:vAlign w:val="bottom"/>
          </w:tcPr>
          <w:p>
            <w:pPr>
              <w:spacing w:after="0"/>
              <w:rPr>
                <w:sz w:val="21"/>
                <w:szCs w:val="21"/>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80" w:type="dxa"/>
            <w:vAlign w:val="bottom"/>
          </w:tcPr>
          <w:p>
            <w:pPr>
              <w:spacing w:after="0"/>
              <w:rPr>
                <w:sz w:val="21"/>
                <w:szCs w:val="21"/>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8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30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0.13 %</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0.12 %</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0.02 %</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0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3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right="46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loan modifications made to borrowers experiencing financial difficulty during the three months ended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7960" w:type="dxa"/>
            <w:vAlign w:val="bottom"/>
            <w:tcBorders>
              <w:bottom w:val="single" w:sz="8" w:color="auto"/>
            </w:tcBorders>
            <w:gridSpan w:val="3"/>
          </w:tcPr>
          <w:p>
            <w:pPr>
              <w:ind w:left="338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450"/>
        </w:trPr>
        <w:tc>
          <w:tcPr>
            <w:tcW w:w="3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Combination-Term Extension and</w:t>
            </w:r>
          </w:p>
        </w:tc>
      </w:tr>
      <w:tr>
        <w:trPr>
          <w:trHeight w:val="245"/>
        </w:trPr>
        <w:tc>
          <w:tcPr>
            <w:tcW w:w="3280" w:type="dxa"/>
            <w:vAlign w:val="bottom"/>
          </w:tcPr>
          <w:p>
            <w:pPr>
              <w:spacing w:after="0"/>
              <w:rPr>
                <w:sz w:val="21"/>
                <w:szCs w:val="21"/>
                <w:color w:val="auto"/>
              </w:rPr>
            </w:pPr>
          </w:p>
        </w:tc>
        <w:tc>
          <w:tcPr>
            <w:tcW w:w="38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300" w:type="dxa"/>
            <w:vAlign w:val="bottom"/>
          </w:tcPr>
          <w:p>
            <w:pPr>
              <w:spacing w:after="0"/>
              <w:rPr>
                <w:sz w:val="21"/>
                <w:szCs w:val="21"/>
                <w:color w:val="auto"/>
              </w:rPr>
            </w:pPr>
          </w:p>
        </w:tc>
        <w:tc>
          <w:tcPr>
            <w:tcW w:w="38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1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1.1 years to the life of</w:t>
            </w:r>
          </w:p>
        </w:tc>
        <w:tc>
          <w:tcPr>
            <w:tcW w:w="300" w:type="dxa"/>
            <w:vAlign w:val="bottom"/>
            <w:shd w:val="clear" w:color="auto" w:fill="CFF0FC"/>
          </w:tcPr>
          <w:p>
            <w:pPr>
              <w:spacing w:after="0"/>
              <w:rPr>
                <w:sz w:val="18"/>
                <w:szCs w:val="18"/>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7.6 years to the life of</w:t>
            </w:r>
          </w:p>
        </w:tc>
      </w:tr>
      <w:tr>
        <w:trPr>
          <w:trHeight w:val="216"/>
        </w:trPr>
        <w:tc>
          <w:tcPr>
            <w:tcW w:w="3280" w:type="dxa"/>
            <w:vAlign w:val="bottom"/>
            <w:shd w:val="clear" w:color="auto" w:fill="CFF0FC"/>
          </w:tcPr>
          <w:p>
            <w:pPr>
              <w:spacing w:after="0"/>
              <w:rPr>
                <w:sz w:val="18"/>
                <w:szCs w:val="18"/>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00" w:type="dxa"/>
            <w:vAlign w:val="bottom"/>
            <w:shd w:val="clear" w:color="auto" w:fill="CFF0FC"/>
          </w:tcPr>
          <w:p>
            <w:pPr>
              <w:spacing w:after="0"/>
              <w:rPr>
                <w:sz w:val="18"/>
                <w:szCs w:val="18"/>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r>
      <w:tr>
        <w:trPr>
          <w:trHeight w:val="216"/>
        </w:trPr>
        <w:tc>
          <w:tcPr>
            <w:tcW w:w="3280" w:type="dxa"/>
            <w:vAlign w:val="bottom"/>
            <w:shd w:val="clear" w:color="auto" w:fill="CFF0FC"/>
          </w:tcPr>
          <w:p>
            <w:pPr>
              <w:spacing w:after="0"/>
              <w:rPr>
                <w:sz w:val="18"/>
                <w:szCs w:val="18"/>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borrowers.</w:t>
            </w:r>
          </w:p>
        </w:tc>
        <w:tc>
          <w:tcPr>
            <w:tcW w:w="300" w:type="dxa"/>
            <w:vAlign w:val="bottom"/>
            <w:shd w:val="clear" w:color="auto" w:fill="CFF0FC"/>
          </w:tcPr>
          <w:p>
            <w:pPr>
              <w:spacing w:after="0"/>
              <w:rPr>
                <w:sz w:val="18"/>
                <w:szCs w:val="18"/>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borrowers; reduced weighted-average</w:t>
            </w:r>
          </w:p>
        </w:tc>
      </w:tr>
      <w:tr>
        <w:trPr>
          <w:trHeight w:val="248"/>
        </w:trPr>
        <w:tc>
          <w:tcPr>
            <w:tcW w:w="3280" w:type="dxa"/>
            <w:vAlign w:val="bottom"/>
            <w:shd w:val="clear" w:color="auto" w:fill="CFF0FC"/>
          </w:tcPr>
          <w:p>
            <w:pPr>
              <w:spacing w:after="0"/>
              <w:rPr>
                <w:sz w:val="21"/>
                <w:szCs w:val="21"/>
                <w:color w:val="auto"/>
              </w:rPr>
            </w:pPr>
          </w:p>
        </w:tc>
        <w:tc>
          <w:tcPr>
            <w:tcW w:w="3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rate from 10% to 7.25%.</w:t>
            </w:r>
          </w:p>
        </w:tc>
      </w:tr>
    </w:tbl>
    <w:p>
      <w:pPr>
        <w:spacing w:after="0" w:line="1" w:lineRule="exact"/>
        <w:rPr>
          <w:sz w:val="20"/>
          <w:szCs w:val="20"/>
          <w:color w:val="auto"/>
        </w:rPr>
      </w:pPr>
    </w:p>
    <w:p>
      <w:pPr>
        <w:sectPr>
          <w:pgSz w:w="11900" w:h="16838" w:orient="portrait"/>
          <w:cols w:equalWidth="0" w:num="1">
            <w:col w:w="11240"/>
          </w:cols>
          <w:pgMar w:left="320" w:top="1309" w:right="339" w:bottom="1440" w:gutter="0" w:footer="0" w:header="0"/>
        </w:sectPr>
      </w:pPr>
    </w:p>
    <w:p>
      <w:pPr>
        <w:ind w:left="20"/>
        <w:spacing w:after="0"/>
        <w:tabs>
          <w:tab w:leader="none" w:pos="3280" w:val="left"/>
        </w:tabs>
        <w:rPr>
          <w:sz w:val="20"/>
          <w:szCs w:val="20"/>
          <w:color w:val="auto"/>
        </w:rPr>
      </w:pPr>
      <w:r>
        <w:rPr>
          <w:rFonts w:ascii="Times New Roman" w:cs="Times New Roman" w:eastAsia="Times New Roman" w:hAnsi="Times New Roman"/>
          <w:sz w:val="18"/>
          <w:szCs w:val="18"/>
          <w:color w:val="auto"/>
        </w:rPr>
        <w:t>Commercial and industrial</w:t>
      </w:r>
      <w:r>
        <w:rPr>
          <w:sz w:val="20"/>
          <w:szCs w:val="20"/>
          <w:color w:val="auto"/>
        </w:rPr>
        <w:tab/>
      </w:r>
      <w:r>
        <w:rPr>
          <w:rFonts w:ascii="Times New Roman" w:cs="Times New Roman" w:eastAsia="Times New Roman" w:hAnsi="Times New Roman"/>
          <w:sz w:val="18"/>
          <w:szCs w:val="18"/>
          <w:color w:val="auto"/>
        </w:rPr>
        <w:t>Added a weighted-average 1.2 years to the life of</w:t>
      </w:r>
    </w:p>
    <w:p>
      <w:pPr>
        <w:spacing w:after="0" w:line="23" w:lineRule="exact"/>
        <w:rPr>
          <w:sz w:val="20"/>
          <w:szCs w:val="20"/>
          <w:color w:val="auto"/>
        </w:rPr>
      </w:pPr>
    </w:p>
    <w:p>
      <w:pPr>
        <w:ind w:left="3300"/>
        <w:spacing w:after="0" w:line="260" w:lineRule="auto"/>
        <w:rPr>
          <w:sz w:val="20"/>
          <w:szCs w:val="20"/>
          <w:color w:val="auto"/>
        </w:rPr>
      </w:pPr>
      <w:r>
        <w:rPr>
          <w:rFonts w:ascii="Times New Roman" w:cs="Times New Roman" w:eastAsia="Times New Roman" w:hAnsi="Times New Roman"/>
          <w:sz w:val="18"/>
          <w:szCs w:val="18"/>
          <w:color w:val="auto"/>
        </w:rPr>
        <w:t>loans, which reduced monthly payment amounts for the borrowers.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Times New Roman" w:cs="Times New Roman" w:eastAsia="Times New Roman" w:hAnsi="Times New Roman"/>
          <w:sz w:val="18"/>
          <w:szCs w:val="18"/>
          <w:color w:val="auto"/>
        </w:rPr>
        <w:t>Added a weighted-average 2.0 years to the life of loans, which reduced monthly payment amounts for the borrowers; reduced weighted-average contractual interest rate from 8.75% to 7.75%.</w:t>
      </w:r>
    </w:p>
    <w:p>
      <w:pPr>
        <w:spacing w:after="0" w:line="2" w:lineRule="exact"/>
        <w:rPr>
          <w:sz w:val="20"/>
          <w:szCs w:val="20"/>
          <w:color w:val="auto"/>
        </w:rPr>
      </w:pPr>
    </w:p>
    <w:p>
      <w:pPr>
        <w:sectPr>
          <w:pgSz w:w="11900" w:h="16838" w:orient="portrait"/>
          <w:cols w:equalWidth="0" w:num="2">
            <w:col w:w="7040" w:space="400"/>
            <w:col w:w="3800"/>
          </w:cols>
          <w:pgMar w:left="320" w:top="130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Added a weighted-average 1.1 years to the life of</w:t>
            </w:r>
          </w:p>
        </w:tc>
        <w:tc>
          <w:tcPr>
            <w:tcW w:w="3100" w:type="dxa"/>
            <w:vAlign w:val="bottom"/>
            <w:shd w:val="clear" w:color="auto" w:fill="CFF0FC"/>
          </w:tcPr>
          <w:p>
            <w:pPr>
              <w:spacing w:after="0"/>
              <w:rPr>
                <w:sz w:val="17"/>
                <w:szCs w:val="17"/>
                <w:color w:val="auto"/>
              </w:rPr>
            </w:pPr>
          </w:p>
        </w:tc>
      </w:tr>
      <w:tr>
        <w:trPr>
          <w:trHeight w:val="216"/>
        </w:trPr>
        <w:tc>
          <w:tcPr>
            <w:tcW w:w="2920" w:type="dxa"/>
            <w:vAlign w:val="bottom"/>
            <w:shd w:val="clear" w:color="auto" w:fill="CFF0FC"/>
          </w:tcPr>
          <w:p>
            <w:pPr>
              <w:spacing w:after="0"/>
              <w:rPr>
                <w:sz w:val="18"/>
                <w:szCs w:val="18"/>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20" w:type="dxa"/>
            <w:vAlign w:val="bottom"/>
            <w:shd w:val="clear" w:color="auto" w:fill="CFF0FC"/>
          </w:tcPr>
          <w:p>
            <w:pPr>
              <w:spacing w:after="0"/>
              <w:rPr>
                <w:sz w:val="21"/>
                <w:szCs w:val="21"/>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shd w:val="clear" w:color="auto" w:fill="CFF0FC"/>
          </w:tcPr>
          <w:p>
            <w:pPr>
              <w:spacing w:after="0"/>
              <w:rPr>
                <w:sz w:val="21"/>
                <w:szCs w:val="21"/>
                <w:color w:val="auto"/>
              </w:rPr>
            </w:pPr>
          </w:p>
        </w:tc>
      </w:tr>
      <w:tr>
        <w:trPr>
          <w:trHeight w:val="722"/>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52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1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Added a weighted-average 1.1 years to the life of</w:t>
            </w:r>
          </w:p>
        </w:tc>
        <w:tc>
          <w:tcPr>
            <w:tcW w:w="3100" w:type="dxa"/>
            <w:vAlign w:val="bottom"/>
            <w:shd w:val="clear" w:color="auto" w:fill="CFF0FC"/>
          </w:tcPr>
          <w:p>
            <w:pPr>
              <w:spacing w:after="0"/>
              <w:rPr>
                <w:sz w:val="18"/>
                <w:szCs w:val="18"/>
                <w:color w:val="auto"/>
              </w:rPr>
            </w:pPr>
          </w:p>
        </w:tc>
      </w:tr>
      <w:tr>
        <w:trPr>
          <w:trHeight w:val="216"/>
        </w:trPr>
        <w:tc>
          <w:tcPr>
            <w:tcW w:w="2920" w:type="dxa"/>
            <w:vAlign w:val="bottom"/>
            <w:shd w:val="clear" w:color="auto" w:fill="CFF0FC"/>
          </w:tcPr>
          <w:p>
            <w:pPr>
              <w:spacing w:after="0"/>
              <w:rPr>
                <w:sz w:val="18"/>
                <w:szCs w:val="18"/>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20" w:type="dxa"/>
            <w:vAlign w:val="bottom"/>
            <w:shd w:val="clear" w:color="auto" w:fill="CFF0FC"/>
          </w:tcPr>
          <w:p>
            <w:pPr>
              <w:spacing w:after="0"/>
              <w:rPr>
                <w:sz w:val="21"/>
                <w:szCs w:val="21"/>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shd w:val="clear" w:color="auto" w:fill="CFF0FC"/>
          </w:tcPr>
          <w:p>
            <w:pPr>
              <w:spacing w:after="0"/>
              <w:rPr>
                <w:sz w:val="21"/>
                <w:szCs w:val="21"/>
                <w:color w:val="auto"/>
              </w:rPr>
            </w:pPr>
          </w:p>
        </w:tc>
      </w:tr>
      <w:tr>
        <w:trPr>
          <w:trHeight w:val="211"/>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Added a weighted-average 0.8 years to the life of</w:t>
            </w:r>
          </w:p>
        </w:tc>
        <w:tc>
          <w:tcPr>
            <w:tcW w:w="31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920" w:type="dxa"/>
            <w:vAlign w:val="bottom"/>
          </w:tcPr>
          <w:p>
            <w:pPr>
              <w:spacing w:after="0"/>
              <w:rPr>
                <w:sz w:val="20"/>
                <w:szCs w:val="20"/>
                <w:color w:val="auto"/>
              </w:rPr>
            </w:pPr>
          </w:p>
        </w:tc>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tcPr>
          <w:p>
            <w:pPr>
              <w:spacing w:after="0"/>
              <w:rPr>
                <w:sz w:val="20"/>
                <w:szCs w:val="20"/>
                <w:color w:val="auto"/>
              </w:rPr>
            </w:pPr>
          </w:p>
        </w:tc>
      </w:tr>
      <w:tr>
        <w:trPr>
          <w:trHeight w:val="21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Added a weighted-average 1.4 years to the life of</w:t>
            </w:r>
          </w:p>
        </w:tc>
        <w:tc>
          <w:tcPr>
            <w:tcW w:w="3100" w:type="dxa"/>
            <w:vAlign w:val="bottom"/>
            <w:shd w:val="clear" w:color="auto" w:fill="CFF0FC"/>
          </w:tcPr>
          <w:p>
            <w:pPr>
              <w:spacing w:after="0"/>
              <w:rPr>
                <w:sz w:val="18"/>
                <w:szCs w:val="18"/>
                <w:color w:val="auto"/>
              </w:rPr>
            </w:pPr>
          </w:p>
        </w:tc>
      </w:tr>
      <w:tr>
        <w:trPr>
          <w:trHeight w:val="216"/>
        </w:trPr>
        <w:tc>
          <w:tcPr>
            <w:tcW w:w="2920" w:type="dxa"/>
            <w:vAlign w:val="bottom"/>
            <w:shd w:val="clear" w:color="auto" w:fill="CFF0FC"/>
          </w:tcPr>
          <w:p>
            <w:pPr>
              <w:spacing w:after="0"/>
              <w:rPr>
                <w:sz w:val="18"/>
                <w:szCs w:val="18"/>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20" w:type="dxa"/>
            <w:vAlign w:val="bottom"/>
            <w:shd w:val="clear" w:color="auto" w:fill="CFF0FC"/>
          </w:tcPr>
          <w:p>
            <w:pPr>
              <w:spacing w:after="0"/>
              <w:rPr>
                <w:sz w:val="21"/>
                <w:szCs w:val="21"/>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shd w:val="clear" w:color="auto" w:fill="CFF0FC"/>
          </w:tcPr>
          <w:p>
            <w:pPr>
              <w:spacing w:after="0"/>
              <w:rPr>
                <w:sz w:val="21"/>
                <w:szCs w:val="21"/>
                <w:color w:val="auto"/>
              </w:rPr>
            </w:pPr>
          </w:p>
        </w:tc>
      </w:tr>
    </w:tbl>
    <w:p>
      <w:pPr>
        <w:spacing w:after="0" w:line="171" w:lineRule="exact"/>
        <w:rPr>
          <w:sz w:val="20"/>
          <w:szCs w:val="20"/>
          <w:color w:val="auto"/>
        </w:rPr>
      </w:pPr>
    </w:p>
    <w:p>
      <w:pPr>
        <w:ind w:right="80" w:firstLine="464"/>
        <w:spacing w:after="0" w:line="266" w:lineRule="auto"/>
        <w:rPr>
          <w:sz w:val="20"/>
          <w:szCs w:val="20"/>
          <w:color w:val="auto"/>
        </w:rPr>
      </w:pPr>
      <w:r>
        <w:rPr>
          <w:rFonts w:ascii="Times New Roman" w:cs="Times New Roman" w:eastAsia="Times New Roman" w:hAnsi="Times New Roman"/>
          <w:sz w:val="18"/>
          <w:szCs w:val="18"/>
          <w:color w:val="auto"/>
        </w:rPr>
        <w:t>As of June 30, 2024, the Company did not have any loans made to borrowers experiencing financial difficulty that were modified during the first six months of 2024 that subsequently defaulted. Payment default is defined as movement to nonaccrual (nonperforming) status, foreclosure or charge-off, whichever occurs first.</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360" w:type="dxa"/>
            <w:vAlign w:val="bottom"/>
          </w:tcPr>
          <w:p>
            <w:pPr>
              <w:spacing w:after="0"/>
              <w:rPr>
                <w:sz w:val="18"/>
                <w:szCs w:val="18"/>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8"/>
                <w:szCs w:val="18"/>
                <w:color w:val="auto"/>
              </w:rPr>
            </w:pPr>
          </w:p>
        </w:tc>
      </w:tr>
      <w:tr>
        <w:trPr>
          <w:trHeight w:val="245"/>
        </w:trPr>
        <w:tc>
          <w:tcPr>
            <w:tcW w:w="4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360" w:type="dxa"/>
            <w:vAlign w:val="bottom"/>
          </w:tcPr>
          <w:p>
            <w:pPr>
              <w:spacing w:after="0"/>
              <w:rPr>
                <w:sz w:val="21"/>
                <w:szCs w:val="21"/>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40"/>
        </w:trPr>
        <w:tc>
          <w:tcPr>
            <w:tcW w:w="42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5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6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7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5" w:name="page26"/>
    <w:bookmarkEnd w:id="25"/>
    <w:p>
      <w:pPr>
        <w:spacing w:after="0" w:line="4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Repurchase Agreements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June 30, 2024, total funds borrowed under these agreements were $268.8 million with a weighted average interest rate of 0.51%, compared to $271.6 million with a weighted average interest rate of 0.29% at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 and Other Borrowings</w:t>
      </w:r>
    </w:p>
    <w:p>
      <w:pPr>
        <w:spacing w:after="0" w:line="229"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As of June 30, 2024, borrowings totaled $1.8 billion, including a $1.3 billion advance from the Federal Reserve's Bank Term Funding Program ("BTFP") at a cost of approximately 4.76% maturing in January of 2025, and $500 million of FHLB advances. The FHLB advances include maturities of $300 million, at an average cost of approximately 4.73%, maturing in May of 2026, and $200 million, at a cost of 4.27% maturing in May of 2027.</w:t>
      </w:r>
    </w:p>
    <w:p>
      <w:pPr>
        <w:spacing w:after="0" w:line="176"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As of December 31, 2023, total short-term borrowings of $2.07 billion, consisted of $1.91 billion of one-year advances from the Federal Reserve's BTFP at a cost of 4.78% and $160 million of short-term FHLB advances, at an average cost of approximately 5.7%. The BTFP advances included maturities of $695 million in May and $1.2 billion in December of 2024.</w:t>
      </w:r>
    </w:p>
    <w:p>
      <w:pPr>
        <w:spacing w:after="0" w:line="176" w:lineRule="exact"/>
        <w:rPr>
          <w:sz w:val="20"/>
          <w:szCs w:val="20"/>
          <w:color w:val="auto"/>
        </w:rPr>
      </w:pPr>
    </w:p>
    <w:p>
      <w:pPr>
        <w:ind w:right="580" w:firstLine="469"/>
        <w:spacing w:after="0" w:line="282" w:lineRule="auto"/>
        <w:rPr>
          <w:sz w:val="20"/>
          <w:szCs w:val="20"/>
          <w:color w:val="auto"/>
        </w:rPr>
      </w:pPr>
      <w:r>
        <w:rPr>
          <w:rFonts w:ascii="Times New Roman" w:cs="Times New Roman" w:eastAsia="Times New Roman" w:hAnsi="Times New Roman"/>
          <w:sz w:val="18"/>
          <w:szCs w:val="18"/>
          <w:color w:val="auto"/>
        </w:rPr>
        <w:t>At June 30, 2024, loans with a carrying value of $4.45 billion were pledged to secure available lines of credit from the FHLB and the Federal Reserve Bank.</w:t>
      </w:r>
    </w:p>
    <w:p>
      <w:pPr>
        <w:spacing w:after="0" w:line="162"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At June 30, 2024 investment securities with carrying values of $2.18 billion were pledged to secure $363.3 million for repurchase agreements, $1.35 billion for outstanding borrowings, $427.4 million for unused borrowing capacity and approximately $46 million for other purposes as required or permitted by law.</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 RECONCILIATION</w:t>
      </w:r>
    </w:p>
    <w:p>
      <w:pPr>
        <w:spacing w:after="0" w:line="229"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six months ended June 30, 2024, shares deemed to be antidilutive, and thus excluded from the computation of earnings per common share, were 1,181,000 and 1,167,000, respectively. For the three and six months ended June 30, 2023, shares deemed to be antidilutive, and thus excluded from the computation of earnings per common share, were 1,412,000 and 1,058,000, respectively.</w:t>
      </w:r>
    </w:p>
    <w:p>
      <w:pPr>
        <w:spacing w:after="0" w:line="187" w:lineRule="exact"/>
        <w:rPr>
          <w:sz w:val="20"/>
          <w:szCs w:val="20"/>
          <w:color w:val="auto"/>
        </w:rPr>
      </w:pPr>
    </w:p>
    <w:p>
      <w:pPr>
        <w:ind w:right="260" w:firstLine="469"/>
        <w:spacing w:after="0" w:line="282"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160" w:type="dxa"/>
            <w:vAlign w:val="bottom"/>
            <w:gridSpan w:val="7"/>
          </w:tcPr>
          <w:p>
            <w:pPr>
              <w:ind w:left="2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50,035</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98,634</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138,584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97,937</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138,584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Incremental shares from assumed exercise of</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options</w:t>
            </w: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138,669</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138,383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138,561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40" w:type="dxa"/>
            <w:vAlign w:val="bottom"/>
          </w:tcPr>
          <w:p>
            <w:pPr>
              <w:spacing w:after="0"/>
              <w:rPr>
                <w:sz w:val="24"/>
                <w:szCs w:val="24"/>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4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-2836545</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-2836545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-2836545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ind w:right="300" w:firstLine="469"/>
        <w:spacing w:after="0" w:line="282"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 xml:space="preserve">The valuation methodologies for financial assets and liabilities measured at fair value on a recurring and non-recurring basis are described in Note 18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included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as of the dates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left="137"/>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left="117"/>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1320" w:type="dxa"/>
            <w:vAlign w:val="bottom"/>
          </w:tcPr>
          <w:p>
            <w:pPr>
              <w:jc w:val="center"/>
              <w:ind w:left="117"/>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80" w:type="dxa"/>
            <w:vAlign w:val="bottom"/>
          </w:tcPr>
          <w:p>
            <w:pPr>
              <w:spacing w:after="0"/>
              <w:rPr>
                <w:sz w:val="17"/>
                <w:szCs w:val="17"/>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4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Pr>
          <w:p>
            <w:pPr>
              <w:spacing w:after="0"/>
              <w:rPr>
                <w:sz w:val="19"/>
                <w:szCs w:val="19"/>
                <w:color w:val="auto"/>
              </w:rPr>
            </w:pPr>
          </w:p>
        </w:tc>
        <w:tc>
          <w:tcPr>
            <w:tcW w:w="132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r>
      <w:tr>
        <w:trPr>
          <w:trHeight w:val="20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gridSpan w:val="5"/>
          </w:tcPr>
          <w:p>
            <w:pPr>
              <w:jc w:val="right"/>
              <w:ind w:right="95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Government agency/GSE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33,477</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33,477</w:t>
            </w:r>
          </w:p>
        </w:tc>
        <w:tc>
          <w:tcPr>
            <w:tcW w:w="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2,316,075</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2,316,075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370,491</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370,491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24,426</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3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2,745,796</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3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2,761,136</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2,761,136</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8"/>
        </w:trPr>
        <w:tc>
          <w:tcPr>
            <w:tcW w:w="41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4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-3119755</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-3119755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-3119755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-2185035</wp:posOffset>
            </wp:positionV>
            <wp:extent cx="768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-2185035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-2185035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-933450</wp:posOffset>
            </wp:positionV>
            <wp:extent cx="768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-916305</wp:posOffset>
            </wp:positionV>
            <wp:extent cx="768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-933450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-916305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-933450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-916305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320" w:type="dxa"/>
            <w:vAlign w:val="bottom"/>
          </w:tcPr>
          <w:p>
            <w:pPr>
              <w:spacing w:after="0"/>
              <w:rPr>
                <w:sz w:val="17"/>
                <w:szCs w:val="17"/>
                <w:color w:val="auto"/>
              </w:rPr>
            </w:pPr>
          </w:p>
        </w:tc>
        <w:tc>
          <w:tcPr>
            <w:tcW w:w="134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80" w:type="dxa"/>
            <w:vAlign w:val="bottom"/>
          </w:tcPr>
          <w:p>
            <w:pPr>
              <w:spacing w:after="0"/>
              <w:rPr>
                <w:sz w:val="17"/>
                <w:szCs w:val="17"/>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4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Pr>
          <w:p>
            <w:pPr>
              <w:spacing w:after="0"/>
              <w:rPr>
                <w:sz w:val="19"/>
                <w:szCs w:val="19"/>
                <w:color w:val="auto"/>
              </w:rPr>
            </w:pPr>
          </w:p>
        </w:tc>
        <w:tc>
          <w:tcPr>
            <w:tcW w:w="134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r>
      <w:tr>
        <w:trPr>
          <w:trHeight w:val="20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gridSpan w:val="5"/>
          </w:tcPr>
          <w:p>
            <w:pPr>
              <w:jc w:val="right"/>
              <w:ind w:right="9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Government agency/GSE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166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3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3"/>
        </w:trPr>
        <w:tc>
          <w:tcPr>
            <w:tcW w:w="4120" w:type="dxa"/>
            <w:vAlign w:val="bottom"/>
          </w:tcPr>
          <w:p>
            <w:pPr>
              <w:jc w:val="right"/>
              <w:ind w:right="2479"/>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120" w:type="dxa"/>
            <w:vAlign w:val="bottom"/>
          </w:tcPr>
          <w:p>
            <w:pPr>
              <w:jc w:val="right"/>
              <w:ind w:right="2479"/>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7"/>
        </w:trPr>
        <w:tc>
          <w:tcPr>
            <w:tcW w:w="4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166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20" w:type="dxa"/>
            <w:vAlign w:val="bottom"/>
            <w:tcBorders>
              <w:top w:val="single" w:sz="8" w:color="CFF0FC"/>
            </w:tcBorders>
          </w:tcPr>
          <w:p>
            <w:pPr>
              <w:jc w:val="right"/>
              <w:ind w:right="2479"/>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31"/>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4120" w:type="dxa"/>
            <w:vAlign w:val="bottom"/>
          </w:tcPr>
          <w:p>
            <w:pPr>
              <w:jc w:val="right"/>
              <w:ind w:right="2479"/>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60" w:type="dxa"/>
            <w:vAlign w:val="bottom"/>
            <w:gridSpan w:val="2"/>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120" w:type="dxa"/>
            <w:vAlign w:val="bottom"/>
          </w:tcPr>
          <w:p>
            <w:pPr>
              <w:jc w:val="right"/>
              <w:ind w:right="2479"/>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3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7"/>
        </w:trPr>
        <w:tc>
          <w:tcPr>
            <w:tcW w:w="41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3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ind w:right="1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-1885315</wp:posOffset>
            </wp:positionV>
            <wp:extent cx="768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-1885315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-1885315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-967740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-950595</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-967740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-950595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-967740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-950595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540" w:firstLine="469"/>
        <w:spacing w:after="0" w:line="282"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62"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June 30, 2024 and December 31, 2023, the following tables provide the level of valuation assumptions used to determine each adjustment and the carrying value of the related assets that had losses during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318"/>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40" w:type="dxa"/>
            <w:vAlign w:val="bottom"/>
          </w:tcPr>
          <w:p>
            <w:pPr>
              <w:spacing w:after="0"/>
              <w:rPr>
                <w:sz w:val="14"/>
                <w:szCs w:val="14"/>
                <w:color w:val="auto"/>
              </w:rPr>
            </w:pPr>
          </w:p>
        </w:tc>
        <w:tc>
          <w:tcPr>
            <w:tcW w:w="16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 the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98"/>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30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60" w:type="dxa"/>
            <w:vAlign w:val="bottom"/>
          </w:tcPr>
          <w:p>
            <w:pPr>
              <w:spacing w:after="0"/>
              <w:rPr>
                <w:sz w:val="14"/>
                <w:szCs w:val="14"/>
                <w:color w:val="auto"/>
              </w:rPr>
            </w:pPr>
          </w:p>
        </w:tc>
        <w:tc>
          <w:tcPr>
            <w:tcW w:w="1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197"/>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Loans: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33,804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33,804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Construction</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SBA</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SBA - PPP</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6,360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6,360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700" w:type="dxa"/>
            <w:vAlign w:val="bottom"/>
          </w:tcPr>
          <w:p>
            <w:pPr>
              <w:ind w:left="300"/>
              <w:spacing w:after="0" w:line="159" w:lineRule="exact"/>
              <w:rPr>
                <w:sz w:val="20"/>
                <w:szCs w:val="20"/>
                <w:color w:val="auto"/>
              </w:rPr>
            </w:pPr>
            <w:r>
              <w:rPr>
                <w:rFonts w:ascii="Times New Roman" w:cs="Times New Roman" w:eastAsia="Times New Roman" w:hAnsi="Times New Roman"/>
                <w:sz w:val="15"/>
                <w:szCs w:val="15"/>
                <w:color w:val="auto"/>
              </w:rPr>
              <w:t>Dairy &amp; livestock and</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agribusiness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00" w:type="dxa"/>
            <w:vAlign w:val="bottom"/>
            <w:shd w:val="clear" w:color="auto" w:fill="CFF0FC"/>
          </w:tcPr>
          <w:p>
            <w:pPr>
              <w:ind w:left="300"/>
              <w:spacing w:after="0" w:line="159" w:lineRule="exact"/>
              <w:rPr>
                <w:sz w:val="20"/>
                <w:szCs w:val="20"/>
                <w:color w:val="auto"/>
              </w:rPr>
            </w:pPr>
            <w:r>
              <w:rPr>
                <w:rFonts w:ascii="Times New Roman" w:cs="Times New Roman" w:eastAsia="Times New Roman" w:hAnsi="Times New Roman"/>
                <w:sz w:val="15"/>
                <w:szCs w:val="15"/>
                <w:color w:val="auto"/>
              </w:rPr>
              <w:t>Municipal lease finance</w:t>
            </w:r>
          </w:p>
        </w:tc>
        <w:tc>
          <w:tcPr>
            <w:tcW w:w="10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7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receivables</w:t>
            </w:r>
          </w:p>
        </w:tc>
        <w:tc>
          <w:tcPr>
            <w:tcW w:w="100" w:type="dxa"/>
            <w:vAlign w:val="bottom"/>
            <w:shd w:val="clear" w:color="auto" w:fill="CFF0FC"/>
          </w:tcPr>
          <w:p>
            <w:pPr>
              <w:spacing w:after="0"/>
              <w:rPr>
                <w:sz w:val="16"/>
                <w:szCs w:val="16"/>
                <w:color w:val="auto"/>
              </w:rPr>
            </w:pPr>
          </w:p>
        </w:tc>
        <w:tc>
          <w:tcPr>
            <w:tcW w:w="13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SFR mortgage</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real estate owned</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Asset held-for-sale</w:t>
            </w:r>
          </w:p>
        </w:tc>
        <w:tc>
          <w:tcPr>
            <w:tcW w:w="1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-1096645</wp:posOffset>
            </wp:positionV>
            <wp:extent cx="768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-1096645</wp:posOffset>
            </wp:positionV>
            <wp:extent cx="774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-1096645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-1096645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4" w:right="339" w:bottom="1162"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97"/>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60" w:type="dxa"/>
            <w:vAlign w:val="bottom"/>
          </w:tcPr>
          <w:p>
            <w:pPr>
              <w:spacing w:after="0"/>
              <w:rPr>
                <w:sz w:val="14"/>
                <w:szCs w:val="14"/>
                <w:color w:val="auto"/>
              </w:rPr>
            </w:pPr>
          </w:p>
        </w:tc>
        <w:tc>
          <w:tcPr>
            <w:tcW w:w="158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77"/>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280" w:type="dxa"/>
            <w:vAlign w:val="bottom"/>
          </w:tcPr>
          <w:p>
            <w:pPr>
              <w:spacing w:after="0"/>
              <w:rPr>
                <w:sz w:val="14"/>
                <w:szCs w:val="14"/>
                <w:color w:val="auto"/>
              </w:rPr>
            </w:pPr>
          </w:p>
        </w:tc>
        <w:tc>
          <w:tcPr>
            <w:tcW w:w="14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80" w:type="dxa"/>
            <w:vAlign w:val="bottom"/>
          </w:tcPr>
          <w:p>
            <w:pPr>
              <w:spacing w:after="0"/>
              <w:rPr>
                <w:sz w:val="14"/>
                <w:szCs w:val="14"/>
                <w:color w:val="auto"/>
              </w:rPr>
            </w:pPr>
          </w:p>
        </w:tc>
        <w:tc>
          <w:tcPr>
            <w:tcW w:w="14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8"/>
              </w:rPr>
              <w:t>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3"/>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Loans:</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18,678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18,678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Construction</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SBA</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SBA - PPP</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6,092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6,092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2660" w:type="dxa"/>
            <w:vAlign w:val="bottom"/>
          </w:tcPr>
          <w:p>
            <w:pPr>
              <w:ind w:left="280"/>
              <w:spacing w:after="0" w:line="159" w:lineRule="exact"/>
              <w:rPr>
                <w:sz w:val="20"/>
                <w:szCs w:val="20"/>
                <w:color w:val="auto"/>
              </w:rPr>
            </w:pPr>
            <w:r>
              <w:rPr>
                <w:rFonts w:ascii="Times New Roman" w:cs="Times New Roman" w:eastAsia="Times New Roman" w:hAnsi="Times New Roman"/>
                <w:sz w:val="15"/>
                <w:szCs w:val="15"/>
                <w:color w:val="auto"/>
              </w:rPr>
              <w:t>Dairy &amp; livestock and</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agribusiness</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2660" w:type="dxa"/>
            <w:vAlign w:val="bottom"/>
            <w:shd w:val="clear" w:color="auto" w:fill="CFF0FC"/>
          </w:tcPr>
          <w:p>
            <w:pPr>
              <w:ind w:left="280"/>
              <w:spacing w:after="0" w:line="159" w:lineRule="exact"/>
              <w:rPr>
                <w:sz w:val="20"/>
                <w:szCs w:val="20"/>
                <w:color w:val="auto"/>
              </w:rPr>
            </w:pPr>
            <w:r>
              <w:rPr>
                <w:rFonts w:ascii="Times New Roman" w:cs="Times New Roman" w:eastAsia="Times New Roman" w:hAnsi="Times New Roman"/>
                <w:sz w:val="15"/>
                <w:szCs w:val="15"/>
                <w:color w:val="auto"/>
              </w:rPr>
              <w:t>Municipal lease finance</w:t>
            </w:r>
          </w:p>
        </w:tc>
        <w:tc>
          <w:tcPr>
            <w:tcW w:w="10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receivables</w:t>
            </w:r>
          </w:p>
        </w:tc>
        <w:tc>
          <w:tcPr>
            <w:tcW w:w="10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SFR mortgage</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real estate owned</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Asset held-for-sale</w:t>
            </w: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-1233805</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-1233805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-1233805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-1233805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-1233805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June 30, 2024 and December 31, 2023, respectively. The use of different market assumptions and/or estimation methodologies may have a material effect on the estimated fair value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844,194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844,194</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844,194</w:t>
            </w:r>
          </w:p>
        </w:tc>
        <w:tc>
          <w:tcPr>
            <w:tcW w:w="100" w:type="dxa"/>
            <w:vAlign w:val="bottom"/>
          </w:tcPr>
          <w:p>
            <w:pPr>
              <w:spacing w:after="0"/>
              <w:rPr>
                <w:sz w:val="20"/>
                <w:szCs w:val="20"/>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2,745,796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2,745,796</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2,429,886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2,006,090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2,006,090</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net of allowance for credit losses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8,599,060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8,217,593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8,217,593</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shd w:val="clear" w:color="auto" w:fill="CFF0FC"/>
          </w:tcPr>
          <w:p>
            <w:pPr>
              <w:spacing w:after="0"/>
              <w:rPr>
                <w:sz w:val="21"/>
                <w:szCs w:val="21"/>
                <w:color w:val="auto"/>
              </w:rPr>
            </w:pPr>
          </w:p>
        </w:tc>
      </w:tr>
      <w:tr>
        <w:trPr>
          <w:trHeight w:val="24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4,700,230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4,695,747</w:t>
            </w:r>
          </w:p>
        </w:tc>
        <w:tc>
          <w:tcPr>
            <w:tcW w:w="2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4,695,747</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2,068,826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2,009,323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2,009,323</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4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5"/>
        </w:trPr>
        <w:tc>
          <w:tcPr>
            <w:tcW w:w="4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12"/>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3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100" w:type="dxa"/>
            <w:vAlign w:val="bottom"/>
          </w:tcPr>
          <w:p>
            <w:pPr>
              <w:spacing w:after="0"/>
              <w:rPr>
                <w:sz w:val="19"/>
                <w:szCs w:val="19"/>
                <w:color w:val="auto"/>
              </w:rPr>
            </w:pPr>
          </w:p>
        </w:tc>
      </w:tr>
      <w:tr>
        <w:trPr>
          <w:trHeight w:val="212"/>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Interest-earning balances due from</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depository institutions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100" w:type="dxa"/>
            <w:vAlign w:val="bottom"/>
            <w:shd w:val="clear" w:color="auto" w:fill="CFF0FC"/>
          </w:tcPr>
          <w:p>
            <w:pPr>
              <w:spacing w:after="0"/>
              <w:rPr>
                <w:sz w:val="19"/>
                <w:szCs w:val="19"/>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100" w:type="dxa"/>
            <w:vAlign w:val="bottom"/>
          </w:tcPr>
          <w:p>
            <w:pPr>
              <w:spacing w:after="0"/>
              <w:rPr>
                <w:sz w:val="19"/>
                <w:szCs w:val="19"/>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2,464,610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2,082,881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2,082,881</w:t>
            </w:r>
          </w:p>
        </w:tc>
        <w:tc>
          <w:tcPr>
            <w:tcW w:w="100" w:type="dxa"/>
            <w:vAlign w:val="bottom"/>
            <w:shd w:val="clear" w:color="auto" w:fill="CFF0FC"/>
          </w:tcPr>
          <w:p>
            <w:pPr>
              <w:spacing w:after="0"/>
              <w:rPr>
                <w:sz w:val="20"/>
                <w:szCs w:val="20"/>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loans, net of allowance for credit losses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8,818,068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8,503,518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8,503,518</w:t>
            </w:r>
          </w:p>
        </w:tc>
        <w:tc>
          <w:tcPr>
            <w:tcW w:w="100" w:type="dxa"/>
            <w:vAlign w:val="bottom"/>
          </w:tcPr>
          <w:p>
            <w:pPr>
              <w:spacing w:after="0"/>
              <w:rPr>
                <w:sz w:val="19"/>
                <w:szCs w:val="19"/>
                <w:color w:val="auto"/>
              </w:rPr>
            </w:pPr>
          </w:p>
        </w:tc>
      </w:tr>
      <w:tr>
        <w:trPr>
          <w:trHeight w:val="253"/>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0"/>
        </w:trPr>
        <w:tc>
          <w:tcPr>
            <w:tcW w:w="4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9"/>
                <w:szCs w:val="19"/>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3"/>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Interest-bearing</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4,227,467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4,222,773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4,222,773</w:t>
            </w:r>
          </w:p>
        </w:tc>
        <w:tc>
          <w:tcPr>
            <w:tcW w:w="100" w:type="dxa"/>
            <w:vAlign w:val="bottom"/>
            <w:shd w:val="clear" w:color="auto" w:fill="CFF0FC"/>
          </w:tcPr>
          <w:p>
            <w:pPr>
              <w:spacing w:after="0"/>
              <w:rPr>
                <w:sz w:val="20"/>
                <w:szCs w:val="20"/>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2,341,642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2,283,631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2,283,631</w:t>
            </w:r>
          </w:p>
        </w:tc>
        <w:tc>
          <w:tcPr>
            <w:tcW w:w="100" w:type="dxa"/>
            <w:vAlign w:val="bottom"/>
          </w:tcPr>
          <w:p>
            <w:pPr>
              <w:spacing w:after="0"/>
              <w:rPr>
                <w:sz w:val="19"/>
                <w:szCs w:val="19"/>
                <w:color w:val="auto"/>
              </w:rPr>
            </w:pPr>
          </w:p>
        </w:tc>
      </w:tr>
      <w:tr>
        <w:trPr>
          <w:trHeight w:val="253"/>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0"/>
        </w:trPr>
        <w:tc>
          <w:tcPr>
            <w:tcW w:w="4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9"/>
                <w:szCs w:val="19"/>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4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100" w:type="dxa"/>
            <w:vAlign w:val="bottom"/>
          </w:tcPr>
          <w:p>
            <w:pPr>
              <w:spacing w:after="0"/>
              <w:rPr>
                <w:sz w:val="18"/>
                <w:szCs w:val="18"/>
                <w:color w:val="auto"/>
              </w:rPr>
            </w:pPr>
          </w:p>
        </w:tc>
      </w:tr>
    </w:tbl>
    <w:p>
      <w:pPr>
        <w:spacing w:after="0" w:line="203"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June 30, 2024 and December 31, 2023.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2" w:name="page33"/>
    <w:bookmarkEnd w:id="32"/>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June 30, 2024, the Bank has entered into 114 interest-rate swap agreements with customers with a notional amount totaling $386.5 million. The Bank then entered into identical offsetting swaps with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87"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94" w:lineRule="exact"/>
        <w:rPr>
          <w:sz w:val="20"/>
          <w:szCs w:val="20"/>
          <w:color w:val="auto"/>
        </w:rPr>
      </w:pPr>
    </w:p>
    <w:p>
      <w:pPr>
        <w:ind w:right="280" w:firstLine="469"/>
        <w:spacing w:after="0" w:line="266"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Hedges</w:t>
      </w:r>
    </w:p>
    <w:p>
      <w:pPr>
        <w:spacing w:after="0" w:line="229"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92"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The fair value of these instruments totaled $13.7 million at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Hedges</w:t>
      </w:r>
    </w:p>
    <w:p>
      <w:pPr>
        <w:spacing w:after="0" w:line="229" w:lineRule="exact"/>
        <w:rPr>
          <w:sz w:val="20"/>
          <w:szCs w:val="20"/>
          <w:color w:val="auto"/>
        </w:rPr>
      </w:pPr>
    </w:p>
    <w:p>
      <w:pPr>
        <w:ind w:right="180" w:firstLine="469"/>
        <w:spacing w:after="0" w:line="255" w:lineRule="auto"/>
        <w:rPr>
          <w:sz w:val="20"/>
          <w:szCs w:val="20"/>
          <w:color w:val="auto"/>
        </w:rPr>
      </w:pPr>
      <w:r>
        <w:rPr>
          <w:rFonts w:ascii="Times New Roman" w:cs="Times New Roman" w:eastAsia="Times New Roman" w:hAnsi="Times New Roman"/>
          <w:sz w:val="18"/>
          <w:szCs w:val="18"/>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a contractually specified interest rates. During the first quarter of 2024, $300 million of 3-month term brokered CDs were issued and cash flow hedging transactions were also executed in which $300 million notional pay-fixed interest rate swaps were consummated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with maturities of three years, wherein the Company pays a weighted average fixed rate of approximately 4.2% and receives daily SOFR.</w:t>
      </w:r>
    </w:p>
    <w:p>
      <w:pPr>
        <w:spacing w:after="0" w:line="225"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18"/>
          <w:szCs w:val="18"/>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229" w:lineRule="exact"/>
        <w:rPr>
          <w:sz w:val="20"/>
          <w:szCs w:val="20"/>
          <w:color w:val="auto"/>
        </w:rPr>
      </w:pPr>
    </w:p>
    <w:p>
      <w:pPr>
        <w:ind w:right="740" w:firstLine="46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notional amount, the location of the asset and liability, and their respective fair values, are summarized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9"/>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6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w w:val="79"/>
              </w:rPr>
              <w:t>in</w:t>
            </w: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$ 386,506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386,506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gridSpan w:val="2"/>
          </w:tcPr>
          <w:p>
            <w:pPr>
              <w:spacing w:after="0"/>
              <w:rPr>
                <w:sz w:val="21"/>
                <w:szCs w:val="21"/>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8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2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400" w:type="dxa"/>
            <w:vAlign w:val="bottom"/>
            <w:tcBorders>
              <w:bottom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51"/>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3"/>
          </w:tcPr>
          <w:p>
            <w:pPr>
              <w:jc w:val="right"/>
              <w:ind w:right="169"/>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6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i w:val="1"/>
                <w:iCs w:val="1"/>
                <w:color w:val="auto"/>
                <w:w w:val="77"/>
              </w:rPr>
              <w:t>(Dollars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1260" w:type="dxa"/>
            <w:vAlign w:val="bottom"/>
            <w:tcBorders>
              <w:top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394,359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40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394,359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derivatives</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2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gridSpan w:val="3"/>
            <w:vMerge w:val="restart"/>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20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FF0FC"/>
            </w:tcBorders>
            <w:gridSpan w:val="3"/>
            <w:vMerge w:val="continue"/>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3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-3899535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-3882390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-3119755</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-1559560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-1542415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-1096645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Derivatives Financial Instruments on the Condensed Consolidated Statements of Earnings</w:t>
      </w:r>
    </w:p>
    <w:p>
      <w:pPr>
        <w:spacing w:after="0" w:line="229"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240"/>
          </w:cols>
          <w:pgMar w:left="320" w:top="1305" w:right="339" w:bottom="1440" w:gutter="0" w:footer="0" w:header="0"/>
        </w:sectPr>
      </w:pPr>
    </w:p>
    <w:p>
      <w:pPr>
        <w:spacing w:after="0" w:line="16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p>
      <w:pP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-3810</wp:posOffset>
            </wp:positionV>
            <wp:extent cx="93980" cy="2482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-3810</wp:posOffset>
            </wp:positionV>
            <wp:extent cx="93980" cy="2482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3980" cy="2482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720" w:space="720"/>
            <w:col w:w="380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10"/>
          </w:tcPr>
          <w:p>
            <w:pPr>
              <w:jc w:val="center"/>
              <w:ind w:right="560"/>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7"/>
          </w:tcPr>
          <w:p>
            <w:pPr>
              <w:jc w:val="right"/>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460" w:type="dxa"/>
            <w:vAlign w:val="bottom"/>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920" w:type="dxa"/>
            <w:vAlign w:val="bottom"/>
            <w:gridSpan w:val="6"/>
            <w:shd w:val="clear" w:color="auto" w:fill="CFF0FC"/>
          </w:tcPr>
          <w:p>
            <w:pPr>
              <w:ind w:left="200"/>
              <w:spacing w:after="0" w:line="131"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swaps</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ind w:left="6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4"/>
        </w:trPr>
        <w:tc>
          <w:tcPr>
            <w:tcW w:w="212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134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40" w:type="dxa"/>
            <w:vAlign w:val="bottom"/>
            <w:gridSpan w:val="1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Amount of Gains (Losses) Recognized in Net Interest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gridSpan w:val="1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OCI Impact on Derivatives-Gains (Losses) recorded in</w:t>
            </w: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OCI</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4"/>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5"/>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5"/>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1580" w:type="dxa"/>
            <w:vAlign w:val="bottom"/>
            <w:tcBorders>
              <w:top w:val="single" w:sz="8" w:color="auto"/>
            </w:tcBorders>
            <w:gridSpan w:val="6"/>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70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9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92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12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6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Fair value hedges:</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2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4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2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446</w:t>
            </w:r>
          </w:p>
        </w:tc>
        <w:tc>
          <w:tcPr>
            <w:tcW w:w="2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2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220" w:type="dxa"/>
            <w:vAlign w:val="bottom"/>
          </w:tcPr>
          <w:p>
            <w:pPr>
              <w:spacing w:after="0"/>
              <w:rPr>
                <w:sz w:val="12"/>
                <w:szCs w:val="12"/>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14,758</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34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Cash flow hedges:</w:t>
            </w:r>
          </w:p>
        </w:tc>
        <w:tc>
          <w:tcPr>
            <w:tcW w:w="134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34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gridSpan w:val="2"/>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gridSpan w:val="2"/>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w:t>
            </w:r>
          </w:p>
        </w:tc>
        <w:tc>
          <w:tcPr>
            <w:tcW w:w="2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446</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2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15,874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-1962785</wp:posOffset>
            </wp:positionV>
            <wp:extent cx="7747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-1945005</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-1962785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-1945005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-1962785</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-1945005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-1315085</wp:posOffset>
            </wp:positionV>
            <wp:extent cx="102870" cy="2482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-1315085</wp:posOffset>
            </wp:positionV>
            <wp:extent cx="93980" cy="2482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-1315085</wp:posOffset>
            </wp:positionV>
            <wp:extent cx="93980" cy="2482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-1315085</wp:posOffset>
            </wp:positionV>
            <wp:extent cx="93980" cy="2482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-162560</wp:posOffset>
            </wp:positionV>
            <wp:extent cx="7747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-162560</wp:posOffset>
            </wp:positionV>
            <wp:extent cx="774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-162560</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-162560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-162560</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-162560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a summary of the components of other comprehensive income (“OCI”)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(2,292 )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4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(1,614 )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(37,996 )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11,233</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(26,763 )</w:t>
            </w:r>
          </w:p>
        </w:tc>
        <w:tc>
          <w:tcPr>
            <w:tcW w:w="0" w:type="dxa"/>
            <w:vAlign w:val="bottom"/>
          </w:tcPr>
          <w:p>
            <w:pPr>
              <w:spacing w:after="0"/>
              <w:rPr>
                <w:sz w:val="1"/>
                <w:szCs w:val="1"/>
                <w:color w:val="auto"/>
              </w:rPr>
            </w:pPr>
          </w:p>
        </w:tc>
      </w:tr>
      <w:tr>
        <w:trPr>
          <w:trHeight w:val="139"/>
        </w:trPr>
        <w:tc>
          <w:tcPr>
            <w:tcW w:w="48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net unrealized losses on securities</w:t>
            </w: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(3,364 )</w:t>
            </w: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transferred from available-for-sale to held-to-maturity</w:t>
            </w:r>
          </w:p>
        </w:tc>
        <w:tc>
          <w:tcPr>
            <w:tcW w:w="1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Fair value hedges:</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(947 )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(3,283 )</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flow hedges:</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80" w:type="dxa"/>
            <w:vAlign w:val="bottom"/>
            <w:shd w:val="clear" w:color="auto" w:fill="CFF0FC"/>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change</w:t>
            </w:r>
          </w:p>
        </w:tc>
        <w:tc>
          <w:tcPr>
            <w:tcW w:w="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1,513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(556 )</w:t>
            </w:r>
          </w:p>
        </w:tc>
        <w:tc>
          <w:tcPr>
            <w:tcW w:w="200" w:type="dxa"/>
            <w:vAlign w:val="bottom"/>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957</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(23,335 )</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4,586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(18,749 )</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ectPr>
          <w:pgSz w:w="11900" w:h="16838" w:orient="portrait"/>
          <w:cols w:equalWidth="0" w:num="1">
            <w:col w:w="11240"/>
          </w:cols>
          <w:pgMar w:left="320" w:top="1305" w:right="33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 securities: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p>
      <w:pPr>
        <w:spacing w:after="0" w:line="15" w:lineRule="exact"/>
        <w:rPr>
          <w:sz w:val="20"/>
          <w:szCs w:val="20"/>
          <w:color w:val="auto"/>
        </w:rPr>
      </w:pPr>
    </w:p>
    <w:p>
      <w:pPr>
        <w:ind w:left="300" w:right="740" w:hanging="107"/>
        <w:spacing w:after="0" w:line="241" w:lineRule="auto"/>
        <w:rPr>
          <w:sz w:val="20"/>
          <w:szCs w:val="20"/>
          <w:color w:val="auto"/>
        </w:rPr>
      </w:pPr>
      <w:r>
        <w:rPr>
          <w:rFonts w:ascii="Times New Roman" w:cs="Times New Roman" w:eastAsia="Times New Roman" w:hAnsi="Times New Roman"/>
          <w:sz w:val="14"/>
          <w:szCs w:val="14"/>
          <w:color w:val="auto"/>
        </w:rPr>
        <w:t>Amortization of net unrealized losses on securities transferred from available-for-sale to held-to-maturity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Fair value hedges:</w:t>
      </w:r>
    </w:p>
    <w:p>
      <w:pPr>
        <w:spacing w:after="0" w:line="15" w:lineRule="exact"/>
        <w:rPr>
          <w:sz w:val="20"/>
          <w:szCs w:val="20"/>
          <w:color w:val="auto"/>
        </w:rPr>
      </w:pPr>
    </w:p>
    <w:p>
      <w:pPr>
        <w:ind w:left="200" w:right="760" w:firstLine="90"/>
        <w:spacing w:after="0" w:line="262" w:lineRule="auto"/>
        <w:rPr>
          <w:sz w:val="20"/>
          <w:szCs w:val="20"/>
          <w:color w:val="auto"/>
        </w:rPr>
      </w:pPr>
      <w:r>
        <w:rPr>
          <w:rFonts w:ascii="Times New Roman" w:cs="Times New Roman" w:eastAsia="Times New Roman" w:hAnsi="Times New Roman"/>
          <w:sz w:val="14"/>
          <w:szCs w:val="14"/>
          <w:color w:val="auto"/>
        </w:rPr>
        <w:t>Net change in fair value recorded in accumulated OCI Cash flow hedges:</w:t>
      </w:r>
    </w:p>
    <w:p>
      <w:pPr>
        <w:ind w:left="3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Net change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r>
      <w:tr>
        <w:trPr>
          <w:trHeight w:val="169"/>
        </w:trPr>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r>
      <w:tr>
        <w:trPr>
          <w:trHeight w:val="184"/>
        </w:trPr>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40"/>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(38,148 )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(26,870 )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(718 )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w:t>
            </w:r>
          </w:p>
        </w:tc>
      </w:tr>
      <w:tr>
        <w:trPr>
          <w:trHeight w:val="324"/>
        </w:trPr>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(3,446 )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526"/>
        </w:trPr>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(5,909 )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(3,283 )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7,846</w:t>
            </w:r>
          </w:p>
        </w:tc>
      </w:tr>
      <w:tr>
        <w:trPr>
          <w:trHeight w:val="348"/>
        </w:trPr>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(468 )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(15,560</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17,367</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-1130935</wp:posOffset>
            </wp:positionV>
            <wp:extent cx="7132320" cy="1117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-908050</wp:posOffset>
            </wp:positionV>
            <wp:extent cx="7132320" cy="2057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-590550</wp:posOffset>
            </wp:positionV>
            <wp:extent cx="7132320" cy="1111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-367665</wp:posOffset>
            </wp:positionV>
            <wp:extent cx="7132320" cy="1117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-136525</wp:posOffset>
            </wp:positionV>
            <wp:extent cx="7132320"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60" w:space="720"/>
            <w:col w:w="6360"/>
          </w:cols>
          <w:pgMar w:left="320" w:top="130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11.  BALANCE SHEET OFFSETTING</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92" w:lineRule="exact"/>
        <w:rPr>
          <w:sz w:val="20"/>
          <w:szCs w:val="20"/>
          <w:color w:val="auto"/>
        </w:rPr>
      </w:pPr>
    </w:p>
    <w:p>
      <w:pPr>
        <w:ind w:right="320" w:firstLine="469"/>
        <w:spacing w:after="0" w:line="266"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original maturities ranging from four to five years, wherein the Company pays a weighted average fixed rate of approximately 3.8% and receives daily SOFR. The fair value of these instruments totaled $13.7 million and were reflected as an asset on June 30, 2024.</w:t>
      </w:r>
    </w:p>
    <w:p>
      <w:pPr>
        <w:spacing w:after="0" w:line="176" w:lineRule="exact"/>
        <w:rPr>
          <w:sz w:val="20"/>
          <w:szCs w:val="20"/>
          <w:color w:val="auto"/>
        </w:rPr>
      </w:pPr>
    </w:p>
    <w:p>
      <w:pPr>
        <w:jc w:val="both"/>
        <w:ind w:right="220" w:firstLine="464"/>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cash flow hedging transactions were executed in which $300 million notional pay-fixed interest rate swaps were consummated with maturities of three years, wherein the Company pays a weighted average fixed rate of approximately 4.2% and receives daily SOFR. The fair value of these instruments totaled $1.6 million and were reflected as an asset on June 30, 2024.</w:t>
      </w:r>
    </w:p>
    <w:p>
      <w:pPr>
        <w:spacing w:after="0" w:line="174" w:lineRule="exact"/>
        <w:rPr>
          <w:sz w:val="20"/>
          <w:szCs w:val="20"/>
          <w:color w:val="auto"/>
        </w:rPr>
      </w:pPr>
    </w:p>
    <w:p>
      <w:pPr>
        <w:ind w:right="480" w:firstLine="464"/>
        <w:spacing w:after="0" w:line="262" w:lineRule="auto"/>
        <w:rPr>
          <w:sz w:val="20"/>
          <w:szCs w:val="20"/>
          <w:color w:val="auto"/>
        </w:rPr>
      </w:pPr>
      <w:r>
        <w:rPr>
          <w:rFonts w:ascii="Times New Roman" w:cs="Times New Roman" w:eastAsia="Times New Roman" w:hAnsi="Times New Roman"/>
          <w:sz w:val="18"/>
          <w:szCs w:val="18"/>
          <w:color w:val="auto"/>
        </w:rPr>
        <w:t xml:space="preserve">Refer to Note 9 -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w:t>
      </w: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36" w:name="page37"/>
    <w:bookmarkEnd w:id="36"/>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40" w:type="dxa"/>
            <w:vAlign w:val="bottom"/>
          </w:tcPr>
          <w:p>
            <w:pPr>
              <w:spacing w:after="0"/>
              <w:rPr>
                <w:sz w:val="13"/>
                <w:szCs w:val="13"/>
                <w:color w:val="auto"/>
              </w:rPr>
            </w:pPr>
          </w:p>
        </w:tc>
        <w:tc>
          <w:tcPr>
            <w:tcW w:w="25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the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270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the Condensed Consolidated Balance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100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47,053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(47,025 )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47,025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(10,538 )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designated as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268,826</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268,826</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363,267</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632,093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(47,025 )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268,854</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352,729</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42,613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(42,501 )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42,501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(11,659 )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271,642</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271,642</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362,505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634,147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(42,501 )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271,754</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350,846</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-2682240</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-2682240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-2682240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-2682240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-2682240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-1550670</wp:posOffset>
            </wp:positionV>
            <wp:extent cx="768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-1550670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-1550670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-1550670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-1550670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-728345</wp:posOffset>
            </wp:positionV>
            <wp:extent cx="768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-710565</wp:posOffset>
            </wp:positionV>
            <wp:extent cx="768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-728345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-710565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-728345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-710565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-728345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-710565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-728345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-710565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-145415</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-145415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-145415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-145415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right="160" w:firstLine="374"/>
        <w:spacing w:after="0" w:line="289" w:lineRule="auto"/>
        <w:rPr>
          <w:sz w:val="20"/>
          <w:szCs w:val="20"/>
          <w:color w:val="auto"/>
        </w:rPr>
      </w:pPr>
      <w:r>
        <w:rPr>
          <w:rFonts w:ascii="Times New Roman" w:cs="Times New Roman" w:eastAsia="Times New Roman" w:hAnsi="Times New Roman"/>
          <w:sz w:val="17"/>
          <w:szCs w:val="17"/>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While the Company has, as a lessor, certain equipment finance leases, such leases are not material to the Company’s consolidated financial statements.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5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320" w:type="dxa"/>
            <w:vAlign w:val="bottom"/>
          </w:tcPr>
          <w:p>
            <w:pPr>
              <w:spacing w:after="0"/>
              <w:rPr>
                <w:sz w:val="21"/>
                <w:szCs w:val="21"/>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3"/>
        </w:trPr>
        <w:tc>
          <w:tcPr>
            <w:tcW w:w="6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15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1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24,457</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shd w:val="clear" w:color="auto" w:fill="CFF0FC"/>
          </w:tcPr>
          <w:p>
            <w:pPr>
              <w:spacing w:after="0"/>
              <w:rPr>
                <w:sz w:val="21"/>
                <w:szCs w:val="2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300" w:type="dxa"/>
            <w:vAlign w:val="bottom"/>
            <w:gridSpan w:val="5"/>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3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0"/>
                <w:szCs w:val="20"/>
                <w:color w:val="auto"/>
              </w:rPr>
            </w:pPr>
          </w:p>
        </w:tc>
      </w:tr>
      <w:tr>
        <w:trPr>
          <w:trHeight w:val="247"/>
        </w:trPr>
        <w:tc>
          <w:tcPr>
            <w:tcW w:w="4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0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-187960</wp:posOffset>
            </wp:positionV>
            <wp:extent cx="774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measurement of</w:t>
            </w:r>
          </w:p>
        </w:tc>
        <w:tc>
          <w:tcPr>
            <w:tcW w:w="346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lease liabilities:</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4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cash outflows from operating</w:t>
            </w: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leases, net</w:t>
            </w:r>
          </w:p>
        </w:tc>
        <w:tc>
          <w:tcPr>
            <w:tcW w:w="346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1,914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1,514</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3,778</w:t>
            </w:r>
          </w:p>
        </w:tc>
        <w:tc>
          <w:tcPr>
            <w:tcW w:w="120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96"/>
        </w:trPr>
        <w:tc>
          <w:tcPr>
            <w:tcW w:w="1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14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3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3.94</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3.86 %</w:t>
            </w: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445"/>
        </w:trPr>
        <w:tc>
          <w:tcPr>
            <w:tcW w:w="1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79"/>
        </w:trPr>
        <w:tc>
          <w:tcPr>
            <w:tcW w:w="14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54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38" w:name="page39"/>
    <w:bookmarkEnd w:id="38"/>
    <w:p>
      <w:pPr>
        <w:jc w:val="both"/>
        <w:ind w:right="280" w:firstLine="374"/>
        <w:spacing w:after="0" w:line="261"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June 30, 2024 and the Company’s short-term lease costs and variable lease costs, for the six months ended June 30, 2024 and 2023 are not material to the consolidated financial statements. The future lease payments required for leases that have initial or remaining non-cancelable lease terms in excess of one year as of June 30, 2024, excluding property taxes and insurance,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199"/>
        </w:trPr>
        <w:tc>
          <w:tcPr>
            <w:tcW w:w="20" w:type="dxa"/>
            <w:vAlign w:val="bottom"/>
            <w:shd w:val="clear" w:color="auto" w:fill="CFF0FC"/>
          </w:tcPr>
          <w:p>
            <w:pPr>
              <w:spacing w:after="0"/>
              <w:rPr>
                <w:sz w:val="17"/>
                <w:szCs w:val="17"/>
                <w:color w:val="auto"/>
              </w:rPr>
            </w:pPr>
          </w:p>
        </w:tc>
        <w:tc>
          <w:tcPr>
            <w:tcW w:w="9380" w:type="dxa"/>
            <w:vAlign w:val="bottom"/>
            <w:gridSpan w:val="2"/>
            <w:shd w:val="clear" w:color="auto" w:fill="CFF0FC"/>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auto"/>
            </w:tcBorders>
            <w:shd w:val="clear" w:color="auto" w:fill="CFF0FC"/>
          </w:tcPr>
          <w:p>
            <w:pPr>
              <w:spacing w:after="0"/>
              <w:rPr>
                <w:sz w:val="2"/>
                <w:szCs w:val="2"/>
                <w:color w:val="auto"/>
              </w:rPr>
            </w:pPr>
          </w:p>
        </w:tc>
        <w:tc>
          <w:tcPr>
            <w:tcW w:w="89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Pr>
          <w:p>
            <w:pPr>
              <w:spacing w:after="0"/>
              <w:rPr>
                <w:sz w:val="20"/>
                <w:szCs w:val="20"/>
                <w:color w:val="auto"/>
              </w:rPr>
            </w:pPr>
          </w:p>
        </w:tc>
      </w:tr>
      <w:tr>
        <w:trPr>
          <w:trHeight w:val="247"/>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shd w:val="clear" w:color="auto" w:fill="CFF0FC"/>
          </w:tcPr>
          <w:p>
            <w:pPr>
              <w:spacing w:after="0"/>
              <w:rPr>
                <w:sz w:val="21"/>
                <w:szCs w:val="21"/>
                <w:color w:val="auto"/>
              </w:rPr>
            </w:pPr>
          </w:p>
        </w:tc>
      </w:tr>
      <w:tr>
        <w:trPr>
          <w:trHeight w:val="239"/>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20"/>
                <w:szCs w:val="20"/>
                <w:color w:val="auto"/>
              </w:rPr>
            </w:pPr>
          </w:p>
        </w:tc>
      </w:tr>
      <w:tr>
        <w:trPr>
          <w:trHeight w:val="247"/>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shd w:val="clear" w:color="auto" w:fill="CFF0FC"/>
          </w:tcPr>
          <w:p>
            <w:pPr>
              <w:spacing w:after="0"/>
              <w:rPr>
                <w:sz w:val="21"/>
                <w:szCs w:val="21"/>
                <w:color w:val="auto"/>
              </w:rPr>
            </w:pPr>
          </w:p>
        </w:tc>
      </w:tr>
      <w:tr>
        <w:trPr>
          <w:trHeight w:val="239"/>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20"/>
                <w:szCs w:val="20"/>
                <w:color w:val="auto"/>
              </w:rPr>
            </w:pPr>
          </w:p>
        </w:tc>
      </w:tr>
      <w:tr>
        <w:trPr>
          <w:trHeight w:val="247"/>
        </w:trPr>
        <w:tc>
          <w:tcPr>
            <w:tcW w:w="94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9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9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(2,102 )</w:t>
            </w:r>
          </w:p>
        </w:tc>
      </w:tr>
      <w:tr>
        <w:trPr>
          <w:trHeight w:val="237"/>
        </w:trPr>
        <w:tc>
          <w:tcPr>
            <w:tcW w:w="940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24,457</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Topic 606,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5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5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Bankcard services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tcPr>
          <w:p>
            <w:pPr>
              <w:spacing w:after="0"/>
              <w:rPr>
                <w:sz w:val="20"/>
                <w:szCs w:val="20"/>
                <w:color w:val="auto"/>
              </w:rPr>
            </w:pPr>
          </w:p>
        </w:tc>
      </w:tr>
      <w:tr>
        <w:trPr>
          <w:trHeight w:val="241"/>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100" w:type="dxa"/>
            <w:vAlign w:val="bottom"/>
            <w:shd w:val="clear" w:color="auto" w:fill="CFF0FC"/>
          </w:tcPr>
          <w:p>
            <w:pPr>
              <w:spacing w:after="0"/>
              <w:rPr>
                <w:sz w:val="20"/>
                <w:szCs w:val="20"/>
                <w:color w:val="auto"/>
              </w:rPr>
            </w:pPr>
          </w:p>
        </w:tc>
      </w:tr>
      <w:tr>
        <w:trPr>
          <w:trHeight w:val="24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Pr>
          <w:p>
            <w:pPr>
              <w:spacing w:after="0"/>
              <w:rPr>
                <w:sz w:val="21"/>
                <w:szCs w:val="21"/>
                <w:color w:val="auto"/>
              </w:rPr>
            </w:pPr>
          </w:p>
        </w:tc>
      </w:tr>
      <w:tr>
        <w:trPr>
          <w:trHeight w:val="274"/>
        </w:trPr>
        <w:tc>
          <w:tcPr>
            <w:tcW w:w="55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3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3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28,537</w:t>
            </w: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23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included in our Annual Report on Form 10-K for the year ended December 31, 2023 for a more detailed discussion about noninterest revenue streams that are in-scope of Topic 606.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40" w:firstLine="469"/>
        <w:spacing w:after="0" w:line="256"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2023 and the unaudited condensed consolidated financial statements and accompanying notes presented elsewhere in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16"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70" w:lineRule="exact"/>
        <w:rPr>
          <w:sz w:val="20"/>
          <w:szCs w:val="20"/>
          <w:color w:val="auto"/>
        </w:rPr>
      </w:pPr>
    </w:p>
    <w:p>
      <w:pPr>
        <w:ind w:right="260" w:firstLine="469"/>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70" w:lineRule="exact"/>
        <w:rPr>
          <w:sz w:val="20"/>
          <w:szCs w:val="20"/>
          <w:color w:val="auto"/>
        </w:rPr>
      </w:pPr>
    </w:p>
    <w:p>
      <w:pPr>
        <w:ind w:left="1040" w:hanging="470"/>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(“ACL”)</w:t>
      </w:r>
    </w:p>
    <w:p>
      <w:pPr>
        <w:spacing w:after="0" w:line="2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9"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Recoverability of Goodwill</w:t>
      </w:r>
    </w:p>
    <w:p>
      <w:pPr>
        <w:spacing w:after="0" w:line="193"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greater detail in our 2023 Annual Report on Form 10-K in the “Critical Accounting Policies” section of Management’s Discussion and Analysis of Financial Condition and Results of Operations and in Note 3 – Summary of Significant Accounting Policies, included in our Annual Report on Form 10-K for the year ended December 31, 2023, which are essential to understanding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but Not Adopted as of June 30, 2024</w:t>
      </w:r>
    </w:p>
    <w:p>
      <w:pPr>
        <w:sectPr>
          <w:pgSz w:w="11900" w:h="16838" w:orient="portrait"/>
          <w:cols w:equalWidth="0" w:num="1">
            <w:col w:w="11240"/>
          </w:cols>
          <w:pgMar w:left="320" w:top="1089" w:right="339" w:bottom="1440" w:gutter="0" w:footer="0" w:header="0"/>
        </w:sectPr>
      </w:pPr>
    </w:p>
    <w:p>
      <w:pPr>
        <w:spacing w:after="0" w:line="2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21729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0"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color w:val="auto"/>
        </w:rPr>
        <w:t>ASU 2023-09 Income Taxes (Topic 740): Improvements to Income Tax Disclosures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Issued December 2023</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Impact on Financial Statements</w:t>
            </w: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3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On December 14, 2023, the FASB issued ASU 2023-09 Income Taxes (Topic</w:t>
            </w:r>
          </w:p>
        </w:tc>
        <w:tc>
          <w:tcPr>
            <w:tcW w:w="14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1st Quarter</w:t>
            </w:r>
          </w:p>
        </w:tc>
        <w:tc>
          <w:tcPr>
            <w:tcW w:w="366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The adoption of this ASU is not expected to have a material</w:t>
            </w: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740) - Improvements to Income Tax Disclosures. This ASU enhances annual</w:t>
            </w:r>
          </w:p>
        </w:tc>
        <w:tc>
          <w:tcPr>
            <w:tcW w:w="9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impact on our consolidated financial statements.</w:t>
            </w: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disclosures to address investor requests for more detailed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information about tax risks and improved transparency of income tax</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disclosures. The two primary enhancements disaggregate existing income tax</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disclosures related to the effective tax rate reconciliation and information 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taxes paid disaggregated by jurisdiction. This ASU is effective for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annual reporting periods beginning after December 15, 2024 and are to be</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applied on a prospective basis; early adoption is permitted.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109220</wp:posOffset>
            </wp:positionV>
            <wp:extent cx="713232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320"/>
            <w:col w:w="9180"/>
          </w:cols>
          <w:pgMar w:left="320" w:top="1089" w:right="33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469"/>
        <w:spacing w:after="0" w:line="257" w:lineRule="auto"/>
        <w:rPr>
          <w:sz w:val="20"/>
          <w:szCs w:val="20"/>
          <w:color w:val="auto"/>
        </w:rPr>
      </w:pPr>
      <w:r>
        <w:rPr>
          <w:rFonts w:ascii="Times New Roman" w:cs="Times New Roman" w:eastAsia="Times New Roman" w:hAnsi="Times New Roman"/>
          <w:sz w:val="18"/>
          <w:szCs w:val="18"/>
          <w:color w:val="auto"/>
        </w:rPr>
        <w:t>For the second quarter of 2024, we reported net earnings of $50.0 million, compared with $48.6 million for the first quarter of 2024 and $55.8 million for the second quarter of 2023. Diluted earnings per share were $0.36 for the second quarter, compared to $0.35 for the prior quarter and $0.40 for the same period last year. Net income of $50.0 million for the second quarter of 2024 produced an annualized return on average equity (“ROAE”)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9.57%, an annualized return on average tangible common equity (“ROATCE”) of 15.51%, and an annualized return on average assets (“ROAA”) of 1.24%.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interest margin, tax equivalent (“NIM”), was 3.05% for the second quarter of 2024, while our efficiency ratio was 45.10%.</w:t>
      </w:r>
    </w:p>
    <w:p>
      <w:pPr>
        <w:spacing w:after="0" w:line="207" w:lineRule="exact"/>
        <w:rPr>
          <w:sz w:val="20"/>
          <w:szCs w:val="20"/>
          <w:color w:val="auto"/>
        </w:rPr>
      </w:pPr>
    </w:p>
    <w:p>
      <w:pPr>
        <w:ind w:right="140" w:firstLine="469"/>
        <w:spacing w:after="0" w:line="261" w:lineRule="auto"/>
        <w:rPr>
          <w:sz w:val="20"/>
          <w:szCs w:val="20"/>
          <w:color w:val="auto"/>
        </w:rPr>
      </w:pPr>
      <w:r>
        <w:rPr>
          <w:rFonts w:ascii="Times New Roman" w:cs="Times New Roman" w:eastAsia="Times New Roman" w:hAnsi="Times New Roman"/>
          <w:sz w:val="18"/>
          <w:szCs w:val="18"/>
          <w:color w:val="auto"/>
        </w:rPr>
        <w:t>Net interest income was $110.8 million for the second quarter of 2024. This represented a $1.6 million, or 1.43%, decline from the first quarter of 2024, and an $8.7 million, or 7.27%, decrease from the second quarter of 2023. The quarter-over-quarter decrease in net interest income was due to a five basis point decline in net interest margin, as total earning assets were essentially unchanged from the prior quarter end. The decline in net interest income compared to the second quarter of 2023 was due to a 17 basis point decrease in net interest margin and a $294.2 million decline in average earning assets.</w:t>
      </w:r>
    </w:p>
    <w:p>
      <w:pPr>
        <w:spacing w:after="0" w:line="180"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Noninterest income was $14.4 million for the second quarter of 2024, compared with $14.1 million for the first quarter of 2024 and $12.7 million for the second quarter of 2023. Second quarter income from Bank Owned Life Insurance (“BOLI”) decreased by $651,000 from the first quarter of 2024 and increased by $845,000 compared to the second quarter of 2023. Death benefits that exceeded the asset value on certain policies totaled $531,000 in the first quarter of 2024 and approximately $800,000 in the second quarter of 2023. There were no death benefits received in the second quarter of 2024. The year-over-year increase in BOLI income was primarily due to restructuring and enhancements in BOLI policies in the fourth quarter of 2023.</w:t>
      </w:r>
    </w:p>
    <w:p>
      <w:pPr>
        <w:spacing w:after="0" w:line="183" w:lineRule="exact"/>
        <w:rPr>
          <w:sz w:val="20"/>
          <w:szCs w:val="20"/>
          <w:color w:val="auto"/>
        </w:rPr>
      </w:pPr>
    </w:p>
    <w:p>
      <w:pPr>
        <w:jc w:val="both"/>
        <w:ind w:right="80" w:firstLine="469"/>
        <w:spacing w:after="0" w:line="261" w:lineRule="auto"/>
        <w:rPr>
          <w:sz w:val="20"/>
          <w:szCs w:val="20"/>
          <w:color w:val="auto"/>
        </w:rPr>
      </w:pPr>
      <w:r>
        <w:rPr>
          <w:rFonts w:ascii="Times New Roman" w:cs="Times New Roman" w:eastAsia="Times New Roman" w:hAnsi="Times New Roman"/>
          <w:sz w:val="18"/>
          <w:szCs w:val="18"/>
          <w:color w:val="auto"/>
        </w:rPr>
        <w:t>Noninterest expense for the second quarter of 2024 was $56.5 million, compared to $59.8 million for the first quarter of 2024 and $54.0 million for the second quarter of 2023. The $3.3 million quarter-over-quarter decrease was primarily due to a $3.0 million decrease in regulatory assessment expense resulting from changes in the amount accrued as an estimate of the FDIC special assessment. The $2.5 million increase in expense compared to the second quarter of 2023, was due primarily to salary and benefit expense growing by $1.9 million, or 5.60%.</w:t>
      </w:r>
    </w:p>
    <w:p>
      <w:pPr>
        <w:spacing w:after="0" w:line="180"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At June 30, 2024, total assets of $16.15 billion increased by $130.5 million, or 0.81%, from total assets of $16.02 billion at December 31, 2023. Interest-earning assets of $14.55 billion at June 30, 2024 increased by $90.9 million, or 0.63%, when compared with $14.46 billion at December 31, 2023. The increase in interest-earning assets was primarily due to a $559.9 million increase in interest-earning balances due from the Federal Reserve, offset by a $245.1 million decrease in investment securities, and a $223.1 million decrease in total loans.</w:t>
      </w:r>
    </w:p>
    <w:p>
      <w:pPr>
        <w:spacing w:after="0" w:line="180"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18"/>
          <w:szCs w:val="18"/>
          <w:color w:val="auto"/>
        </w:rPr>
        <w:t>Total investment securities were $5.18 billion at June 30, 2024, a decrease of $245.1 million, or 4.52%, from $5.42 billion at December 31, 2023. At June 30, 2024, investment securities held-to-maturity (“HTM”) totaled $2.43 billion, a $34.7 million, or 1.41%, decline from December 31, 2023. At June 30, 2024, investment securities available-for-sale (“AFS”) totaled $2.75 billion, inclusive of a pre-tax net unrealized loss of $487.9 million. AFS securities decreased by $210.3 million, or 7.12%, from $2.96 billion at December 31, 2023. The pre-tax unrealized loss grew by $38.1 million from December 31, 2023. Fair value hedges in which $1 billion notional pay-fixed interest rate swaps with maturities ranging from 2027 to 2028, wherein the Company pays a weighted average fixed rate of approximately 3.8% and receives daily SOFR, had a fair value totaling $13.7 million and were reflected as an asset June 30, 2024. The fair value of these pay fixed interest rate swaps increased by $20.7 million from December 31, 2023. Our tax equivalent yield on investments was 2.71% for the quarter ended June 30, 2024, compared to 2.64% for the first quarter of 2024 and 2.37% for the second quarter of 2023.</w:t>
      </w:r>
    </w:p>
    <w:p>
      <w:pPr>
        <w:spacing w:after="0" w:line="192" w:lineRule="exact"/>
        <w:rPr>
          <w:sz w:val="20"/>
          <w:szCs w:val="20"/>
          <w:color w:val="auto"/>
        </w:rPr>
      </w:pPr>
    </w:p>
    <w:p>
      <w:pPr>
        <w:ind w:right="120" w:firstLine="464"/>
        <w:spacing w:after="0" w:line="256" w:lineRule="auto"/>
        <w:rPr>
          <w:sz w:val="20"/>
          <w:szCs w:val="20"/>
          <w:color w:val="auto"/>
        </w:rPr>
      </w:pPr>
      <w:r>
        <w:rPr>
          <w:rFonts w:ascii="Times New Roman" w:cs="Times New Roman" w:eastAsia="Times New Roman" w:hAnsi="Times New Roman"/>
          <w:sz w:val="18"/>
          <w:szCs w:val="18"/>
          <w:color w:val="auto"/>
        </w:rPr>
        <w:t>Total loans and leases, at amortized cost, of $8.68 billion at June 30, 2024, decreased by $223.1 million, or 2.50%, from December 31, 2023. The decrease in total loans included decreases of $119.6 million in commercial real estate loans, $62.3 million in dairy &amp; livestock and agribusiness loans, $14.5 million in construction loans, and $13.7 million in commercial and industrial loans. The decline in dairy &amp; livestock loans primarily relates to the seasonal peak in line utilization at the end of every calendar year, demonstrated by a decline in utilization from 80% at December 31, 2023 to 74% at June 30, 2024. Our yield on loans was 5.26% for the quarter ended June 30, 2024, compared to 5.30% for the quarter ended March 31, 2024 and 5.01% for the second quarter of 2023.</w:t>
      </w:r>
    </w:p>
    <w:p>
      <w:pPr>
        <w:spacing w:after="0" w:line="187" w:lineRule="exact"/>
        <w:rPr>
          <w:sz w:val="20"/>
          <w:szCs w:val="20"/>
          <w:color w:val="auto"/>
        </w:rPr>
      </w:pPr>
    </w:p>
    <w:p>
      <w:pPr>
        <w:ind w:right="60" w:firstLine="469"/>
        <w:spacing w:after="0" w:line="257" w:lineRule="auto"/>
        <w:rPr>
          <w:sz w:val="20"/>
          <w:szCs w:val="20"/>
          <w:color w:val="auto"/>
        </w:rPr>
      </w:pPr>
      <w:r>
        <w:rPr>
          <w:rFonts w:ascii="Times New Roman" w:cs="Times New Roman" w:eastAsia="Times New Roman" w:hAnsi="Times New Roman"/>
          <w:sz w:val="18"/>
          <w:szCs w:val="18"/>
          <w:color w:val="auto"/>
        </w:rPr>
        <w:t>The allowance for credit losses totaled $82.8 million at June 30, 2024, compared to $86.8 million at December 31, 2023. There was no provision for credit losses in the first or second quarters of 2024. The decline in the allowance was due to $4 million of net charge-offs in the first quarter of 2024, primarily due to two borrowers in which specific loan loss reserves were previously established in 2023.</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ind w:right="640" w:firstLine="469"/>
        <w:spacing w:after="0" w:line="282" w:lineRule="auto"/>
        <w:rPr>
          <w:sz w:val="20"/>
          <w:szCs w:val="20"/>
          <w:color w:val="auto"/>
        </w:rPr>
      </w:pPr>
      <w:r>
        <w:rPr>
          <w:rFonts w:ascii="Times New Roman" w:cs="Times New Roman" w:eastAsia="Times New Roman" w:hAnsi="Times New Roman"/>
          <w:sz w:val="18"/>
          <w:szCs w:val="18"/>
          <w:color w:val="auto"/>
        </w:rPr>
        <w:t>Noninterest-bearing deposits were $7.09 billion at June 30, 2024, a decrease of $116.1 million, or 1.61%, when compared to $7.21 billion at December 31, 2023. At June 30, 2024, noninterest-bearing deposits were 60.13% of total deposits, compared to 63.03% at December 31, 2023.</w:t>
      </w:r>
    </w:p>
    <w:p>
      <w:pPr>
        <w:spacing w:after="0" w:line="162"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Interest-bearing deposits were $4.70 billion at June 30, 2024, an increase of $472.8 million, or 11.18%, when compared to $4.23 billion at December 31, 2023. The increase in interest-bearing deposits included $400 million in new brokered time deposits issued during the first six months of 2024. These brokered time deposits mature every 90 days. $300 million of these time deposits were combined with $300 million in cash flow hedges during the first quarter of 2024, resulting in a fixed rate of approximately 4.2%. Customer repurchase agreements totaled $268.8 million at June 30, 2024, compared to $271.6 million at December 31, 2023. Our average cost of total deposits including customer repurchase agreements was 0.87% for the quarter ended June 30, 2024, compared to 0.73% for the quarter ended March 31, 2024 and 0.35% for the second quarter of 2023.</w:t>
      </w:r>
    </w:p>
    <w:p>
      <w:pPr>
        <w:spacing w:after="0" w:line="187"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At June 30, 2024, total borrowings of $1.8 billion, consisted of $1.3 billion from the Federal Reserve’s Bank Term Funding Program ("BTFP"), at a cost of 4.76%, maturing in January of 2025 and $500 million of FHLB advances. The FHLB advances include maturities of $300 million, at an average cost of approximately 4.73%, maturing in May of 2026 and $200 million, at a cost of 4.27% maturing in May of 2027.</w:t>
      </w:r>
    </w:p>
    <w:p>
      <w:pPr>
        <w:spacing w:after="0" w:line="176"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8"/>
          <w:szCs w:val="18"/>
          <w:color w:val="auto"/>
        </w:rPr>
        <w:t>The Company’s total equity was $2.11 billion at June 30, 2024. This represented an overall increase of $34.5 million from total equity of $2.08 billion at December 31, 2023. Increases to equity included $98.6 million in net earnings, that were partially offset by $55.9 million in cash dividends and a $10.8 million decrease in other comprehensive income from the tax effected impact of the net decline in market value of available-for-sale securities and increase in value of pay fixed swaps. We engaged in no stock repurchases during the first half of 2024. Our tangible book value per share at June 30, 2024 was $9.55.</w:t>
      </w:r>
    </w:p>
    <w:p>
      <w:pPr>
        <w:spacing w:after="0" w:line="183" w:lineRule="exact"/>
        <w:rPr>
          <w:sz w:val="20"/>
          <w:szCs w:val="20"/>
          <w:color w:val="auto"/>
        </w:rPr>
      </w:pPr>
    </w:p>
    <w:p>
      <w:pPr>
        <w:jc w:val="both"/>
        <w:ind w:right="180" w:firstLine="464"/>
        <w:spacing w:after="0" w:line="257" w:lineRule="auto"/>
        <w:rPr>
          <w:sz w:val="20"/>
          <w:szCs w:val="20"/>
          <w:color w:val="auto"/>
        </w:rPr>
      </w:pPr>
      <w:r>
        <w:rPr>
          <w:rFonts w:ascii="Times New Roman" w:cs="Times New Roman" w:eastAsia="Times New Roman" w:hAnsi="Times New Roman"/>
          <w:sz w:val="18"/>
          <w:szCs w:val="18"/>
          <w:color w:val="auto"/>
        </w:rPr>
        <w:t xml:space="preserve">Our capital ratios under the revised capital framework referred to as Basel III remain well-above regulatory requirements. As of June 30, 2024, the Company’s Tier 1 leverage capital ratio was 10.55%, common equity Tier 1 ratio was 15.29%, Tier 1 risk-based capital ratio was 15.29%, and total risk-based capital ratio was 16.10%. Refer to our </w:t>
      </w:r>
      <w:r>
        <w:rPr>
          <w:rFonts w:ascii="Times New Roman" w:cs="Times New Roman" w:eastAsia="Times New Roman" w:hAnsi="Times New Roman"/>
          <w:sz w:val="18"/>
          <w:szCs w:val="18"/>
          <w:i w:val="1"/>
          <w:iCs w:val="1"/>
          <w:color w:val="auto"/>
        </w:rPr>
        <w:t>Analysis of Financial Condition – Capital Resources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20" w:type="dxa"/>
            <w:vAlign w:val="bottom"/>
            <w:gridSpan w:val="9"/>
          </w:tcPr>
          <w:p>
            <w:pPr>
              <w:ind w:left="11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110,849</w:t>
            </w:r>
          </w:p>
        </w:tc>
        <w:tc>
          <w:tcPr>
            <w:tcW w:w="3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112,461</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(1,612 )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(56,497 )</w:t>
            </w: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(59,771 )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0" w:type="dxa"/>
            <w:vAlign w:val="bottom"/>
          </w:tcPr>
          <w:p>
            <w:pPr>
              <w:spacing w:after="0"/>
              <w:rPr>
                <w:sz w:val="1"/>
                <w:szCs w:val="1"/>
                <w:color w:val="auto"/>
              </w:rPr>
            </w:pP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(18,741 )</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(18,204 )</w:t>
            </w:r>
          </w:p>
        </w:tc>
        <w:tc>
          <w:tcPr>
            <w:tcW w:w="3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(537 )</w:t>
            </w: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r>
        <w:trPr>
          <w:trHeight w:val="226"/>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48,599</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1.24 %</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1.21 %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0.03 %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9.57 %</w:t>
            </w: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9.31 %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0.26 %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45.10 %</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47.22 %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-2.12 %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1.40 %</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1.48 %</w:t>
            </w:r>
          </w:p>
        </w:tc>
        <w:tc>
          <w:tcPr>
            <w:tcW w:w="3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-0.08 %</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-1478915</wp:posOffset>
            </wp:positionV>
            <wp:extent cx="7132320" cy="1454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-1178560</wp:posOffset>
            </wp:positionV>
            <wp:extent cx="7132320" cy="1714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gridSpan w:val="9"/>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110,849</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119,535</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(8,686 )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-7.27 %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13.97 %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(56,497 )</w:t>
            </w:r>
          </w:p>
        </w:tc>
        <w:tc>
          <w:tcPr>
            <w:tcW w:w="5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(54,017 )</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(2,480 )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0" w:type="dxa"/>
            <w:vAlign w:val="bottom"/>
          </w:tcPr>
          <w:p>
            <w:pPr>
              <w:spacing w:after="0"/>
              <w:rPr>
                <w:sz w:val="1"/>
                <w:szCs w:val="1"/>
                <w:color w:val="auto"/>
              </w:rPr>
            </w:pP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(18,741 )</w:t>
            </w:r>
          </w:p>
        </w:tc>
        <w:tc>
          <w:tcPr>
            <w:tcW w:w="5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(21,904 )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14.44 %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55,770</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(5,735 )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-10.28 %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(0.04 )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(0.04 )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1.24 %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1.36 %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-0.12 %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9.57 %</w:t>
            </w:r>
          </w:p>
        </w:tc>
        <w:tc>
          <w:tcPr>
            <w:tcW w:w="5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11.03 %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-1.46 %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45.10 %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40.86 %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4.24 %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1.40 %</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1.32 %</w:t>
            </w:r>
          </w:p>
        </w:tc>
        <w:tc>
          <w:tcPr>
            <w:tcW w:w="3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0.08 %</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-1770380</wp:posOffset>
            </wp:positionV>
            <wp:extent cx="7132320" cy="1454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-1478915</wp:posOffset>
            </wp:positionV>
            <wp:extent cx="7132320" cy="1460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-1178560</wp:posOffset>
            </wp:positionV>
            <wp:extent cx="7132320" cy="1714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5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5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gridSpan w:val="9"/>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223,310</w:t>
            </w:r>
          </w:p>
        </w:tc>
        <w:tc>
          <w:tcPr>
            <w:tcW w:w="3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245,263</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(21,953 )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-8.95 %</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(2,000 )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28,537</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10.36 %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(116,268 )</w:t>
            </w:r>
          </w:p>
        </w:tc>
        <w:tc>
          <w:tcPr>
            <w:tcW w:w="4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(108,898 )</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(7,370 )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-6.77 %</w:t>
            </w: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(36,945 )</w:t>
            </w:r>
          </w:p>
        </w:tc>
        <w:tc>
          <w:tcPr>
            <w:tcW w:w="4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(45,183 )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18.23 %</w:t>
            </w:r>
          </w:p>
        </w:tc>
      </w:tr>
      <w:tr>
        <w:trPr>
          <w:trHeight w:val="20"/>
        </w:trPr>
        <w:tc>
          <w:tcPr>
            <w:tcW w:w="5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98,634</w:t>
            </w:r>
          </w:p>
        </w:tc>
        <w:tc>
          <w:tcPr>
            <w:tcW w:w="3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115,040</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(16,406 )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-14.26 %</w:t>
            </w:r>
          </w:p>
        </w:tc>
      </w:tr>
      <w:tr>
        <w:trPr>
          <w:trHeight w:val="20"/>
        </w:trPr>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3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(0.12 )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(0.11 )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1.22 %</w:t>
            </w: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-0.20 %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9.44 %</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11.58 %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-2.14 %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46.17 %</w:t>
            </w: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40.17 %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6.00 %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1.44 %</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1.34 %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0.10 %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460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54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5430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8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 (Non-GAAP)</w:t>
      </w:r>
    </w:p>
    <w:p>
      <w:pPr>
        <w:spacing w:after="0" w:line="22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54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4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4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50,035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48,599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55,770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98,634</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115,040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 Amortization of intangible assets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Less: Tax effect of amortization of intangible assets [1]</w:t>
            </w: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(425 )</w:t>
            </w: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(425 )</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(509 )</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(850 )</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tcBorders>
              <w:top w:val="single" w:sz="8" w:color="CFF0FC"/>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rPr>
              <w:t>Tangible net income</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51,047</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49,612</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56,980</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100,659</w:t>
            </w: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117,462</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stockholders' equity</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2,102,466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2,098,868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2,027,708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2,100,666</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2,003,112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Less: Average goodwill</w:t>
            </w:r>
          </w:p>
        </w:tc>
        <w:tc>
          <w:tcPr>
            <w:tcW w:w="2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(765,822 )</w:t>
            </w:r>
          </w:p>
        </w:tc>
        <w:tc>
          <w:tcPr>
            <w:tcW w:w="16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(765,822 )</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(765,822 )</w:t>
            </w: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(765,822 )</w:t>
            </w: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(765,822 )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Less: Average intangible assets</w:t>
            </w: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(13,258 )</w:t>
            </w: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(14,585 )</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(19,298 )</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(13,922 )</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(20,136 )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tcBorders>
              <w:top w:val="single" w:sz="8" w:color="CFF0FC"/>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rPr>
              <w:t>Average tangible common equity</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1,323,386</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1,318,461</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1,242,588</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1,320,922</w:t>
            </w: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1,217,154</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equity, annualized [2]</w:t>
            </w: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9.57 %</w:t>
            </w: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9.31 %</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11.03 %</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9.44 %</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on average tangible common equity,</w:t>
            </w:r>
          </w:p>
        </w:tc>
        <w:tc>
          <w:tcPr>
            <w:tcW w:w="220" w:type="dxa"/>
            <w:vAlign w:val="bottom"/>
          </w:tcPr>
          <w:p>
            <w:pPr>
              <w:spacing w:after="0"/>
              <w:rPr>
                <w:sz w:val="12"/>
                <w:szCs w:val="12"/>
                <w:color w:val="auto"/>
              </w:rPr>
            </w:pP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15.51 %</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15.13 %</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18.39 %</w:t>
            </w:r>
          </w:p>
        </w:tc>
        <w:tc>
          <w:tcPr>
            <w:tcW w:w="180" w:type="dxa"/>
            <w:vAlign w:val="bottom"/>
          </w:tcPr>
          <w:p>
            <w:pPr>
              <w:spacing w:after="0"/>
              <w:rPr>
                <w:sz w:val="12"/>
                <w:szCs w:val="12"/>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15.32 %</w:t>
            </w:r>
          </w:p>
        </w:tc>
        <w:tc>
          <w:tcPr>
            <w:tcW w:w="180" w:type="dxa"/>
            <w:vAlign w:val="bottom"/>
          </w:tcPr>
          <w:p>
            <w:pPr>
              <w:spacing w:after="0"/>
              <w:rPr>
                <w:sz w:val="12"/>
                <w:szCs w:val="12"/>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19.46 %</w:t>
            </w:r>
          </w:p>
        </w:tc>
        <w:tc>
          <w:tcPr>
            <w:tcW w:w="0" w:type="dxa"/>
            <w:vAlign w:val="bottom"/>
          </w:tcPr>
          <w:p>
            <w:pPr>
              <w:spacing w:after="0"/>
              <w:rPr>
                <w:sz w:val="1"/>
                <w:szCs w:val="1"/>
                <w:color w:val="auto"/>
              </w:rPr>
            </w:pPr>
          </w:p>
        </w:tc>
      </w:tr>
      <w:tr>
        <w:trPr>
          <w:trHeight w:val="188"/>
        </w:trPr>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annualized [2]</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-1167130</wp:posOffset>
            </wp:positionV>
            <wp:extent cx="774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-1167130</wp:posOffset>
            </wp:positionV>
            <wp:extent cx="76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-1167130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-1167130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-1167130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-575945</wp:posOffset>
            </wp:positionV>
            <wp:extent cx="774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-575945</wp:posOffset>
            </wp:positionV>
            <wp:extent cx="768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-575945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-575945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-575945</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effected at respective statutory rates.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02"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six months ended June 30, 2024 and 2023.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Management’s Discussion and Analysis of Financial Condition and Results of Operations – Asset/Liability and Market Risk Management – Interest Rate Sensitivity Management included herein.</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44" w:name="page45"/>
    <w:bookmarkEnd w:id="44"/>
    <w:p>
      <w:pPr>
        <w:ind w:right="440" w:firstLine="464"/>
        <w:spacing w:after="0" w:line="266" w:lineRule="auto"/>
        <w:rPr>
          <w:sz w:val="20"/>
          <w:szCs w:val="20"/>
          <w:color w:val="auto"/>
        </w:rPr>
      </w:pPr>
      <w:r>
        <w:rPr>
          <w:rFonts w:ascii="Times New Roman" w:cs="Times New Roman" w:eastAsia="Times New Roman" w:hAnsi="Times New Roman"/>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Yield/</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4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80" w:type="dxa"/>
            <w:vAlign w:val="bottom"/>
          </w:tcPr>
          <w:p>
            <w:pPr>
              <w:spacing w:after="0"/>
              <w:rPr>
                <w:sz w:val="21"/>
                <w:szCs w:val="21"/>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2,739,571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3,136,769</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38"/>
        </w:trPr>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Tax-advantaged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3.28 %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r>
        <w:trPr>
          <w:trHeight w:val="243"/>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Taxable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2,070,086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2.14 %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2,144,571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43"/>
        </w:trPr>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Tax-advantaged</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372,777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3.11 %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382,118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43"/>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FHLB stock</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8.42 %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43"/>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Interest-earning deposits with other institutions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716,916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5.51 %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353,610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0" w:type="dxa"/>
            <w:vAlign w:val="bottom"/>
          </w:tcPr>
          <w:p>
            <w:pPr>
              <w:spacing w:after="0"/>
              <w:rPr>
                <w:sz w:val="1"/>
                <w:szCs w:val="1"/>
                <w:color w:val="auto"/>
              </w:rPr>
            </w:pPr>
          </w:p>
        </w:tc>
      </w:tr>
      <w:tr>
        <w:trPr>
          <w:trHeight w:val="25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(2)</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8,731,587</w:t>
            </w:r>
          </w:p>
        </w:tc>
        <w:tc>
          <w:tcPr>
            <w:tcW w:w="3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5.26 %</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8,892,414</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32"/>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14,673,474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159,072</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4.37 %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14,967,662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47"/>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noninterest-earning assets</w:t>
            </w: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1,606,092</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1,488,862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16,279,566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16,456,524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Savings deposits (3)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3,996,035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4,186,438</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0" w:type="dxa"/>
            <w:vAlign w:val="bottom"/>
          </w:tcPr>
          <w:p>
            <w:pPr>
              <w:spacing w:after="0"/>
              <w:rPr>
                <w:sz w:val="1"/>
                <w:szCs w:val="1"/>
                <w:color w:val="auto"/>
              </w:rPr>
            </w:pPr>
          </w:p>
        </w:tc>
      </w:tr>
      <w:tr>
        <w:trPr>
          <w:trHeight w:val="252"/>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732,829</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3.34 %</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295,328</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0.56 %</w:t>
            </w:r>
          </w:p>
        </w:tc>
        <w:tc>
          <w:tcPr>
            <w:tcW w:w="0" w:type="dxa"/>
            <w:vAlign w:val="bottom"/>
          </w:tcPr>
          <w:p>
            <w:pPr>
              <w:spacing w:after="0"/>
              <w:rPr>
                <w:sz w:val="1"/>
                <w:szCs w:val="1"/>
                <w:color w:val="auto"/>
              </w:rPr>
            </w:pPr>
          </w:p>
        </w:tc>
      </w:tr>
      <w:tr>
        <w:trPr>
          <w:trHeight w:val="228"/>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4,728,864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2.21 %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4,481,766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0" w:type="dxa"/>
            <w:vAlign w:val="bottom"/>
          </w:tcPr>
          <w:p>
            <w:pPr>
              <w:spacing w:after="0"/>
              <w:rPr>
                <w:sz w:val="1"/>
                <w:szCs w:val="1"/>
                <w:color w:val="auto"/>
              </w:rPr>
            </w:pPr>
          </w:p>
        </w:tc>
      </w:tr>
      <w:tr>
        <w:trPr>
          <w:trHeight w:val="220"/>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FHLB advances, other borrowings, and customer</w:t>
            </w:r>
          </w:p>
        </w:tc>
        <w:tc>
          <w:tcPr>
            <w:tcW w:w="1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2,137,458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2,022,137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4.19 %</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37"/>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6,866,322</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48,223</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2.82 %</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6,503,903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3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7,153,315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7,823,496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2,102,466</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2,027,708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16,279,566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16,456,524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110,849</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119,535</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spread - tax equivalent</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1.55 %</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43"/>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margin</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3.03 %</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43"/>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margin - tax equivalent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3.05 %</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-4414520</wp:posOffset>
            </wp:positionV>
            <wp:extent cx="7132320" cy="1543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-4105910</wp:posOffset>
            </wp:positionV>
            <wp:extent cx="7132320" cy="15430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7132320" cy="1543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-3488055</wp:posOffset>
            </wp:positionV>
            <wp:extent cx="7132320" cy="1631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-3016885</wp:posOffset>
            </wp:positionV>
            <wp:extent cx="774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-3016885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625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-2048510</wp:posOffset>
            </wp:positionV>
            <wp:extent cx="7132320" cy="291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-1130935</wp:posOffset>
            </wp:positionV>
            <wp:extent cx="7747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-1130935</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-633730</wp:posOffset>
            </wp:positionV>
            <wp:extent cx="774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-616585</wp:posOffset>
            </wp:positionV>
            <wp:extent cx="774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-633730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-616585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1040" w:right="80" w:hanging="470"/>
        <w:spacing w:after="0" w:line="233" w:lineRule="auto"/>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three months ended June 30, 2024 and June 30, 2023. The non TE rates for total investment securities were 2.71% and 2.33% for the three months ended June 30, 2024 and June 30, 2023, respectively.</w:t>
      </w:r>
    </w:p>
    <w:p>
      <w:pPr>
        <w:ind w:left="1040" w:right="160" w:hanging="462"/>
        <w:spacing w:after="0" w:line="221" w:lineRule="auto"/>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$721,000 and $890,000 for the three months ended June 30, 2024 and June 30, 2023, respectively. Prepayment penalty fees of $440,000 and $686,000 are included in interest income for the three months ended June 30, 2024 and June 30, 2023, respectively.</w:t>
      </w:r>
    </w:p>
    <w:p>
      <w:pPr>
        <w:ind w:left="1040" w:hanging="470"/>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(1)</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2,807,107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42,337</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3,163,468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38,615</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8"/>
        </w:trPr>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Tax-advantaged</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Taxable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2,075,535</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2.12 %</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2,154,188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43"/>
        </w:trPr>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Tax-advantaged</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374,702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43"/>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FHLB stock</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8.89 %</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43"/>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Interest-earning deposits with other institutions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580,508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5.51 %</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57"/>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(2)</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8,778,083</w:t>
            </w:r>
          </w:p>
        </w:tc>
        <w:tc>
          <w:tcPr>
            <w:tcW w:w="3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230,549</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5.28 %</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8,927,671</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219,384</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32"/>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14,658,937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316,761</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4.36 %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14,885,711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292,025</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r>
        <w:trPr>
          <w:trHeight w:val="247"/>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noninterest-earning assets</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1,583,552</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1,499,515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16,242,489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16,385,226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Savings deposits (3)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4,001,580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38,417</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4,260,782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0" w:type="dxa"/>
            <w:vAlign w:val="bottom"/>
          </w:tcPr>
          <w:p>
            <w:pPr>
              <w:spacing w:after="0"/>
              <w:rPr>
                <w:sz w:val="1"/>
                <w:szCs w:val="1"/>
                <w:color w:val="auto"/>
              </w:rPr>
            </w:pPr>
          </w:p>
        </w:tc>
      </w:tr>
      <w:tr>
        <w:trPr>
          <w:trHeight w:val="252"/>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589,920</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3.04 %</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290,340</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228"/>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2.07 %</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4,551,122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FHLB advances, other borrowings, and customer</w:t>
            </w:r>
          </w:p>
        </w:tc>
        <w:tc>
          <w:tcPr>
            <w:tcW w:w="1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2,219,354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46,106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1,773,677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agreements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4.18 %</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37"/>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6,810,854</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93,451</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2.76 %</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6,324,799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46,762</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7,168,016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7,957,357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2,100,666</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2,003,112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16,242,489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16,385,227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223,310</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245,263</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spread - tax equivalent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1.60 %</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margin</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3.06 %</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margin - tax equivalent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3.07 %</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1543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-4105275</wp:posOffset>
            </wp:positionV>
            <wp:extent cx="7132320" cy="1543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7132320" cy="1543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-3488055</wp:posOffset>
            </wp:positionV>
            <wp:extent cx="7132320" cy="1631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-3016885</wp:posOffset>
            </wp:positionV>
            <wp:extent cx="768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-3016885</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631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291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-1130935</wp:posOffset>
            </wp:positionV>
            <wp:extent cx="7683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-1130935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-633730</wp:posOffset>
            </wp:positionV>
            <wp:extent cx="7683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-616585</wp:posOffset>
            </wp:positionV>
            <wp:extent cx="768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-633730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-616585</wp:posOffset>
            </wp:positionV>
            <wp:extent cx="6858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1040" w:right="200" w:hanging="470"/>
        <w:spacing w:after="0" w:line="233" w:lineRule="auto"/>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six months ended June 30, 2024 and June 30, 2023. The non TE rates for total investment securities were 2.63% and 2.33% for the six months ended June 30, 2024 and June 30, 2023, respectively.</w:t>
      </w:r>
    </w:p>
    <w:p>
      <w:pPr>
        <w:ind w:left="1040" w:right="300" w:hanging="462"/>
        <w:spacing w:after="0" w:line="221" w:lineRule="auto"/>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$1.4 million and $1.7 million for the six months ended June 30, 2024 and June 30, 2023, respectively. Prepayment penalty fees of $1.1 million and $1.3 million are included in interest income for the six months ended June 30, 2024 and June 30, 2023, respectively.</w:t>
      </w:r>
    </w:p>
    <w:p>
      <w:pPr>
        <w:ind w:left="1040" w:hanging="470"/>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03" w:right="279" w:bottom="1440" w:gutter="0" w:footer="0" w:header="0"/>
        </w:sectPr>
      </w:pPr>
    </w:p>
    <w:bookmarkStart w:id="46" w:name="page47"/>
    <w:bookmarkEnd w:id="46"/>
    <w:p>
      <w:pPr>
        <w:ind w:right="200" w:firstLine="562"/>
        <w:spacing w:after="0" w:line="258" w:lineRule="auto"/>
        <w:rPr>
          <w:sz w:val="20"/>
          <w:szCs w:val="20"/>
          <w:color w:val="auto"/>
        </w:rPr>
      </w:pPr>
      <w:r>
        <w:rPr>
          <w:rFonts w:ascii="Times New Roman" w:cs="Times New Roman" w:eastAsia="Times New Roman" w:hAnsi="Times New Roman"/>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Comparison of Three Months Ended June 30,</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2024 Compared to 2023</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Increase (Decrease) Due to</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(2,423 )</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Tax-advantaged investment securities</w:t>
            </w: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Tax-advantaged investment securities</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FHLB stock</w:t>
            </w: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(84 )</w:t>
            </w: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deposits with other institutions</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(310 )</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(947 )</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Savings deposits</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(469 )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(507 )</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FHLB advances, other borrowings, and</w:t>
            </w:r>
          </w:p>
        </w:tc>
        <w:tc>
          <w:tcPr>
            <w:tcW w:w="28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44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280" w:type="dxa"/>
            <w:vAlign w:val="bottom"/>
            <w:shd w:val="clear" w:color="auto" w:fill="CFF0FC"/>
          </w:tcPr>
          <w:p>
            <w:pPr>
              <w:spacing w:after="0"/>
              <w:rPr>
                <w:sz w:val="9"/>
                <w:szCs w:val="9"/>
                <w:color w:val="auto"/>
              </w:rPr>
            </w:pPr>
          </w:p>
        </w:tc>
        <w:tc>
          <w:tcPr>
            <w:tcW w:w="11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40" w:type="dxa"/>
            <w:vAlign w:val="bottom"/>
            <w:vMerge w:val="continue"/>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18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480" w:type="dxa"/>
            <w:vAlign w:val="bottom"/>
            <w:tcBorders>
              <w:bottom w:val="single" w:sz="8" w:color="CFF0FC"/>
            </w:tcBorders>
            <w:vMerge w:val="continue"/>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(1,530 )</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(3,622 )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(3,534 )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(8,686 )</w:t>
            </w:r>
          </w:p>
        </w:tc>
        <w:tc>
          <w:tcPr>
            <w:tcW w:w="0" w:type="dxa"/>
            <w:vAlign w:val="bottom"/>
          </w:tcPr>
          <w:p>
            <w:pPr>
              <w:spacing w:after="0"/>
              <w:rPr>
                <w:sz w:val="1"/>
                <w:szCs w:val="1"/>
                <w:color w:val="auto"/>
              </w:rPr>
            </w:pPr>
          </w:p>
        </w:tc>
      </w:tr>
      <w:tr>
        <w:trPr>
          <w:trHeight w:val="413"/>
        </w:trPr>
        <w:tc>
          <w:tcPr>
            <w:tcW w:w="44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4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-2167890</wp:posOffset>
            </wp:positionV>
            <wp:extent cx="7747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-2167890</wp:posOffset>
            </wp:positionV>
            <wp:extent cx="768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-2167890</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-1259205</wp:posOffset>
            </wp:positionV>
            <wp:extent cx="7747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-1259205</wp:posOffset>
            </wp:positionV>
            <wp:extent cx="768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-1259205</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-933450</wp:posOffset>
            </wp:positionV>
            <wp:extent cx="774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-916305</wp:posOffset>
            </wp:positionV>
            <wp:extent cx="774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-933450</wp:posOffset>
            </wp:positionV>
            <wp:extent cx="768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-916305</wp:posOffset>
            </wp:positionV>
            <wp:extent cx="768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-933450</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-916305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2024 Compared to 2023</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Increase (Decrease) Due to</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(8,713 )</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Tax-advantaged investment securities</w:t>
            </w:r>
          </w:p>
        </w:tc>
        <w:tc>
          <w:tcPr>
            <w:tcW w:w="2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(1,665 )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(766 )</w:t>
            </w: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Tax-advantaged investment securities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FHLB stock</w:t>
            </w:r>
          </w:p>
        </w:tc>
        <w:tc>
          <w:tcPr>
            <w:tcW w:w="2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(379 )</w:t>
            </w: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deposits with other institutions</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(9,517 )</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(7,411 )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(10,571 )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(25,495 )</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Savings deposits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(1,914 )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(26,073 )</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FHLB advances, other borrowings, and</w:t>
            </w:r>
          </w:p>
        </w:tc>
        <w:tc>
          <w:tcPr>
            <w:tcW w:w="28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(12,376 )</w:t>
            </w: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44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280" w:type="dxa"/>
            <w:vAlign w:val="bottom"/>
            <w:shd w:val="clear" w:color="auto" w:fill="CFF0FC"/>
          </w:tcPr>
          <w:p>
            <w:pPr>
              <w:spacing w:after="0"/>
              <w:rPr>
                <w:sz w:val="9"/>
                <w:szCs w:val="9"/>
                <w:color w:val="auto"/>
              </w:rPr>
            </w:pPr>
          </w:p>
        </w:tc>
        <w:tc>
          <w:tcPr>
            <w:tcW w:w="118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40" w:type="dxa"/>
            <w:vAlign w:val="bottom"/>
            <w:vMerge w:val="continue"/>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40" w:type="dxa"/>
            <w:vAlign w:val="bottom"/>
            <w:gridSpan w:val="2"/>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480" w:type="dxa"/>
            <w:vAlign w:val="bottom"/>
            <w:tcBorders>
              <w:bottom w:val="single" w:sz="8" w:color="CFF0FC"/>
            </w:tcBorders>
            <w:vMerge w:val="continue"/>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(38,924 )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(13,853 )</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(21,529 )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(21,953 )</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-1259840</wp:posOffset>
            </wp:positionV>
            <wp:extent cx="774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-1259840</wp:posOffset>
            </wp:positionV>
            <wp:extent cx="7683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-1259840</wp:posOffset>
            </wp:positionV>
            <wp:extent cx="685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-350520</wp:posOffset>
            </wp:positionV>
            <wp:extent cx="774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-350520</wp:posOffset>
            </wp:positionV>
            <wp:extent cx="7683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-350520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774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Second Quarter of 2024 Compared to the Second Quarter of 2023</w:t>
      </w:r>
    </w:p>
    <w:p>
      <w:pPr>
        <w:spacing w:after="0" w:line="200"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Net interest income, before provision for credit losses, of $110.8 million for the second quarter of 2024 decreased by $8.7 million, or 7.27%, from the second quarter of 2023. The decline in net interest income compared to the second quarter of 2023 was due to a 17 basis point decrease in net interest margin and a $294.2 million decrease in average earning assets. The decline in net interest margin was the result of a 55 basis point increase in funding costs, which was partially offset by a 36 basis point increase in the average earning asset yield.</w:t>
      </w:r>
    </w:p>
    <w:p>
      <w:pPr>
        <w:spacing w:after="0" w:line="180"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8"/>
          <w:szCs w:val="18"/>
          <w:color w:val="auto"/>
        </w:rPr>
        <w:t>Total interest income of $159.1 million grew by $9.8 million, or 6.59%, when compared to the second quarter of 2023. This increase was primarily due to a 36 basis point expansion of the yield on earning assets, which offset a $294.2 million decline in average interest-earning assets. Average loan balances declined by $160.8 million. Loan yields grew from 5.01% for the second quarter of 2023 to 5.26% for the second quarter of 2024. Likewise, the yield on investment securities increased by 34 basis points from the prior year, including the $3.7 million increase in interest income associated with fair value hedges executed in June of 2023. Compared to the second quarter of 2023, the average balance of investment securities decreased by $482.6 million, while the average amount of funds held at the Federal Reserve increased by $356.9 million.</w:t>
      </w:r>
    </w:p>
    <w:p>
      <w:pPr>
        <w:spacing w:after="0" w:line="187" w:lineRule="exact"/>
        <w:rPr>
          <w:sz w:val="20"/>
          <w:szCs w:val="20"/>
          <w:color w:val="auto"/>
        </w:rPr>
      </w:pPr>
    </w:p>
    <w:p>
      <w:pPr>
        <w:jc w:val="both"/>
        <w:ind w:right="240" w:firstLine="469"/>
        <w:spacing w:after="0" w:line="261" w:lineRule="auto"/>
        <w:rPr>
          <w:sz w:val="20"/>
          <w:szCs w:val="20"/>
          <w:color w:val="auto"/>
        </w:rPr>
      </w:pPr>
      <w:r>
        <w:rPr>
          <w:rFonts w:ascii="Times New Roman" w:cs="Times New Roman" w:eastAsia="Times New Roman" w:hAnsi="Times New Roman"/>
          <w:sz w:val="18"/>
          <w:szCs w:val="18"/>
          <w:color w:val="auto"/>
        </w:rPr>
        <w:t>Total interest income and fees on loans for the second quarter of 2024 was $114.2 million, an increase of $3.2 million, or 2.89%, from the second quarter of 2023. This increase in income was primarily due to higher loan yields, which grew from 5.01% in the second quarter of 2023 to 5.26% in the second quarter of 2024. Loan yields grew year-over-year, as rising interest rates contributed to an increase in yields on loans indexed to the Prime rate or other short-term indexes, as well as higher rates from newly originated loans.</w:t>
      </w:r>
    </w:p>
    <w:p>
      <w:pPr>
        <w:spacing w:after="0" w:line="180"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Interest income from investment securities was $34.7 million, an increase of $1.6 million, or 4.76%, from the second quarter of 2023. The increase was driven by a 34 basis point increase in the yield on securities, compared to 2023. The increase in yield includes the positive carry on the fair value hedges executed in late June of 2023, which resulted in $4.1 million of interest income in the second quarter of 2024, compared to $446,000 in the second quarter of 2023. Excluding the impact of these swaps, interest income on investment securities would have declined by $2.1 million, as average investment securities declined by $482.6 million when compared with the second quarter of 2023.</w:t>
      </w:r>
    </w:p>
    <w:p>
      <w:pPr>
        <w:spacing w:after="0" w:line="183"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Interest expense of $48.2 million for the second quarter of 2024, increased $18.5 million, compared to the second quarter of 2023. Total cost of funds of 1.38% for the second quarter of 2024 increased from 0.83% for the year ago quarter.</w:t>
      </w: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ind w:right="20"/>
        <w:spacing w:after="0" w:line="254" w:lineRule="auto"/>
        <w:rPr>
          <w:sz w:val="20"/>
          <w:szCs w:val="20"/>
          <w:color w:val="auto"/>
        </w:rPr>
      </w:pPr>
      <w:r>
        <w:rPr>
          <w:rFonts w:ascii="Times New Roman" w:cs="Times New Roman" w:eastAsia="Times New Roman" w:hAnsi="Times New Roman"/>
          <w:sz w:val="18"/>
          <w:szCs w:val="18"/>
          <w:color w:val="auto"/>
        </w:rPr>
        <w:t>This 55 basis point increase in cost of funds was primarily the result of a 125 basis point increase in the cost of total interest-bearing deposits, including the impact from a $400 million increase in average brokered time deposits. Total time deposits grew by $437.5 million over the prior year quarter, while interest expense on time deposits grew by $5.7 million. Interest expense for non-maturity interest-bearing deposits, increased by $9.5 million over the second quarter of 2023, as a $190.4 million decline in the average balance of these deposits was offset by an increase in the cost of these interest-bearing deposits from 0.99% in the prior year quarter to 2.00% for the second quarter of 2024. Average noninterest-bearing deposits were 60.20% of total deposits for the second quarter of 2024, compared to 63.58% for the second quarter of 2023. Interest expense on borrowings increased by $3.2 million, compared to the second quarter of 2023, due to an increase in average borrowings of $323.4 million, which had an average borrowing cost of 4.76% in the second quarter of 2024, compared to 4.90% in the prior year quarter.</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Six Months of 2024 Compared to Six Months of 2023</w:t>
      </w:r>
    </w:p>
    <w:p>
      <w:pPr>
        <w:spacing w:after="0" w:line="227"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Net interest income, before provision for credit losses, was $223.3 million for the six months ended June 30, 2024, a decrease of $22.0 million, or 8.95%, compared to $245.3 million for the same period of 2023. Interest-earning assets decreased on average by $226.8 million, or 1.52%, from $14.89 billion for the six months ended June 30, 2023 to $14.66 billion for the same period in the current year. Our net interest margin (TE) was 3.07% for the first six months of 2024, compared to 3.33% for the same period of 2023.</w:t>
      </w:r>
    </w:p>
    <w:p>
      <w:pPr>
        <w:spacing w:after="0" w:line="180"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Total interest income $316.8 million for the six months ended June 30, 2024, was $24.7 million, or 8.47%, higher than the same period of 2023. This increase was primarily due to a 40 basis point expansion of the yield on earning assets, which offset a $226.8 million decline in average earning assets. The $226.8 million year-over-year decrease in average earning assets resulted from a decline of $443.6 million in average investment securities and a $149.6 million decrease in our average loan balances, offset by a $375.8 million increase the average amount of funds held at the Federal Reserve. The 40 basis point increase in the average earning asset yield compared to the first six months of 2023 resulted from both a 33 basis point increase in loan yields, from 4.95% for the first six months of 2023 to 5.28% for the same period of 2024 and a 30 basis point increase in the non tax-equivalent yield on investment securities. Including the impact of fair value hedges, the yield on investment securities increased from 2.33% for the first six months of 2023 to 2.63% for the six months ended June 30, 2024. Interest income from funds deposited at the Federal Reserve increased by $10.7 million, primary due to a $376 million increase in average balances at the Federal Reserve.</w:t>
      </w:r>
    </w:p>
    <w:p>
      <w:pPr>
        <w:spacing w:after="0" w:line="188" w:lineRule="exact"/>
        <w:rPr>
          <w:sz w:val="20"/>
          <w:szCs w:val="20"/>
          <w:color w:val="auto"/>
        </w:rPr>
      </w:pPr>
    </w:p>
    <w:p>
      <w:pPr>
        <w:ind w:right="40" w:firstLine="469"/>
        <w:spacing w:after="0" w:line="266" w:lineRule="auto"/>
        <w:rPr>
          <w:sz w:val="20"/>
          <w:szCs w:val="20"/>
          <w:color w:val="auto"/>
        </w:rPr>
      </w:pPr>
      <w:r>
        <w:rPr>
          <w:rFonts w:ascii="Times New Roman" w:cs="Times New Roman" w:eastAsia="Times New Roman" w:hAnsi="Times New Roman"/>
          <w:sz w:val="18"/>
          <w:szCs w:val="18"/>
          <w:color w:val="auto"/>
        </w:rPr>
        <w:t>Total interest income and fees on loans for the six months ended June 30, 2024, was $230.5 million, an increase of $11.2 million, or 5.09%, when compared to the same period of 2023. This increase in income was due to higher loan yields, which grew year-over-year, as rising interest rates contributed to an increase in yields from 4.95% for the first six months of 2023 to 5.28% for the same period of 2024.</w:t>
      </w:r>
    </w:p>
    <w:p>
      <w:pPr>
        <w:spacing w:after="0" w:line="176"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Interest income from investment securities of $69.5 million for the six months ended June 30, 2024, increased $2.9 million from $66.6 million for the first six months of 2023. This increase was driven by a 30 basis point increase in the yield on securities, compared to the first six months of 2023. The increase in yield includes the positive carry on the fair value hedges executed in late June of 2023, which resulted in $7.8 million of interest income for the six months ended June 30, 2024, compared to $446,000 in the second quarter of 2023. Excluding the impact of these swaps, interest income on investment securities would have declined by $4.5 million, as average investment securities decreased by $443.6 million when compared with the second quarter of 2023.</w:t>
      </w:r>
    </w:p>
    <w:p>
      <w:pPr>
        <w:spacing w:after="0" w:line="187"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Interest expense of $93.5 million for the six months ended June 30, 2024, increased by $46.7 million from the same period of 2023. Total cost of funds for the first six months of 2024 was 1.34%, compared with 0.66% for the same period of 2023. Noninterest-bearing deposits for the six months ending June 30, 2024, declined on average by $789.3 million, compared to the first six months of 2023, but continued to represent more than 60% of total average deposits for the six month period. Average noninterest-bearing deposits represented 60.96% of our total deposits for the six months ended June 30, 2024, compared to 63.62% for the same period of 2023. The average rate paid on interest-bearing liabilities increased by 127 basis points, to 2.76% for the first six months of 2024, from 1.49% for the same period of 2023. Likewise, the rate on interest-bearing deposits for the first six months of 2024 increased by 136 basis points from the same period in 2023. Time deposits increased on average between the two periods by $299.6 million, with the cost of time deposits increasing from 0.37% in the prior year period to 3.04% for the first six months of 2024. The increase in both the cost and average balance of time deposits was driven by the addition in 2024 of $400 million in brokered time deposits. Non-maturity interest-bearing deposits declined on average from the prior year period by $259.2 million, while the cost of these deposits increased by 1.19%. Average borrowings for the first six months of 2024 were $1.92 billion at a cost of 4.76%, compared with 4.87% on $1.25 billion of borrowings for the same period of 2023.</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229" w:lineRule="exact"/>
        <w:rPr>
          <w:sz w:val="20"/>
          <w:szCs w:val="20"/>
          <w:color w:val="auto"/>
        </w:rPr>
      </w:pPr>
    </w:p>
    <w:p>
      <w:pPr>
        <w:ind w:right="1000" w:firstLine="469"/>
        <w:spacing w:after="0" w:line="282" w:lineRule="auto"/>
        <w:rPr>
          <w:sz w:val="20"/>
          <w:szCs w:val="20"/>
          <w:color w:val="auto"/>
        </w:rPr>
      </w:pPr>
      <w:r>
        <w:rPr>
          <w:rFonts w:ascii="Times New Roman" w:cs="Times New Roman" w:eastAsia="Times New Roman" w:hAnsi="Times New Roman"/>
          <w:sz w:val="18"/>
          <w:szCs w:val="18"/>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62"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8"/>
          <w:szCs w:val="18"/>
          <w:color w:val="auto"/>
        </w:rPr>
        <w:t>There was no provision for credit losses in the second quarter of 2024, compared to $500,000 in provision in the second quarter of 2023. Net charge-offs for the second quarter of 2024 were $31,000, compared to $73,000 in the second quarter of 2023. Projected loss rates were 0.95% at June 30, 2024, compared to 0.98% at June 30, 2023.</w:t>
      </w:r>
    </w:p>
    <w:p>
      <w:pPr>
        <w:spacing w:after="0" w:line="176"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 xml:space="preserve">There was no provision for credit losses for the six months ended June 30, 2024, compared to $2.0 million in provision for credit losses for the same period of 2023. We experienced credit charge-offs of $4.3 million and total recoveries of $262,000, resulting in net charge-offs of $4.1 million for 2024 year-to-date. For the six months ended June 30, 2023, we experienced credit charge-offs of $198,000 and total recoveries of $48,000, resulting in net charge-offs of $150,000. Refer to the discussion of “Allowance for Credit Losses” in Item 2 –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contained herein for discussion concerning observed changes in the credit quality of various components of our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as well as changes and refinements to our methodology.</w:t>
      </w:r>
    </w:p>
    <w:p>
      <w:pPr>
        <w:spacing w:after="0" w:line="187"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8"/>
          <w:szCs w:val="18"/>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the recent rise in interest rates, geopolitical events in Europe, and global inflation will have on future interest rates, unemployment, the overall economy and resulting impact on our customers. See “Allowance for Credit Losses” under </w:t>
      </w:r>
      <w:r>
        <w:rPr>
          <w:rFonts w:ascii="Times New Roman" w:cs="Times New Roman" w:eastAsia="Times New Roman" w:hAnsi="Times New Roman"/>
          <w:sz w:val="18"/>
          <w:szCs w:val="18"/>
          <w:i w:val="1"/>
          <w:iCs w:val="1"/>
          <w:color w:val="auto"/>
        </w:rPr>
        <w:t>Analysis of Financial Condition</w:t>
      </w:r>
      <w:r>
        <w:rPr>
          <w:rFonts w:ascii="Times New Roman" w:cs="Times New Roman" w:eastAsia="Times New Roman" w:hAnsi="Times New Roman"/>
          <w:sz w:val="18"/>
          <w:szCs w:val="18"/>
          <w:color w:val="auto"/>
        </w:rPr>
        <w:t xml:space="preserv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5.77 %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(29 )</w:t>
            </w: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3.41 %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Bankcard services</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(120 )</w:t>
            </w:r>
          </w:p>
        </w:tc>
        <w:tc>
          <w:tcPr>
            <w:tcW w:w="18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-24.49 %</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(112 )</w:t>
            </w: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BOLI income</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40.30 %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 fee income</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(82 )</w:t>
            </w:r>
          </w:p>
        </w:tc>
        <w:tc>
          <w:tcPr>
            <w:tcW w:w="18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-100.00 %</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(632 )</w:t>
            </w: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39.97 %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(220 )</w:t>
            </w: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income</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14,424</w:t>
            </w:r>
          </w:p>
        </w:tc>
        <w:tc>
          <w:tcPr>
            <w:tcW w:w="260" w:type="dxa"/>
            <w:vAlign w:val="bottom"/>
          </w:tcPr>
          <w:p>
            <w:pPr>
              <w:spacing w:after="0"/>
              <w:rPr>
                <w:sz w:val="14"/>
                <w:szCs w:val="14"/>
                <w:color w:val="auto"/>
              </w:rPr>
            </w:pPr>
          </w:p>
        </w:tc>
        <w:tc>
          <w:tcPr>
            <w:tcW w:w="1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12,656</w:t>
            </w:r>
          </w:p>
        </w:tc>
        <w:tc>
          <w:tcPr>
            <w:tcW w:w="28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13.97 %</w:t>
            </w:r>
          </w:p>
        </w:tc>
        <w:tc>
          <w:tcPr>
            <w:tcW w:w="1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28,537</w:t>
            </w:r>
          </w:p>
        </w:tc>
        <w:tc>
          <w:tcPr>
            <w:tcW w:w="4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25,858</w:t>
            </w:r>
          </w:p>
        </w:tc>
        <w:tc>
          <w:tcPr>
            <w:tcW w:w="4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2,679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10.36 %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-145415</wp:posOffset>
            </wp:positionV>
            <wp:extent cx="7747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-145415</wp:posOffset>
            </wp:positionV>
            <wp:extent cx="7747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-145415</wp:posOffset>
            </wp:positionV>
            <wp:extent cx="7683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-145415</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-145415</wp:posOffset>
            </wp:positionV>
            <wp:extent cx="685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-145415</wp:posOffset>
            </wp:positionV>
            <wp:extent cx="685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-145415</wp:posOffset>
            </wp:positionV>
            <wp:extent cx="6858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Second Quarter of 2024 Compared to the Second Quarter of 2023</w:t>
      </w:r>
    </w:p>
    <w:p>
      <w:pPr>
        <w:spacing w:after="0" w:line="227"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The $1.8 million increase in noninterest income included an $845,000 increase in BOLI, primarily due to the restructuring and enhancements in our BOLI policies completed in the fourth quarter of 2023, which increased income by $1.6 million, offsetting the $800,000 decline from death benefits received during the first six months of 2023. Other income in the second quarter of 2024 included approximately $500,000 related to previously acquired and charged-off loans and a building sale originally consummated in 2013. CRA investment income also increased $230,000 due to changes in the net asset value of certain equity investments.</w:t>
      </w:r>
    </w:p>
    <w:p>
      <w:pPr>
        <w:spacing w:after="0" w:line="183" w:lineRule="exact"/>
        <w:rPr>
          <w:sz w:val="20"/>
          <w:szCs w:val="20"/>
          <w:color w:val="auto"/>
        </w:rPr>
      </w:pPr>
    </w:p>
    <w:p>
      <w:pPr>
        <w:ind w:right="380" w:firstLine="469"/>
        <w:spacing w:after="0" w:line="254" w:lineRule="auto"/>
        <w:rPr>
          <w:sz w:val="20"/>
          <w:szCs w:val="20"/>
          <w:color w:val="auto"/>
        </w:rPr>
      </w:pPr>
      <w:r>
        <w:rPr>
          <w:rFonts w:ascii="Times New Roman" w:cs="Times New Roman" w:eastAsia="Times New Roman" w:hAnsi="Times New Roman"/>
          <w:sz w:val="18"/>
          <w:szCs w:val="18"/>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June 30, 2024, CitizensTrust had approximately $4.3 billion in assets under management and administration, including</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50" w:name="page51"/>
    <w:bookmarkEnd w:id="50"/>
    <w:p>
      <w:pPr>
        <w:ind w:right="40"/>
        <w:spacing w:after="0" w:line="282" w:lineRule="auto"/>
        <w:rPr>
          <w:sz w:val="20"/>
          <w:szCs w:val="20"/>
          <w:color w:val="auto"/>
        </w:rPr>
      </w:pPr>
      <w:r>
        <w:rPr>
          <w:rFonts w:ascii="Times New Roman" w:cs="Times New Roman" w:eastAsia="Times New Roman" w:hAnsi="Times New Roman"/>
          <w:sz w:val="18"/>
          <w:szCs w:val="18"/>
          <w:color w:val="auto"/>
        </w:rPr>
        <w:t>$3.0 billion in assets under management. CitizensTrust generated fees of $3.4 million for the second quarter of 2024, compared to $3.3 million for the same period of 2023.</w:t>
      </w:r>
    </w:p>
    <w:p>
      <w:pPr>
        <w:spacing w:after="0" w:line="162" w:lineRule="exact"/>
        <w:rPr>
          <w:sz w:val="20"/>
          <w:szCs w:val="20"/>
          <w:color w:val="auto"/>
        </w:rPr>
      </w:pPr>
    </w:p>
    <w:p>
      <w:pPr>
        <w:ind w:right="140" w:firstLine="469"/>
        <w:spacing w:after="0" w:line="261" w:lineRule="auto"/>
        <w:rPr>
          <w:sz w:val="20"/>
          <w:szCs w:val="20"/>
          <w:color w:val="auto"/>
        </w:rPr>
      </w:pPr>
      <w:r>
        <w:rPr>
          <w:rFonts w:ascii="Times New Roman" w:cs="Times New Roman" w:eastAsia="Times New Roman" w:hAnsi="Times New Roman"/>
          <w:sz w:val="18"/>
          <w:szCs w:val="18"/>
          <w:color w:val="auto"/>
        </w:rPr>
        <w:t>The increase in BOLI income was primarily due to the restructuring and enhancements in our BOLI policies in the fourth quarter of 2023. There were no death benefits in the second quarter of 2024, compared with $806,000 in death benefits that exceeded the asset value of certain BOLI policies in the second quarter of 2023. As a result of the restructuring and enhancements in BOLI policies during the fourth quarter of 2023, the income derived from increases in the cash-surrender value of the policies was $1.6 million higher in the second quarter of 2024, when compared to the second quarter of 2023.</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Six Months of 2024 Compared to Six Months of 2023</w:t>
      </w:r>
    </w:p>
    <w:p>
      <w:pPr>
        <w:spacing w:after="0" w:line="227"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The $3.3 million year-over-year increase in BOLI income was primarily due to the restructuring and enhancements in our BOLI policies in the fourth quarter of 2023. Trust and investment fees grew by $423,000 or 6.79% due to increased assets under management. The swap related fees reflected in 2023 resulted from the conversion to SOFR of all of our previously originated interest rate swaps indexed to LIBOR, resulting in a $600,000 period-over-period decline in these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35,426</w:t>
            </w:r>
          </w:p>
        </w:tc>
        <w:tc>
          <w:tcPr>
            <w:tcW w:w="26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33,548</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5.60 %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71,827</w:t>
            </w:r>
          </w:p>
        </w:tc>
        <w:tc>
          <w:tcPr>
            <w:tcW w:w="24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68,795</w:t>
            </w:r>
          </w:p>
        </w:tc>
        <w:tc>
          <w:tcPr>
            <w:tcW w:w="2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Occupancy</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1.61 %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Equipment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19.55 %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Professional services</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6.40 %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19.09 %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Marketing and promotion</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48.07 %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intangible</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(282 )</w:t>
            </w:r>
          </w:p>
        </w:tc>
        <w:tc>
          <w:tcPr>
            <w:tcW w:w="2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-16.40 %</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(564 )</w:t>
            </w:r>
          </w:p>
        </w:tc>
        <w:tc>
          <w:tcPr>
            <w:tcW w:w="280" w:type="dxa"/>
            <w:vAlign w:val="bottom"/>
          </w:tcPr>
          <w:p>
            <w:pPr>
              <w:spacing w:after="0"/>
              <w:rPr>
                <w:sz w:val="12"/>
                <w:szCs w:val="12"/>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-16.40 %</w:t>
            </w:r>
          </w:p>
        </w:tc>
        <w:tc>
          <w:tcPr>
            <w:tcW w:w="0" w:type="dxa"/>
            <w:vAlign w:val="bottom"/>
          </w:tcPr>
          <w:p>
            <w:pPr>
              <w:spacing w:after="0"/>
              <w:rPr>
                <w:sz w:val="1"/>
                <w:szCs w:val="1"/>
                <w:color w:val="auto"/>
              </w:rPr>
            </w:pPr>
          </w:p>
        </w:tc>
      </w:tr>
      <w:tr>
        <w:trPr>
          <w:trHeight w:val="185"/>
        </w:trPr>
        <w:tc>
          <w:tcPr>
            <w:tcW w:w="2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Telecommunications expense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(30 )</w:t>
            </w: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-5.78 %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(40 )</w:t>
            </w: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Regulatory assessments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(750 )</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-34.66 %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38.31 %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Insurance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0.59 %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 expense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-1.65 %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(16 )</w:t>
            </w: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OREO expense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(Recapture of) provision for</w:t>
            </w:r>
          </w:p>
        </w:tc>
        <w:tc>
          <w:tcPr>
            <w:tcW w:w="1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(500 )</w:t>
            </w: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(900 )</w:t>
            </w:r>
          </w:p>
        </w:tc>
        <w:tc>
          <w:tcPr>
            <w:tcW w:w="2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-225.00 %</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(500 )</w:t>
            </w: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(1,400 )</w:t>
            </w:r>
          </w:p>
        </w:tc>
        <w:tc>
          <w:tcPr>
            <w:tcW w:w="280" w:type="dxa"/>
            <w:vAlign w:val="bottom"/>
          </w:tcPr>
          <w:p>
            <w:pPr>
              <w:spacing w:after="0"/>
              <w:rPr>
                <w:sz w:val="12"/>
                <w:szCs w:val="12"/>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-155.56 %</w:t>
            </w:r>
          </w:p>
        </w:tc>
        <w:tc>
          <w:tcPr>
            <w:tcW w:w="0" w:type="dxa"/>
            <w:vAlign w:val="bottom"/>
          </w:tcPr>
          <w:p>
            <w:pPr>
              <w:spacing w:after="0"/>
              <w:rPr>
                <w:sz w:val="1"/>
                <w:szCs w:val="1"/>
                <w:color w:val="auto"/>
              </w:rPr>
            </w:pPr>
          </w:p>
        </w:tc>
      </w:tr>
      <w:tr>
        <w:trPr>
          <w:trHeight w:val="185"/>
        </w:trPr>
        <w:tc>
          <w:tcPr>
            <w:tcW w:w="2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unfunded loan commitments</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Directors' expenses</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48.64 %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Stationery and supplies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15.94 %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36.66 %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expense</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56,497</w:t>
            </w:r>
          </w:p>
        </w:tc>
        <w:tc>
          <w:tcPr>
            <w:tcW w:w="260" w:type="dxa"/>
            <w:vAlign w:val="bottom"/>
          </w:tcPr>
          <w:p>
            <w:pPr>
              <w:spacing w:after="0"/>
              <w:rPr>
                <w:sz w:val="14"/>
                <w:szCs w:val="14"/>
                <w:color w:val="auto"/>
              </w:rPr>
            </w:pPr>
          </w:p>
        </w:tc>
        <w:tc>
          <w:tcPr>
            <w:tcW w:w="20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54,017</w:t>
            </w:r>
          </w:p>
        </w:tc>
        <w:tc>
          <w:tcPr>
            <w:tcW w:w="26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2,480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4.59 %</w:t>
            </w:r>
          </w:p>
        </w:tc>
        <w:tc>
          <w:tcPr>
            <w:tcW w:w="1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116,268</w:t>
            </w:r>
          </w:p>
        </w:tc>
        <w:tc>
          <w:tcPr>
            <w:tcW w:w="240" w:type="dxa"/>
            <w:vAlign w:val="bottom"/>
          </w:tcPr>
          <w:p>
            <w:pPr>
              <w:spacing w:after="0"/>
              <w:rPr>
                <w:sz w:val="14"/>
                <w:szCs w:val="14"/>
                <w:color w:val="auto"/>
              </w:rPr>
            </w:pPr>
          </w:p>
        </w:tc>
        <w:tc>
          <w:tcPr>
            <w:tcW w:w="20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108,898</w:t>
            </w:r>
          </w:p>
        </w:tc>
        <w:tc>
          <w:tcPr>
            <w:tcW w:w="240" w:type="dxa"/>
            <w:vAlign w:val="bottom"/>
          </w:tcPr>
          <w:p>
            <w:pPr>
              <w:spacing w:after="0"/>
              <w:rPr>
                <w:sz w:val="14"/>
                <w:szCs w:val="14"/>
                <w:color w:val="auto"/>
              </w:rPr>
            </w:pPr>
          </w:p>
        </w:tc>
        <w:tc>
          <w:tcPr>
            <w:tcW w:w="2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7,370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6.77 %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Noninterest expense to average</w:t>
            </w:r>
          </w:p>
        </w:tc>
        <w:tc>
          <w:tcPr>
            <w:tcW w:w="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1.40 %</w:t>
            </w:r>
          </w:p>
        </w:tc>
        <w:tc>
          <w:tcPr>
            <w:tcW w:w="2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1.32 %</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1.44 %</w:t>
            </w:r>
          </w:p>
        </w:tc>
        <w:tc>
          <w:tcPr>
            <w:tcW w:w="2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1.34 %</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Efficiency ratio (1)</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45.10 %</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40.86 %</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46.17 %</w:t>
            </w: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40.17 %</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-581660</wp:posOffset>
            </wp:positionV>
            <wp:extent cx="7683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-581660</wp:posOffset>
            </wp:positionV>
            <wp:extent cx="7683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-581660</wp:posOffset>
            </wp:positionV>
            <wp:extent cx="7683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-581660</wp:posOffset>
            </wp:positionV>
            <wp:extent cx="6858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-581660</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-581660</wp:posOffset>
            </wp:positionV>
            <wp:extent cx="685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-581660</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-581660</wp:posOffset>
            </wp:positionV>
            <wp:extent cx="6858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1" w:lineRule="exact"/>
        <w:rPr>
          <w:sz w:val="20"/>
          <w:szCs w:val="20"/>
          <w:color w:val="auto"/>
        </w:rPr>
      </w:pPr>
    </w:p>
    <w:p>
      <w:pPr>
        <w:ind w:left="1500" w:hanging="369"/>
        <w:spacing w:after="0"/>
        <w:tabs>
          <w:tab w:leader="none" w:pos="1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divided by net interest income before provision for credit losses plus noninterest income.</w:t>
      </w:r>
    </w:p>
    <w:p>
      <w:pPr>
        <w:spacing w:after="0" w:line="194"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1.40% for the second quarter of 2024, compared to 1.32% for the second quarter of 2023.</w:t>
      </w:r>
    </w:p>
    <w:p>
      <w:pPr>
        <w:spacing w:after="0" w:line="176"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45.10% for the second quarter of 2024, compared to 40.86% for the second quarter of 2023.</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51" w:name="page52"/>
    <w:bookmarkEnd w:id="51"/>
    <w:p>
      <w:pPr>
        <w:ind w:left="480"/>
        <w:spacing w:after="0"/>
        <w:rPr>
          <w:sz w:val="20"/>
          <w:szCs w:val="20"/>
          <w:color w:val="auto"/>
        </w:rPr>
      </w:pPr>
      <w:r>
        <w:rPr>
          <w:rFonts w:ascii="Times New Roman" w:cs="Times New Roman" w:eastAsia="Times New Roman" w:hAnsi="Times New Roman"/>
          <w:sz w:val="18"/>
          <w:szCs w:val="18"/>
          <w:i w:val="1"/>
          <w:iCs w:val="1"/>
          <w:color w:val="auto"/>
        </w:rPr>
        <w:t>Second Quarter of 2024 Compared to the Second Quarter of 2023</w:t>
      </w:r>
    </w:p>
    <w:p>
      <w:pPr>
        <w:spacing w:after="0" w:line="227" w:lineRule="exact"/>
        <w:rPr>
          <w:sz w:val="20"/>
          <w:szCs w:val="20"/>
          <w:color w:val="auto"/>
        </w:rPr>
      </w:pPr>
    </w:p>
    <w:p>
      <w:pPr>
        <w:ind w:right="80" w:firstLine="464"/>
        <w:spacing w:after="0" w:line="256" w:lineRule="auto"/>
        <w:rPr>
          <w:sz w:val="20"/>
          <w:szCs w:val="20"/>
          <w:color w:val="auto"/>
        </w:rPr>
      </w:pPr>
      <w:r>
        <w:rPr>
          <w:rFonts w:ascii="Times New Roman" w:cs="Times New Roman" w:eastAsia="Times New Roman" w:hAnsi="Times New Roman"/>
          <w:sz w:val="18"/>
          <w:szCs w:val="18"/>
          <w:color w:val="auto"/>
        </w:rPr>
        <w:t>Noninterest expense of $56.5 million for the second quarter of 2024, was $2.5 million, or 4.59% higher than the second quarter of 2023. The $2.5 million increase in noninterest expense year-over-year included increased staff related expenses of $1.9 million, or 5.60%, including a 4.4% increase in salary expense. Marketing and promotion expense increased by $635,000 primarily due to $673,000 in higher donations in the second quarter of 2024 and software expense increased $633,000, or 19.09% year-over-year, as the Company invests in further process automation and technology that improves customer experiences. The second quarter of 2024 included $500,000 in recapture of provision for unfunded loan commitments, compared to $400,000 in provision for the second quarter of 2023.</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Six Months of 2024 Compared to Six Months of 2023</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Noninterest expense of $116.3 million for the first six months of 2024 was $7.4 million higher than the prior year period. Year-over-year increases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 $3.0 million increase in salaries and employee benefits primarily due to inflationary pressures on salary and benefits. The $1.6 million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in the FDIC accrual year-over-year was the result of the FDIC increasing its initial estimate of losses from last year’s bank failures. Marketing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 expense increased by $550,000 primarily due to $478,000 in higher donations in the first half of 2024. Year-over-year expense increases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$750,000 in higher data processing costs from new technology investments, a $400,000 increase in deferred compensation expense,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$790,000 increase in legal expense. The first six month of 2024 included $500,000 in recapture of provision for unfunded loan commitments,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 in provision for the same period of 2023. As a percentage of average assets, noninterest expense was 1.44% for the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compared to 1.34% for the same period of 2023. For the six months ended June 30, 2024, the efficiency ratio was 46.17%, compared to 40.17%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period of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right="120" w:firstLine="46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June 30, 2024 was 27.25%, compared to 28.20% for the three and six months ended June 30, 2023, respectively. Our estimated annual effective tax rate also varies depending upon the level of tax-advantaged income from municipal securities and BOLI, as well as available tax credits.</w:t>
      </w:r>
    </w:p>
    <w:p>
      <w:pPr>
        <w:spacing w:after="0" w:line="176"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1" w:right="39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29"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Total assets of $16.15 billion at June 30, 2024 increased by $130.5 million, or 0.81%, from total assets of $16.02 billion at December 31, 2023. Interest-earning assets of $14.55 billion at June 30, 2024 increased by $90.9 million, or 0.63%, when compared with $14.46 billion at December 31, 2023. The increase in interest-earning assets was primarily due to a $559.9 million increase in interest-earning balances due from the Federal Reserve, offset by a $245.1 million decrease in investment securities, and a $223.1 million decrease in total loans.</w:t>
      </w:r>
    </w:p>
    <w:p>
      <w:pPr>
        <w:spacing w:after="0" w:line="180"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8"/>
          <w:szCs w:val="18"/>
          <w:color w:val="auto"/>
        </w:rPr>
        <w:t>Total liabilities were $14.04 billion at June 30, 2024, an increase of $96.0 million, or 0.69%, from total liabilities of $13.94 billion at December 31, 2023. The increase of $356.7 million in total deposits at June 30, 2024 included the addition of $400 million in brokered time deposits. These brokered time deposits mature every 90 days, including $300 million of these deposits that were issued in connection with cash flow hedges during the first quarter of 2024. The result of these hedged time deposits is a weighted average fixed rate of approximately 4.2%. Borrowings decreased by $270.0 million from December 31, 2023. At June 30, 2024, total borrowings of $1.8 billion consisted of $1.3 billion from the Federal Reserve’s Bank Term Funding Program, at a cost of 4.76%, maturing in January of 2025, and $500 million of FHLB advances. The FHLB advances include maturities of $300 million, at an average cost of approximately 4.73%, maturing in May of 2026, and $200 million, at a cost of 4.27% maturing in May of 2027.</w:t>
      </w:r>
    </w:p>
    <w:p>
      <w:pPr>
        <w:spacing w:after="0" w:line="189"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Total equity increased $34.5 million to $2.11 billion at June 30, 2024, compared to total equity of $2.08 billion at December 31, 2023. Increases to equity included $98.6 million in net earnings, that were partially offset by $55.9 million in cash dividends and a $10.8 million decrease in other comprehensive income. We engaged in no stock repurchases during the first half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its ongoing operations. We continued to shrink our investment portfolio. At June 30, 2024, total investment securities were $5.18 billion. This represented a decrease of $245.1 million, or 4.52%, from $5.42 billion at December 31, 2023. The overall decrease in investment securities was primarily due to a $210.3 million decline in our AFS securities. At June 30, 2024, our AFS investment securities totaled $2.75 billion, inclusive of a pre-tax net unrealized loss of $487.9 million. The $38.1 million decrease in fair value of our AFS securities was partially offset by a $20.7 million increase in the fair value of our derivatives that hedge the change in value of our AFS portfolio. The after-tax unrealized loss reported in AOCI on our AFS investment securities at June 30, 2024 was $335.4 million. The changes in the net unrealized holding loss resulted primarily from fluctuations in market interest rates. At June 30, 2024, investment securities HTM totaled $2.43 billion. For the six months ended June 30, 2024 and 2023, repayments/maturities of investment securities totaled $258.4 million and $231.9 million, respectively. The Company purchased $33 million of short-term treasury notes in the second quarter of 2024 for pledging purposes. We also originated $11.5 million of Commercial Property Assessed Clean Energy ("C-PACE") bonds in the first half of 2024, which are included in our HTM securities portfolio. There were no purchases of investment securities during the six months ended June 30, 2023 as cashflows generated from the portfolio were not reinvested during the year. There were no investment securities sold during the second quarter of 2024 and 2023.</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ind w:left="48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2,682,003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(365,935 )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2,316,075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84.35 %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(119,899 )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370,491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13.49 %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(13,728 )</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3,247,428</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(501,666 )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2,745,796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522,678</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(105,876 )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416,802</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21.51 %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639,889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(111,532 )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26.34 %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793,753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(167,006 )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626,747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32.67 %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462,111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(40,858 )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19.02 %</w:t>
            </w:r>
          </w:p>
        </w:tc>
        <w:tc>
          <w:tcPr>
            <w:tcW w:w="0" w:type="dxa"/>
            <w:vAlign w:val="bottom"/>
          </w:tcPr>
          <w:p>
            <w:pPr>
              <w:spacing w:after="0"/>
              <w:rPr>
                <w:sz w:val="1"/>
                <w:szCs w:val="1"/>
                <w:color w:val="auto"/>
              </w:rPr>
            </w:pPr>
          </w:p>
        </w:tc>
      </w:tr>
      <w:tr>
        <w:trPr>
          <w:trHeight w:val="257"/>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 (2)</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6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2,429,886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(425,272 )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2,006,090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2,843,744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(336,107 )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2,507,679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84.83 %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502,234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(112,872 )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389,362</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(6,938 )</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3,398,942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530,656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21.53 %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663,090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(97,436 )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565,654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802,892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(156,155 )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646,737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32.58 %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467,972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(33,604 )</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437,806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18.99 %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(385,167 )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2,082,881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-5451475</wp:posOffset>
            </wp:positionV>
            <wp:extent cx="7132320" cy="15430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-5142865</wp:posOffset>
            </wp:positionV>
            <wp:extent cx="7132320" cy="15430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7132320" cy="15430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-3745230</wp:posOffset>
            </wp:positionV>
            <wp:extent cx="7132320" cy="15430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-4834255</wp:posOffset>
            </wp:positionV>
            <wp:extent cx="7132320" cy="2914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17970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5430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291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8"/>
          <w:szCs w:val="18"/>
          <w:color w:val="auto"/>
        </w:rPr>
        <w:t>As of June 30, 2024, approximately $29.0 million in U.S. government agency bonds are callable. The Agency CMO/REMIC securities are backed by agency-pooled collateral. Municipal bonds, which represented approximately 9% of the total investment portfolio, are predominately AA or higher rated securities.</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54" w:name="page55"/>
    <w:bookmarkEnd w:id="54"/>
    <w:p>
      <w:pPr>
        <w:ind w:right="2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AFS investment securities and HTM investment securities, by investment category, in an unrealized loss position for which an allowance for credit losses has not been recorded as of June 30, 2024 and December 31, 2023.</w:t>
      </w:r>
    </w:p>
    <w:p>
      <w:pPr>
        <w:spacing w:after="0" w:line="1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28,599</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2,314,832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(365,934 )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2,315,080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(365,935 )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(119,899 )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(119,899 )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(183 )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(1,902 )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23,550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(2,085 )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2,705,684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(487,735 )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2,737,720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(487,938 )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416,802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(105,876 )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416,802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(105,876 )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528,357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(111,532 )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528,357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(111,532 )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626,747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(167,006 )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626,747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(167,006 )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45,913</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(737 )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300,985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(40,121 )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346,898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(40,858 )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1,872,891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(424,535 )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1,918,804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(425,272 )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2,506,162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(336,107 )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2,506,210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(336,107 )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(112,872 )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(112,872 )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(888 )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2,913,626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(449,850 )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(449,867 )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(97,972 )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(97,436 )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(97,436 )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(156,155 )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(156,155 )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293,467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(33,404 )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314,076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(33,604 )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1,938,543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(384,967 )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(385,167 )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-4182745</wp:posOffset>
            </wp:positionV>
            <wp:extent cx="7683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-4182745</wp:posOffset>
            </wp:positionV>
            <wp:extent cx="7683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-4182745</wp:posOffset>
            </wp:positionV>
            <wp:extent cx="7747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-4182745</wp:posOffset>
            </wp:positionV>
            <wp:extent cx="6858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-4182745</wp:posOffset>
            </wp:positionV>
            <wp:extent cx="6858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-3274060</wp:posOffset>
            </wp:positionV>
            <wp:extent cx="768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-3274060</wp:posOffset>
            </wp:positionV>
            <wp:extent cx="7683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-3274060</wp:posOffset>
            </wp:positionV>
            <wp:extent cx="7747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-3274060</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-3274060</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-1233805</wp:posOffset>
            </wp:positionV>
            <wp:extent cx="7683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-1233805</wp:posOffset>
            </wp:positionV>
            <wp:extent cx="7683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-1233805</wp:posOffset>
            </wp:positionV>
            <wp:extent cx="7747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-1233805</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685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7747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June 30, 2024 and December 31, 2023.</w:t>
      </w:r>
    </w:p>
    <w:p>
      <w:pPr>
        <w:spacing w:after="0" w:line="160" w:lineRule="exact"/>
        <w:rPr>
          <w:sz w:val="20"/>
          <w:szCs w:val="20"/>
          <w:color w:val="auto"/>
        </w:rPr>
      </w:pPr>
    </w:p>
    <w:p>
      <w:pPr>
        <w:ind w:right="700" w:firstLine="374"/>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 on our investment securities portfolio.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ind w:right="160" w:firstLine="469"/>
        <w:spacing w:after="0" w:line="258" w:lineRule="auto"/>
        <w:rPr>
          <w:sz w:val="20"/>
          <w:szCs w:val="20"/>
          <w:color w:val="auto"/>
        </w:rPr>
      </w:pPr>
      <w:r>
        <w:rPr>
          <w:rFonts w:ascii="Times New Roman" w:cs="Times New Roman" w:eastAsia="Times New Roman" w:hAnsi="Times New Roman"/>
          <w:sz w:val="18"/>
          <w:szCs w:val="18"/>
          <w:color w:val="auto"/>
        </w:rPr>
        <w:t>Total loans and leases, at amortized cost, of $8.68 billion at June 30, 2024 decreased by $223.1 million, or 2.50%, from December 31, 2023. The decrease in total loans included decreases of $119.6 million in commercial real estate loans, $62.3 million in dairy &amp; livestock and agribusiness loans, $14.5 million in construction loans, and $13.7 million in commercial and industrial loans. The decline in dairy &amp; livestock loans primarily relates to the seasonal peak in line utilization at the end of every calendar year, demonstrated by a decline in utilization from 80% at the end of 2023 to 74% at June 30, 2024.</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loan portfolio by type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24"/>
        </w:trPr>
        <w:tc>
          <w:tcPr>
            <w:tcW w:w="3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20" w:type="dxa"/>
            <w:vAlign w:val="bottom"/>
            <w:gridSpan w:val="5"/>
          </w:tcPr>
          <w:p>
            <w:pPr>
              <w:jc w:val="right"/>
              <w:ind w:right="14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2"/>
        </w:trPr>
        <w:tc>
          <w:tcPr>
            <w:tcW w:w="39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6,664,925</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6,784,505</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3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267,938</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270,619</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956,184</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969,895</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350,562</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412,891</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3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70,889</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267,593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269,868</w:t>
            </w:r>
          </w:p>
        </w:tc>
        <w:tc>
          <w:tcPr>
            <w:tcW w:w="100" w:type="dxa"/>
            <w:vAlign w:val="bottom"/>
          </w:tcPr>
          <w:p>
            <w:pPr>
              <w:spacing w:after="0"/>
              <w:rPr>
                <w:sz w:val="20"/>
                <w:szCs w:val="20"/>
                <w:color w:val="auto"/>
              </w:rPr>
            </w:pPr>
          </w:p>
        </w:tc>
      </w:tr>
      <w:tr>
        <w:trPr>
          <w:trHeight w:val="247"/>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0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49,771</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8,681,846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(82,786 )</w:t>
            </w: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r>
      <w:tr>
        <w:trPr>
          <w:trHeight w:val="237"/>
        </w:trPr>
        <w:tc>
          <w:tcPr>
            <w:tcW w:w="3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30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8,599,060</w:t>
            </w:r>
          </w:p>
        </w:tc>
        <w:tc>
          <w:tcPr>
            <w:tcW w:w="3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-504825</wp:posOffset>
            </wp:positionV>
            <wp:extent cx="685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As of June 30, 2024, $480.1 million, or 7.20% of the total commercial real estate loans included loans secured by farmland, compared to $497.7 million, or 7.34%, at December 31, 2023. The loans secured by farmland included $120.0 million for loans secured by dairy &amp; livestock land and $360.1 million for loans secured by agricultural land at June 30, 2024, compared to $122.4 million for loans secured by dairy &amp; livestock land and $375.3 million for loans secured by agricultural land at December 31, 2023. As of June 30, 2024, dairy &amp; livestock and agribusiness loans of $350.6 million were comprised of $304.1 million of dairy &amp; livestock loans and $46.5 million of agribusiness loans, compared to $412.9 million comprised of $374.9 million of dairy &amp; livestock loans and $38.0 million of agribusiness loans December 31, 2023.</w:t>
      </w:r>
    </w:p>
    <w:p>
      <w:pPr>
        <w:spacing w:after="0" w:line="187"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83" w:lineRule="exact"/>
        <w:rPr>
          <w:sz w:val="20"/>
          <w:szCs w:val="20"/>
          <w:color w:val="auto"/>
        </w:rPr>
      </w:pPr>
    </w:p>
    <w:p>
      <w:pPr>
        <w:ind w:right="40" w:firstLine="469"/>
        <w:spacing w:after="0" w:line="272" w:lineRule="auto"/>
        <w:rPr>
          <w:sz w:val="20"/>
          <w:szCs w:val="20"/>
          <w:color w:val="auto"/>
        </w:rPr>
      </w:pPr>
      <w:r>
        <w:rPr>
          <w:rFonts w:ascii="Times New Roman" w:cs="Times New Roman" w:eastAsia="Times New Roman" w:hAnsi="Times New Roman"/>
          <w:sz w:val="17"/>
          <w:szCs w:val="17"/>
          <w:color w:val="auto"/>
        </w:rPr>
        <w:t>As of June 30, 2024, the Company had $200.1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June 30, 2024, the Company had $67.8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ind w:right="60" w:firstLine="469"/>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$52.2 million in construction loans. This represents 0.60% of total loans held-for-investment. Although our construction loans are located throughout our market footprint, the majority of construction loans consist of commercial land development and construction projects throughout California. There were no nonperforming construction loans at June 30, 2024.</w:t>
      </w:r>
    </w:p>
    <w:p>
      <w:pPr>
        <w:spacing w:after="0" w:line="176" w:lineRule="exact"/>
        <w:rPr>
          <w:sz w:val="20"/>
          <w:szCs w:val="20"/>
          <w:color w:val="auto"/>
        </w:rPr>
      </w:pPr>
    </w:p>
    <w:p>
      <w:pPr>
        <w:ind w:right="740" w:firstLine="469"/>
        <w:spacing w:after="0" w:line="282"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commercial real estate loans, by region as of June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0"/>
        </w:trPr>
        <w:tc>
          <w:tcPr>
            <w:tcW w:w="5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Commercial Real</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8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Estate Loans</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 Angeles County</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3,176,515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36.6 %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2,314,447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Valley and Sacramento</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2,067,741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23.8 %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1,635,072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Orange County</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1,140,295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13.1 %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679,431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Inland Empire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979,071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11.3 %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876,980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Coast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464,380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386,984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3.8 %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336,881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California</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 of State</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369,580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4.3 %</w:t>
            </w:r>
          </w:p>
        </w:tc>
        <w:tc>
          <w:tcPr>
            <w:tcW w:w="6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332,638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3"/>
        </w:trPr>
        <w:tc>
          <w:tcPr>
            <w:tcW w:w="50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0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8,681,846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100.0 %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6,664,925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54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breaks down our commercial real estate portfolio.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Owner-</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25"/>
        </w:trPr>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280" w:type="dxa"/>
            <w:vAlign w:val="bottom"/>
          </w:tcPr>
          <w:p>
            <w:pPr>
              <w:spacing w:after="0"/>
              <w:rPr>
                <w:sz w:val="19"/>
                <w:szCs w:val="19"/>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80" w:type="dxa"/>
            <w:vAlign w:val="bottom"/>
          </w:tcPr>
          <w:p>
            <w:pPr>
              <w:spacing w:after="0"/>
              <w:rPr>
                <w:sz w:val="19"/>
                <w:szCs w:val="19"/>
                <w:color w:val="auto"/>
              </w:rPr>
            </w:pPr>
          </w:p>
        </w:tc>
        <w:tc>
          <w:tcPr>
            <w:tcW w:w="120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3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100" w:type="dxa"/>
            <w:vAlign w:val="bottom"/>
          </w:tcPr>
          <w:p>
            <w:pPr>
              <w:spacing w:after="0"/>
              <w:rPr>
                <w:sz w:val="19"/>
                <w:szCs w:val="19"/>
                <w:color w:val="auto"/>
              </w:rPr>
            </w:pPr>
          </w:p>
        </w:tc>
      </w:tr>
      <w:tr>
        <w:trPr>
          <w:trHeight w:val="221"/>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3"/>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2,244,486</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33.7 %</w:t>
            </w: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2"/>
              </w:rPr>
              <w:t>49.0 %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19"/>
                <w:szCs w:val="19"/>
                <w:color w:val="auto"/>
              </w:rPr>
            </w:pPr>
          </w:p>
        </w:tc>
      </w:tr>
      <w:tr>
        <w:trPr>
          <w:trHeight w:val="239"/>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1,077,398</w:t>
            </w:r>
          </w:p>
        </w:tc>
        <w:tc>
          <w:tcPr>
            <w:tcW w:w="16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16.2 %</w:t>
            </w:r>
          </w:p>
        </w:tc>
        <w:tc>
          <w:tcPr>
            <w:tcW w:w="12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2"/>
              </w:rPr>
              <w:t>25.6 %</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shd w:val="clear" w:color="auto" w:fill="CFF0FC"/>
          </w:tcPr>
          <w:p>
            <w:pPr>
              <w:spacing w:after="0"/>
              <w:rPr>
                <w:sz w:val="20"/>
                <w:szCs w:val="20"/>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916,737</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13.8 %</w:t>
            </w: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2"/>
              </w:rPr>
              <w:t>11.2 %</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00" w:type="dxa"/>
            <w:vAlign w:val="bottom"/>
          </w:tcPr>
          <w:p>
            <w:pPr>
              <w:spacing w:after="0"/>
              <w:rPr>
                <w:sz w:val="19"/>
                <w:szCs w:val="19"/>
                <w:color w:val="auto"/>
              </w:rPr>
            </w:pPr>
          </w:p>
        </w:tc>
      </w:tr>
      <w:tr>
        <w:trPr>
          <w:trHeight w:val="239"/>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841,260</w:t>
            </w:r>
          </w:p>
        </w:tc>
        <w:tc>
          <w:tcPr>
            <w:tcW w:w="16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12.6 %</w:t>
            </w:r>
          </w:p>
        </w:tc>
        <w:tc>
          <w:tcPr>
            <w:tcW w:w="12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0.2 %</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FF0FC"/>
          </w:tcPr>
          <w:p>
            <w:pPr>
              <w:spacing w:after="0"/>
              <w:rPr>
                <w:sz w:val="20"/>
                <w:szCs w:val="20"/>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Secured by farmland (2)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480,079</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7.2 %</w:t>
            </w: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2"/>
              </w:rPr>
              <w:t>98.9 %</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9"/>
                <w:szCs w:val="19"/>
                <w:color w:val="auto"/>
              </w:rPr>
            </w:pPr>
          </w:p>
        </w:tc>
      </w:tr>
      <w:tr>
        <w:trPr>
          <w:trHeight w:val="239"/>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Medical</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302,409</w:t>
            </w:r>
          </w:p>
        </w:tc>
        <w:tc>
          <w:tcPr>
            <w:tcW w:w="16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4.5 %</w:t>
            </w:r>
          </w:p>
        </w:tc>
        <w:tc>
          <w:tcPr>
            <w:tcW w:w="12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2"/>
              </w:rPr>
              <w:t>32.9 %</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FF0FC"/>
          </w:tcPr>
          <w:p>
            <w:pPr>
              <w:spacing w:after="0"/>
              <w:rPr>
                <w:sz w:val="20"/>
                <w:szCs w:val="20"/>
                <w:color w:val="auto"/>
              </w:rPr>
            </w:pPr>
          </w:p>
        </w:tc>
      </w:tr>
      <w:tr>
        <w:trPr>
          <w:trHeight w:val="226"/>
        </w:trPr>
        <w:tc>
          <w:tcPr>
            <w:tcW w:w="4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802,556</w:t>
            </w:r>
          </w:p>
        </w:tc>
        <w:tc>
          <w:tcPr>
            <w:tcW w:w="2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12.0 %</w:t>
            </w: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2"/>
              </w:rPr>
              <w:t>42.5 %</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6,664,925</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100.0 %</w:t>
            </w:r>
          </w:p>
        </w:tc>
        <w:tc>
          <w:tcPr>
            <w:tcW w:w="12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2"/>
              </w:rPr>
              <w:t>35.9 %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shd w:val="clear" w:color="auto" w:fill="CFF0FC"/>
          </w:tcPr>
          <w:p>
            <w:pPr>
              <w:spacing w:after="0"/>
              <w:rPr>
                <w:sz w:val="21"/>
                <w:szCs w:val="2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768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1320" w:hanging="473"/>
        <w:spacing w:after="0"/>
        <w:tabs>
          <w:tab w:leader="none" w:pos="1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reported owner-occupied at origination in each real estate loan category.</w:t>
      </w:r>
    </w:p>
    <w:p>
      <w:pPr>
        <w:spacing w:after="0" w:line="3" w:lineRule="exact"/>
        <w:rPr>
          <w:rFonts w:ascii="Times New Roman" w:cs="Times New Roman" w:eastAsia="Times New Roman" w:hAnsi="Times New Roman"/>
          <w:sz w:val="14"/>
          <w:szCs w:val="14"/>
          <w:color w:val="auto"/>
        </w:rPr>
      </w:pPr>
    </w:p>
    <w:p>
      <w:pPr>
        <w:ind w:left="1320" w:right="300" w:hanging="470"/>
        <w:spacing w:after="0" w:line="221" w:lineRule="auto"/>
        <w:tabs>
          <w:tab w:leader="none" w:pos="1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secured by farmland included $120.0 million for loans secured by dairy &amp; livestock land and $360.1 million for loans secured by agricultural land at June 30, 2024.</w:t>
      </w:r>
    </w:p>
    <w:p>
      <w:pPr>
        <w:ind w:left="1320" w:hanging="470"/>
        <w:spacing w:after="0"/>
        <w:tabs>
          <w:tab w:leader="none" w:pos="1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loans consist of a variety of loan types, none of which exceeded 2.0% of total commercial real estate loans at June 30, 2024.</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09"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1"/>
        </w:trPr>
        <w:tc>
          <w:tcPr>
            <w:tcW w:w="7140" w:type="dxa"/>
            <w:vAlign w:val="bottom"/>
          </w:tcPr>
          <w:p>
            <w:pPr>
              <w:spacing w:after="0"/>
              <w:rPr>
                <w:sz w:val="19"/>
                <w:szCs w:val="19"/>
                <w:color w:val="auto"/>
              </w:rPr>
            </w:pPr>
          </w:p>
        </w:tc>
        <w:tc>
          <w:tcPr>
            <w:tcW w:w="1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142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24,957</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1420" w:type="dxa"/>
            <w:vAlign w:val="bottom"/>
          </w:tcPr>
          <w:p>
            <w:pPr>
              <w:spacing w:after="0"/>
              <w:rPr>
                <w:sz w:val="18"/>
                <w:szCs w:val="18"/>
                <w:color w:val="auto"/>
              </w:rPr>
            </w:pPr>
          </w:p>
        </w:tc>
        <w:tc>
          <w:tcPr>
            <w:tcW w:w="740" w:type="dxa"/>
            <w:vAlign w:val="bottom"/>
            <w:gridSpan w:val="2"/>
          </w:tcPr>
          <w:p>
            <w:pPr>
              <w:jc w:val="right"/>
              <w:ind w:right="22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Nonperforming modified loans to borrowers experiencing financial difficulty</w:t>
            </w:r>
          </w:p>
        </w:tc>
        <w:tc>
          <w:tcPr>
            <w:tcW w:w="14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2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09"/>
        </w:trPr>
        <w:tc>
          <w:tcPr>
            <w:tcW w:w="7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1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24,957</w:t>
            </w:r>
          </w:p>
        </w:tc>
        <w:tc>
          <w:tcPr>
            <w:tcW w:w="28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OREO, net</w:t>
            </w:r>
          </w:p>
        </w:tc>
        <w:tc>
          <w:tcPr>
            <w:tcW w:w="14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6"/>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1420" w:type="dxa"/>
            <w:vAlign w:val="bottom"/>
            <w:tcBorders>
              <w:top w:val="single" w:sz="8" w:color="auto"/>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25,604</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Modified loans to borrowers experiencing financial difficulty</w:t>
            </w:r>
          </w:p>
        </w:tc>
        <w:tc>
          <w:tcPr>
            <w:tcW w:w="1420" w:type="dxa"/>
            <w:vAlign w:val="bottom"/>
            <w:tcBorders>
              <w:bottom w:val="single" w:sz="8" w:color="auto"/>
            </w:tcBorders>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26,363</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modified loans to borrowers</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experiencing financial difficulty</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51,320</w:t>
            </w:r>
          </w:p>
        </w:tc>
        <w:tc>
          <w:tcPr>
            <w:tcW w:w="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5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loans and performing modified loans to</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borrowers experiencing financial difficulty to total loans, at amortized cost</w:t>
            </w:r>
          </w:p>
        </w:tc>
        <w:tc>
          <w:tcPr>
            <w:tcW w:w="1420" w:type="dxa"/>
            <w:vAlign w:val="bottom"/>
          </w:tcPr>
          <w:p>
            <w:pPr>
              <w:spacing w:after="0"/>
              <w:rPr>
                <w:sz w:val="18"/>
                <w:szCs w:val="18"/>
                <w:color w:val="auto"/>
              </w:rPr>
            </w:pPr>
          </w:p>
        </w:tc>
        <w:tc>
          <w:tcPr>
            <w:tcW w:w="74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0.59 %</w:t>
            </w:r>
          </w:p>
        </w:tc>
        <w:tc>
          <w:tcPr>
            <w:tcW w:w="9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0.35 %</w:t>
            </w:r>
          </w:p>
        </w:tc>
      </w:tr>
      <w:tr>
        <w:trPr>
          <w:trHeight w:val="45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 at amortized cost,</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OREO</w:t>
            </w:r>
          </w:p>
        </w:tc>
        <w:tc>
          <w:tcPr>
            <w:tcW w:w="1420" w:type="dxa"/>
            <w:vAlign w:val="bottom"/>
          </w:tcPr>
          <w:p>
            <w:pPr>
              <w:spacing w:after="0"/>
              <w:rPr>
                <w:sz w:val="18"/>
                <w:szCs w:val="18"/>
                <w:color w:val="auto"/>
              </w:rPr>
            </w:pPr>
          </w:p>
        </w:tc>
        <w:tc>
          <w:tcPr>
            <w:tcW w:w="74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0.29 %</w:t>
            </w:r>
          </w:p>
        </w:tc>
        <w:tc>
          <w:tcPr>
            <w:tcW w:w="9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0.24 %</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1420" w:type="dxa"/>
            <w:vAlign w:val="bottom"/>
          </w:tcPr>
          <w:p>
            <w:pPr>
              <w:spacing w:after="0"/>
              <w:rPr>
                <w:sz w:val="19"/>
                <w:szCs w:val="19"/>
                <w:color w:val="auto"/>
              </w:rPr>
            </w:pPr>
          </w:p>
        </w:tc>
        <w:tc>
          <w:tcPr>
            <w:tcW w:w="74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0.16 %</w:t>
            </w:r>
          </w:p>
        </w:tc>
        <w:tc>
          <w:tcPr>
            <w:tcW w:w="9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-827405</wp:posOffset>
            </wp:positionV>
            <wp:extent cx="7132320" cy="2743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-2044700</wp:posOffset>
            </wp:positionV>
            <wp:extent cx="6858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-2044700</wp:posOffset>
            </wp:positionV>
            <wp:extent cx="6858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-1744345</wp:posOffset>
            </wp:positionV>
            <wp:extent cx="6858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-1744345</wp:posOffset>
            </wp:positionV>
            <wp:extent cx="685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-1418590</wp:posOffset>
            </wp:positionV>
            <wp:extent cx="685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-1401445</wp:posOffset>
            </wp:positionV>
            <wp:extent cx="68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-1418590</wp:posOffset>
            </wp:positionV>
            <wp:extent cx="6858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-1401445</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89"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 (“ASU”) 2022-02,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76" w:lineRule="exact"/>
        <w:rPr>
          <w:sz w:val="20"/>
          <w:szCs w:val="20"/>
          <w:color w:val="auto"/>
        </w:rPr>
      </w:pPr>
    </w:p>
    <w:p>
      <w:pPr>
        <w:ind w:right="240" w:firstLine="469"/>
        <w:spacing w:after="0" w:line="266" w:lineRule="auto"/>
        <w:rPr>
          <w:sz w:val="20"/>
          <w:szCs w:val="20"/>
          <w:color w:val="auto"/>
        </w:rPr>
      </w:pPr>
      <w:r>
        <w:rPr>
          <w:rFonts w:ascii="Times New Roman" w:cs="Times New Roman" w:eastAsia="Times New Roman" w:hAnsi="Times New Roman"/>
          <w:sz w:val="18"/>
          <w:szCs w:val="18"/>
          <w:color w:val="auto"/>
        </w:rPr>
        <w:t>There were eight loans to borrowers experiencing financial difficulty that were modified during the six months ended June 30, 2024 with an amortized cost totaling $16.9 million at June 30, 2024, including one commercial real estate loan of $8.8 million, two dairy &amp; livestock and agribusiness loans of $6.0 million, and five commercial and industrial loans totaling $2.1 million.</w:t>
      </w:r>
    </w:p>
    <w:p>
      <w:pPr>
        <w:spacing w:after="0" w:line="176" w:lineRule="exact"/>
        <w:rPr>
          <w:sz w:val="20"/>
          <w:szCs w:val="20"/>
          <w:color w:val="auto"/>
        </w:rPr>
      </w:pPr>
    </w:p>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The table below reflects the amortized cost of loans by type made to borrowers experiencing financial difficulty that were modified as of June 30, 2024 and June 30,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Combination-Term Extension and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280" w:type="dxa"/>
            <w:vAlign w:val="bottom"/>
          </w:tcPr>
          <w:p>
            <w:pPr>
              <w:spacing w:after="0"/>
              <w:rPr>
                <w:sz w:val="21"/>
                <w:szCs w:val="21"/>
                <w:color w:val="auto"/>
              </w:rPr>
            </w:pPr>
          </w:p>
        </w:tc>
        <w:tc>
          <w:tcPr>
            <w:tcW w:w="28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300" w:type="dxa"/>
            <w:vAlign w:val="bottom"/>
          </w:tcPr>
          <w:p>
            <w:pPr>
              <w:spacing w:after="0"/>
              <w:rPr>
                <w:sz w:val="21"/>
                <w:szCs w:val="21"/>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80" w:type="dxa"/>
            <w:vAlign w:val="bottom"/>
          </w:tcPr>
          <w:p>
            <w:pPr>
              <w:spacing w:after="0"/>
              <w:rPr>
                <w:sz w:val="21"/>
                <w:szCs w:val="21"/>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8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30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0.13 %</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0.12 %</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0.02 %</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0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3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ind w:right="46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loan modifications made to borrowers experiencing financial difficulty during the three months ended June 30, 2024 and June 30,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7960" w:type="dxa"/>
            <w:vAlign w:val="bottom"/>
            <w:tcBorders>
              <w:bottom w:val="single" w:sz="8" w:color="auto"/>
            </w:tcBorders>
            <w:gridSpan w:val="3"/>
          </w:tcPr>
          <w:p>
            <w:pPr>
              <w:ind w:left="338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450"/>
        </w:trPr>
        <w:tc>
          <w:tcPr>
            <w:tcW w:w="3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Combination-Term Extension and</w:t>
            </w:r>
          </w:p>
        </w:tc>
      </w:tr>
      <w:tr>
        <w:trPr>
          <w:trHeight w:val="245"/>
        </w:trPr>
        <w:tc>
          <w:tcPr>
            <w:tcW w:w="3280" w:type="dxa"/>
            <w:vAlign w:val="bottom"/>
          </w:tcPr>
          <w:p>
            <w:pPr>
              <w:spacing w:after="0"/>
              <w:rPr>
                <w:sz w:val="21"/>
                <w:szCs w:val="21"/>
                <w:color w:val="auto"/>
              </w:rPr>
            </w:pPr>
          </w:p>
        </w:tc>
        <w:tc>
          <w:tcPr>
            <w:tcW w:w="38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300" w:type="dxa"/>
            <w:vAlign w:val="bottom"/>
          </w:tcPr>
          <w:p>
            <w:pPr>
              <w:spacing w:after="0"/>
              <w:rPr>
                <w:sz w:val="21"/>
                <w:szCs w:val="21"/>
                <w:color w:val="auto"/>
              </w:rPr>
            </w:pPr>
          </w:p>
        </w:tc>
        <w:tc>
          <w:tcPr>
            <w:tcW w:w="38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1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1.1 years to the life of</w:t>
            </w:r>
          </w:p>
        </w:tc>
        <w:tc>
          <w:tcPr>
            <w:tcW w:w="300" w:type="dxa"/>
            <w:vAlign w:val="bottom"/>
            <w:shd w:val="clear" w:color="auto" w:fill="CFF0FC"/>
          </w:tcPr>
          <w:p>
            <w:pPr>
              <w:spacing w:after="0"/>
              <w:rPr>
                <w:sz w:val="18"/>
                <w:szCs w:val="18"/>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7.6 years to the life of</w:t>
            </w:r>
          </w:p>
        </w:tc>
      </w:tr>
      <w:tr>
        <w:trPr>
          <w:trHeight w:val="216"/>
        </w:trPr>
        <w:tc>
          <w:tcPr>
            <w:tcW w:w="3280" w:type="dxa"/>
            <w:vAlign w:val="bottom"/>
            <w:shd w:val="clear" w:color="auto" w:fill="CFF0FC"/>
          </w:tcPr>
          <w:p>
            <w:pPr>
              <w:spacing w:after="0"/>
              <w:rPr>
                <w:sz w:val="18"/>
                <w:szCs w:val="18"/>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00" w:type="dxa"/>
            <w:vAlign w:val="bottom"/>
            <w:shd w:val="clear" w:color="auto" w:fill="CFF0FC"/>
          </w:tcPr>
          <w:p>
            <w:pPr>
              <w:spacing w:after="0"/>
              <w:rPr>
                <w:sz w:val="18"/>
                <w:szCs w:val="18"/>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r>
      <w:tr>
        <w:trPr>
          <w:trHeight w:val="216"/>
        </w:trPr>
        <w:tc>
          <w:tcPr>
            <w:tcW w:w="3280" w:type="dxa"/>
            <w:vAlign w:val="bottom"/>
            <w:shd w:val="clear" w:color="auto" w:fill="CFF0FC"/>
          </w:tcPr>
          <w:p>
            <w:pPr>
              <w:spacing w:after="0"/>
              <w:rPr>
                <w:sz w:val="18"/>
                <w:szCs w:val="18"/>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borrowers.</w:t>
            </w:r>
          </w:p>
        </w:tc>
        <w:tc>
          <w:tcPr>
            <w:tcW w:w="300" w:type="dxa"/>
            <w:vAlign w:val="bottom"/>
            <w:shd w:val="clear" w:color="auto" w:fill="CFF0FC"/>
          </w:tcPr>
          <w:p>
            <w:pPr>
              <w:spacing w:after="0"/>
              <w:rPr>
                <w:sz w:val="18"/>
                <w:szCs w:val="18"/>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borrowers; reduced weighted-average</w:t>
            </w:r>
          </w:p>
        </w:tc>
      </w:tr>
      <w:tr>
        <w:trPr>
          <w:trHeight w:val="248"/>
        </w:trPr>
        <w:tc>
          <w:tcPr>
            <w:tcW w:w="3280" w:type="dxa"/>
            <w:vAlign w:val="bottom"/>
            <w:shd w:val="clear" w:color="auto" w:fill="CFF0FC"/>
          </w:tcPr>
          <w:p>
            <w:pPr>
              <w:spacing w:after="0"/>
              <w:rPr>
                <w:sz w:val="21"/>
                <w:szCs w:val="21"/>
                <w:color w:val="auto"/>
              </w:rPr>
            </w:pPr>
          </w:p>
        </w:tc>
        <w:tc>
          <w:tcPr>
            <w:tcW w:w="3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rate from 10% to 7.25%.</w:t>
            </w:r>
          </w:p>
        </w:tc>
      </w:tr>
    </w:tbl>
    <w:p>
      <w:pPr>
        <w:spacing w:after="0" w:line="1" w:lineRule="exact"/>
        <w:rPr>
          <w:sz w:val="20"/>
          <w:szCs w:val="20"/>
          <w:color w:val="auto"/>
        </w:rPr>
      </w:pPr>
    </w:p>
    <w:p>
      <w:pPr>
        <w:sectPr>
          <w:pgSz w:w="11900" w:h="16838" w:orient="portrait"/>
          <w:cols w:equalWidth="0" w:num="1">
            <w:col w:w="11240"/>
          </w:cols>
          <w:pgMar w:left="320" w:top="1309" w:right="339" w:bottom="1440" w:gutter="0" w:footer="0" w:header="0"/>
        </w:sectPr>
      </w:pPr>
    </w:p>
    <w:p>
      <w:pPr>
        <w:ind w:left="20"/>
        <w:spacing w:after="0"/>
        <w:tabs>
          <w:tab w:leader="none" w:pos="3280" w:val="left"/>
        </w:tabs>
        <w:rPr>
          <w:sz w:val="20"/>
          <w:szCs w:val="20"/>
          <w:color w:val="auto"/>
        </w:rPr>
      </w:pPr>
      <w:r>
        <w:rPr>
          <w:rFonts w:ascii="Times New Roman" w:cs="Times New Roman" w:eastAsia="Times New Roman" w:hAnsi="Times New Roman"/>
          <w:sz w:val="18"/>
          <w:szCs w:val="18"/>
          <w:color w:val="auto"/>
        </w:rPr>
        <w:t>Commercial and industrial</w:t>
      </w:r>
      <w:r>
        <w:rPr>
          <w:sz w:val="20"/>
          <w:szCs w:val="20"/>
          <w:color w:val="auto"/>
        </w:rPr>
        <w:tab/>
      </w:r>
      <w:r>
        <w:rPr>
          <w:rFonts w:ascii="Times New Roman" w:cs="Times New Roman" w:eastAsia="Times New Roman" w:hAnsi="Times New Roman"/>
          <w:sz w:val="18"/>
          <w:szCs w:val="18"/>
          <w:color w:val="auto"/>
        </w:rPr>
        <w:t>Added a weighted-average 1.2 years to the life of</w:t>
      </w:r>
    </w:p>
    <w:p>
      <w:pPr>
        <w:spacing w:after="0" w:line="23" w:lineRule="exact"/>
        <w:rPr>
          <w:sz w:val="20"/>
          <w:szCs w:val="20"/>
          <w:color w:val="auto"/>
        </w:rPr>
      </w:pPr>
    </w:p>
    <w:p>
      <w:pPr>
        <w:ind w:left="3300"/>
        <w:spacing w:after="0" w:line="260" w:lineRule="auto"/>
        <w:rPr>
          <w:sz w:val="20"/>
          <w:szCs w:val="20"/>
          <w:color w:val="auto"/>
        </w:rPr>
      </w:pPr>
      <w:r>
        <w:rPr>
          <w:rFonts w:ascii="Times New Roman" w:cs="Times New Roman" w:eastAsia="Times New Roman" w:hAnsi="Times New Roman"/>
          <w:sz w:val="18"/>
          <w:szCs w:val="18"/>
          <w:color w:val="auto"/>
        </w:rPr>
        <w:t>loans, which reduced monthly payment amounts for the borrowers.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Times New Roman" w:cs="Times New Roman" w:eastAsia="Times New Roman" w:hAnsi="Times New Roman"/>
          <w:sz w:val="18"/>
          <w:szCs w:val="18"/>
          <w:color w:val="auto"/>
        </w:rPr>
        <w:t>Added a weighted-average 2.0 years to the life of loans, which reduced monthly payment amounts for the borrowers; reduced weighted-average contractual interest rate from 8.75% to 7.75%.</w:t>
      </w:r>
    </w:p>
    <w:p>
      <w:pPr>
        <w:spacing w:after="0" w:line="2" w:lineRule="exact"/>
        <w:rPr>
          <w:sz w:val="20"/>
          <w:szCs w:val="20"/>
          <w:color w:val="auto"/>
        </w:rPr>
      </w:pPr>
    </w:p>
    <w:p>
      <w:pPr>
        <w:sectPr>
          <w:pgSz w:w="11900" w:h="16838" w:orient="portrait"/>
          <w:cols w:equalWidth="0" w:num="2">
            <w:col w:w="7040" w:space="400"/>
            <w:col w:w="3800"/>
          </w:cols>
          <w:pgMar w:left="320" w:top="130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Added a weighted-average 1.1 years to the life of</w:t>
            </w:r>
          </w:p>
        </w:tc>
        <w:tc>
          <w:tcPr>
            <w:tcW w:w="3100" w:type="dxa"/>
            <w:vAlign w:val="bottom"/>
            <w:shd w:val="clear" w:color="auto" w:fill="CFF0FC"/>
          </w:tcPr>
          <w:p>
            <w:pPr>
              <w:spacing w:after="0"/>
              <w:rPr>
                <w:sz w:val="17"/>
                <w:szCs w:val="17"/>
                <w:color w:val="auto"/>
              </w:rPr>
            </w:pPr>
          </w:p>
        </w:tc>
      </w:tr>
      <w:tr>
        <w:trPr>
          <w:trHeight w:val="216"/>
        </w:trPr>
        <w:tc>
          <w:tcPr>
            <w:tcW w:w="2920" w:type="dxa"/>
            <w:vAlign w:val="bottom"/>
            <w:shd w:val="clear" w:color="auto" w:fill="CFF0FC"/>
          </w:tcPr>
          <w:p>
            <w:pPr>
              <w:spacing w:after="0"/>
              <w:rPr>
                <w:sz w:val="18"/>
                <w:szCs w:val="18"/>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20" w:type="dxa"/>
            <w:vAlign w:val="bottom"/>
            <w:shd w:val="clear" w:color="auto" w:fill="CFF0FC"/>
          </w:tcPr>
          <w:p>
            <w:pPr>
              <w:spacing w:after="0"/>
              <w:rPr>
                <w:sz w:val="21"/>
                <w:szCs w:val="21"/>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shd w:val="clear" w:color="auto" w:fill="CFF0FC"/>
          </w:tcPr>
          <w:p>
            <w:pPr>
              <w:spacing w:after="0"/>
              <w:rPr>
                <w:sz w:val="21"/>
                <w:szCs w:val="21"/>
                <w:color w:val="auto"/>
              </w:rPr>
            </w:pPr>
          </w:p>
        </w:tc>
      </w:tr>
      <w:tr>
        <w:trPr>
          <w:trHeight w:val="722"/>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52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1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Added a weighted-average 1.1 years to the life of</w:t>
            </w:r>
          </w:p>
        </w:tc>
        <w:tc>
          <w:tcPr>
            <w:tcW w:w="3100" w:type="dxa"/>
            <w:vAlign w:val="bottom"/>
            <w:shd w:val="clear" w:color="auto" w:fill="CFF0FC"/>
          </w:tcPr>
          <w:p>
            <w:pPr>
              <w:spacing w:after="0"/>
              <w:rPr>
                <w:sz w:val="18"/>
                <w:szCs w:val="18"/>
                <w:color w:val="auto"/>
              </w:rPr>
            </w:pPr>
          </w:p>
        </w:tc>
      </w:tr>
      <w:tr>
        <w:trPr>
          <w:trHeight w:val="216"/>
        </w:trPr>
        <w:tc>
          <w:tcPr>
            <w:tcW w:w="2920" w:type="dxa"/>
            <w:vAlign w:val="bottom"/>
            <w:shd w:val="clear" w:color="auto" w:fill="CFF0FC"/>
          </w:tcPr>
          <w:p>
            <w:pPr>
              <w:spacing w:after="0"/>
              <w:rPr>
                <w:sz w:val="18"/>
                <w:szCs w:val="18"/>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20" w:type="dxa"/>
            <w:vAlign w:val="bottom"/>
            <w:shd w:val="clear" w:color="auto" w:fill="CFF0FC"/>
          </w:tcPr>
          <w:p>
            <w:pPr>
              <w:spacing w:after="0"/>
              <w:rPr>
                <w:sz w:val="21"/>
                <w:szCs w:val="21"/>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shd w:val="clear" w:color="auto" w:fill="CFF0FC"/>
          </w:tcPr>
          <w:p>
            <w:pPr>
              <w:spacing w:after="0"/>
              <w:rPr>
                <w:sz w:val="21"/>
                <w:szCs w:val="21"/>
                <w:color w:val="auto"/>
              </w:rPr>
            </w:pPr>
          </w:p>
        </w:tc>
      </w:tr>
      <w:tr>
        <w:trPr>
          <w:trHeight w:val="211"/>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Added a weighted-average 0.8 years to the life of</w:t>
            </w:r>
          </w:p>
        </w:tc>
        <w:tc>
          <w:tcPr>
            <w:tcW w:w="31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920" w:type="dxa"/>
            <w:vAlign w:val="bottom"/>
          </w:tcPr>
          <w:p>
            <w:pPr>
              <w:spacing w:after="0"/>
              <w:rPr>
                <w:sz w:val="20"/>
                <w:szCs w:val="20"/>
                <w:color w:val="auto"/>
              </w:rPr>
            </w:pPr>
          </w:p>
        </w:tc>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tcPr>
          <w:p>
            <w:pPr>
              <w:spacing w:after="0"/>
              <w:rPr>
                <w:sz w:val="20"/>
                <w:szCs w:val="20"/>
                <w:color w:val="auto"/>
              </w:rPr>
            </w:pPr>
          </w:p>
        </w:tc>
      </w:tr>
      <w:tr>
        <w:trPr>
          <w:trHeight w:val="21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Added a weighted-average 1.4 years to the life of</w:t>
            </w:r>
          </w:p>
        </w:tc>
        <w:tc>
          <w:tcPr>
            <w:tcW w:w="3100" w:type="dxa"/>
            <w:vAlign w:val="bottom"/>
            <w:shd w:val="clear" w:color="auto" w:fill="CFF0FC"/>
          </w:tcPr>
          <w:p>
            <w:pPr>
              <w:spacing w:after="0"/>
              <w:rPr>
                <w:sz w:val="18"/>
                <w:szCs w:val="18"/>
                <w:color w:val="auto"/>
              </w:rPr>
            </w:pPr>
          </w:p>
        </w:tc>
      </w:tr>
      <w:tr>
        <w:trPr>
          <w:trHeight w:val="216"/>
        </w:trPr>
        <w:tc>
          <w:tcPr>
            <w:tcW w:w="2920" w:type="dxa"/>
            <w:vAlign w:val="bottom"/>
            <w:shd w:val="clear" w:color="auto" w:fill="CFF0FC"/>
          </w:tcPr>
          <w:p>
            <w:pPr>
              <w:spacing w:after="0"/>
              <w:rPr>
                <w:sz w:val="18"/>
                <w:szCs w:val="18"/>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which reduced monthly payment amounts for</w:t>
            </w:r>
          </w:p>
        </w:tc>
        <w:tc>
          <w:tcPr>
            <w:tcW w:w="31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20" w:type="dxa"/>
            <w:vAlign w:val="bottom"/>
            <w:shd w:val="clear" w:color="auto" w:fill="CFF0FC"/>
          </w:tcPr>
          <w:p>
            <w:pPr>
              <w:spacing w:after="0"/>
              <w:rPr>
                <w:sz w:val="21"/>
                <w:szCs w:val="21"/>
                <w:color w:val="auto"/>
              </w:rPr>
            </w:pPr>
          </w:p>
        </w:tc>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the borrowers.</w:t>
            </w:r>
          </w:p>
        </w:tc>
        <w:tc>
          <w:tcPr>
            <w:tcW w:w="3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100" w:firstLine="464"/>
        <w:spacing w:after="0" w:line="266" w:lineRule="auto"/>
        <w:rPr>
          <w:sz w:val="20"/>
          <w:szCs w:val="20"/>
          <w:color w:val="auto"/>
        </w:rPr>
      </w:pPr>
      <w:r>
        <w:rPr>
          <w:rFonts w:ascii="Times New Roman" w:cs="Times New Roman" w:eastAsia="Times New Roman" w:hAnsi="Times New Roman"/>
          <w:sz w:val="18"/>
          <w:szCs w:val="18"/>
          <w:color w:val="auto"/>
        </w:rPr>
        <w:t>As of June 30, 2024 and June 30, 2023, the Company did not have any loans made to borrowers experiencing financial difficulty that were modified during the second quarter of 2024 and 2023 that subsequently defaulted. Payment default is defined as movement to nonaccrual (nonperforming) status, foreclosure or charge-off, whichever occurs first.</w:t>
      </w:r>
    </w:p>
    <w:p>
      <w:pPr>
        <w:spacing w:after="0" w:line="176"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360" w:type="dxa"/>
            <w:vAlign w:val="bottom"/>
          </w:tcPr>
          <w:p>
            <w:pPr>
              <w:spacing w:after="0"/>
              <w:rPr>
                <w:sz w:val="18"/>
                <w:szCs w:val="18"/>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8"/>
                <w:szCs w:val="18"/>
                <w:color w:val="auto"/>
              </w:rPr>
            </w:pPr>
          </w:p>
        </w:tc>
      </w:tr>
      <w:tr>
        <w:trPr>
          <w:trHeight w:val="245"/>
        </w:trPr>
        <w:tc>
          <w:tcPr>
            <w:tcW w:w="4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360" w:type="dxa"/>
            <w:vAlign w:val="bottom"/>
          </w:tcPr>
          <w:p>
            <w:pPr>
              <w:spacing w:after="0"/>
              <w:rPr>
                <w:sz w:val="21"/>
                <w:szCs w:val="21"/>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40"/>
        </w:trPr>
        <w:tc>
          <w:tcPr>
            <w:tcW w:w="42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5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6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7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8"/>
          <w:szCs w:val="18"/>
          <w:color w:val="auto"/>
        </w:rPr>
        <w:t>At June 30, 2024 and December 31, 2023,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w w:val="97"/>
              </w:rPr>
              <w:t>(Dollars in thousands)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Nonperforming loans: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CFF0FC"/>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3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21,908</w:t>
            </w:r>
          </w:p>
        </w:tc>
        <w:tc>
          <w:tcPr>
            <w:tcW w:w="28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220" w:type="dxa"/>
            <w:vAlign w:val="bottom"/>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15,440</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c>
          <w:tcPr>
            <w:tcW w:w="3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2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Borders>
              <w:left w:val="single" w:sz="8" w:color="CFF0FC"/>
              <w:bottom w:val="single" w:sz="8" w:color="CFF0FC"/>
            </w:tcBorders>
            <w:gridSpan w:val="4"/>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24,957</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13,810</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21,302</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9,963</w:t>
            </w:r>
          </w:p>
        </w:tc>
        <w:tc>
          <w:tcPr>
            <w:tcW w:w="3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6,454</w:t>
            </w: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22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0.29 %</w:t>
            </w:r>
          </w:p>
        </w:tc>
        <w:tc>
          <w:tcPr>
            <w:tcW w:w="2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0.16 %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0.24 %</w:t>
            </w:r>
          </w:p>
        </w:tc>
        <w:tc>
          <w:tcPr>
            <w:tcW w:w="120" w:type="dxa"/>
            <w:vAlign w:val="bottom"/>
          </w:tcPr>
          <w:p>
            <w:pPr>
              <w:spacing w:after="0"/>
              <w:rPr>
                <w:sz w:val="15"/>
                <w:szCs w:val="15"/>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0.11 %</w:t>
            </w:r>
          </w:p>
        </w:tc>
        <w:tc>
          <w:tcPr>
            <w:tcW w:w="2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0.07 %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Past due 30-89 days: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CFF0FC"/>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3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220" w:type="dxa"/>
            <w:vAlign w:val="bottom"/>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3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2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Borders>
              <w:left w:val="single" w:sz="8" w:color="CFF0FC"/>
              <w:bottom w:val="single" w:sz="8" w:color="CFF0FC"/>
            </w:tcBorders>
            <w:gridSpan w:val="4"/>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20,195</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1,087</w:t>
            </w: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22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0.00 %</w:t>
            </w:r>
          </w:p>
        </w:tc>
        <w:tc>
          <w:tcPr>
            <w:tcW w:w="2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0.23 %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0.01 %</w:t>
            </w:r>
          </w:p>
        </w:tc>
        <w:tc>
          <w:tcPr>
            <w:tcW w:w="120" w:type="dxa"/>
            <w:vAlign w:val="bottom"/>
          </w:tcPr>
          <w:p>
            <w:pPr>
              <w:spacing w:after="0"/>
              <w:rPr>
                <w:sz w:val="15"/>
                <w:szCs w:val="15"/>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0.00 %</w:t>
            </w:r>
          </w:p>
        </w:tc>
        <w:tc>
          <w:tcPr>
            <w:tcW w:w="2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0.01 %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Borders>
              <w:left w:val="single" w:sz="8" w:color="CFF0FC"/>
              <w:bottom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OREO:</w:t>
            </w:r>
          </w:p>
        </w:tc>
        <w:tc>
          <w:tcPr>
            <w:tcW w:w="3220" w:type="dxa"/>
            <w:vAlign w:val="bottom"/>
            <w:tcBorders>
              <w:bottom w:val="single" w:sz="8" w:color="CFF0FC"/>
            </w:tcBorders>
            <w:gridSpan w:val="3"/>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jc w:val="right"/>
              <w:ind w:right="68"/>
              <w:spacing w:after="0"/>
              <w:rPr>
                <w:sz w:val="20"/>
                <w:szCs w:val="20"/>
                <w:color w:val="auto"/>
              </w:rPr>
            </w:pPr>
            <w:r>
              <w:rPr>
                <w:rFonts w:ascii="Calibri" w:cs="Calibri" w:eastAsia="Calibri" w:hAnsi="Calibri"/>
                <w:sz w:val="14"/>
                <w:szCs w:val="14"/>
                <w:color w:val="auto"/>
                <w:w w:val="83"/>
              </w:rPr>
              <w:t>$</w:t>
            </w:r>
          </w:p>
        </w:tc>
        <w:tc>
          <w:tcPr>
            <w:tcW w:w="1300" w:type="dxa"/>
            <w:vAlign w:val="bottom"/>
            <w:gridSpan w:val="2"/>
          </w:tcPr>
          <w:p>
            <w:pPr>
              <w:jc w:val="right"/>
              <w:ind w:right="300"/>
              <w:spacing w:after="0"/>
              <w:rPr>
                <w:sz w:val="20"/>
                <w:szCs w:val="20"/>
                <w:color w:val="auto"/>
              </w:rPr>
            </w:pPr>
            <w:r>
              <w:rPr>
                <w:rFonts w:ascii="Calibri" w:cs="Calibri" w:eastAsia="Calibri" w:hAnsi="Calibri"/>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72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CFF0FC"/>
              <w:bottom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647</w:t>
            </w:r>
          </w:p>
        </w:tc>
        <w:tc>
          <w:tcPr>
            <w:tcW w:w="2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0" w:type="dxa"/>
            <w:vAlign w:val="bottom"/>
            <w:tcBorders>
              <w:left w:val="single" w:sz="8" w:color="CFF0FC"/>
            </w:tcBorders>
            <w:shd w:val="clear" w:color="auto" w:fill="CFF0FC"/>
          </w:tcPr>
          <w:p>
            <w:pPr>
              <w:spacing w:after="0"/>
              <w:rPr>
                <w:sz w:val="11"/>
                <w:szCs w:val="11"/>
                <w:color w:val="auto"/>
              </w:rPr>
            </w:pPr>
          </w:p>
        </w:tc>
        <w:tc>
          <w:tcPr>
            <w:tcW w:w="322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 nonperforming, past due,</w:t>
            </w: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25,750</w:t>
            </w:r>
          </w:p>
        </w:tc>
        <w:tc>
          <w:tcPr>
            <w:tcW w:w="28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34,652</w:t>
            </w:r>
          </w:p>
        </w:tc>
        <w:tc>
          <w:tcPr>
            <w:tcW w:w="220" w:type="dxa"/>
            <w:vAlign w:val="bottom"/>
            <w:shd w:val="clear" w:color="auto" w:fill="CFF0FC"/>
          </w:tcPr>
          <w:p>
            <w:pPr>
              <w:spacing w:after="0"/>
              <w:rPr>
                <w:sz w:val="11"/>
                <w:szCs w:val="11"/>
                <w:color w:val="auto"/>
              </w:rPr>
            </w:pPr>
          </w:p>
        </w:tc>
        <w:tc>
          <w:tcPr>
            <w:tcW w:w="6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21,941</w:t>
            </w:r>
          </w:p>
        </w:tc>
        <w:tc>
          <w:tcPr>
            <w:tcW w:w="2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10,099</w:t>
            </w:r>
          </w:p>
        </w:tc>
        <w:tc>
          <w:tcPr>
            <w:tcW w:w="38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7,541</w:t>
            </w:r>
          </w:p>
        </w:tc>
        <w:tc>
          <w:tcPr>
            <w:tcW w:w="10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0" w:type="dxa"/>
            <w:vAlign w:val="bottom"/>
            <w:tcBorders>
              <w:left w:val="single" w:sz="8" w:color="CFF0FC"/>
              <w:bottom w:val="single" w:sz="8" w:color="CFF0FC"/>
            </w:tcBorders>
            <w:shd w:val="clear" w:color="auto" w:fill="CFF0FC"/>
          </w:tcPr>
          <w:p>
            <w:pPr>
              <w:spacing w:after="0"/>
              <w:rPr>
                <w:sz w:val="16"/>
                <w:szCs w:val="16"/>
                <w:color w:val="auto"/>
              </w:rPr>
            </w:pPr>
          </w:p>
        </w:tc>
        <w:tc>
          <w:tcPr>
            <w:tcW w:w="3220" w:type="dxa"/>
            <w:vAlign w:val="bottom"/>
            <w:tcBorders>
              <w:bottom w:val="single" w:sz="8" w:color="CFF0FC"/>
            </w:tcBorders>
            <w:gridSpan w:val="3"/>
            <w:shd w:val="clear" w:color="auto" w:fill="CFF0FC"/>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and OREO</w:t>
            </w: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3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2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0.30 %</w:t>
            </w:r>
          </w:p>
        </w:tc>
        <w:tc>
          <w:tcPr>
            <w:tcW w:w="20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0.40 %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0.25 %</w:t>
            </w:r>
          </w:p>
        </w:tc>
        <w:tc>
          <w:tcPr>
            <w:tcW w:w="12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0.11 %</w:t>
            </w:r>
          </w:p>
        </w:tc>
        <w:tc>
          <w:tcPr>
            <w:tcW w:w="2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0.08 %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20" w:type="dxa"/>
            <w:vAlign w:val="bottom"/>
            <w:tcBorders>
              <w:left w:val="single" w:sz="8" w:color="CFF0FC"/>
              <w:bottom w:val="single" w:sz="8" w:color="CFF0FC"/>
            </w:tcBorders>
            <w:gridSpan w:val="4"/>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Classified Loans</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124,728</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103,080</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102,197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92,246</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77,834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-2750820</wp:posOffset>
            </wp:positionV>
            <wp:extent cx="7747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-2750820</wp:posOffset>
            </wp:positionV>
            <wp:extent cx="7747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-2750820</wp:posOffset>
            </wp:positionV>
            <wp:extent cx="68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-2750820</wp:posOffset>
            </wp:positionV>
            <wp:extent cx="6858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-1508125</wp:posOffset>
            </wp:positionV>
            <wp:extent cx="7747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-1508125</wp:posOffset>
            </wp:positionV>
            <wp:extent cx="7747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-1508125</wp:posOffset>
            </wp:positionV>
            <wp:extent cx="685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-1508125</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-702310</wp:posOffset>
            </wp:positionV>
            <wp:extent cx="7747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-702310</wp:posOffset>
            </wp:positionV>
            <wp:extent cx="7747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-702310</wp:posOffset>
            </wp:positionV>
            <wp:extent cx="685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-702310</wp:posOffset>
            </wp:positionV>
            <wp:extent cx="685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-393700</wp:posOffset>
            </wp:positionV>
            <wp:extent cx="7747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-376555</wp:posOffset>
            </wp:positionV>
            <wp:extent cx="7747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-393700</wp:posOffset>
            </wp:positionV>
            <wp:extent cx="7747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-376555</wp:posOffset>
            </wp:positionV>
            <wp:extent cx="7747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-393700</wp:posOffset>
            </wp:positionV>
            <wp:extent cx="685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-376555</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-393700</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-376555</wp:posOffset>
            </wp:positionV>
            <wp:extent cx="685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7747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 million of nonaccrual loans past due 30-89 days at September 30, 2023.</w:t>
      </w:r>
    </w:p>
    <w:p>
      <w:pPr>
        <w:spacing w:after="0" w:line="208"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8"/>
          <w:szCs w:val="18"/>
          <w:color w:val="auto"/>
        </w:rPr>
        <w:t>Nonperforming loans, defined as nonaccrual loans, nonperforming modified/TDR loans and loans past due 90 days or more and still accruing interest, were $25.0 million at June 30, 2024, or 0.29% of total loans. This compares to nonperforming loans of $21.3 million, or 0.24% of total loans, at December 31, 2023 and $6.5 million, or 0.07% of total loans, at June 30, 2023. The $11.1 million increase in nonperforming loans from March 31, 2024 was primarily due to the addition of three nonperforming commercial real estate loans totaling $10.9 million.</w:t>
      </w:r>
    </w:p>
    <w:p>
      <w:pPr>
        <w:spacing w:after="0" w:line="180" w:lineRule="exact"/>
        <w:rPr>
          <w:sz w:val="20"/>
          <w:szCs w:val="20"/>
          <w:color w:val="auto"/>
        </w:rPr>
      </w:pPr>
    </w:p>
    <w:p>
      <w:pPr>
        <w:ind w:right="140" w:firstLine="469"/>
        <w:spacing w:after="0" w:line="312" w:lineRule="auto"/>
        <w:rPr>
          <w:sz w:val="20"/>
          <w:szCs w:val="20"/>
          <w:color w:val="auto"/>
        </w:rPr>
      </w:pPr>
      <w:r>
        <w:rPr>
          <w:rFonts w:ascii="Times New Roman" w:cs="Times New Roman" w:eastAsia="Times New Roman" w:hAnsi="Times New Roman"/>
          <w:sz w:val="17"/>
          <w:szCs w:val="17"/>
          <w:color w:val="auto"/>
        </w:rPr>
        <w:t>Classified loans are loans that are graded “substandard” or worse. Classified loans increased $21.6 million quarter-over-quarter, primarily due to the addition of five classified dairy &amp; livestock and agribusiness loans totaling $12.5 million and one classified commercial real estate loan of $7.6 million.</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June 30, 2024, we had one OREO property totaling $647,000. At December 31, 2023 and June 30, 2023, we had no OREO properties.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65"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The allowance for credit losses totaled $82.8 million as of June 30, 2024, compared to $86.8 million as of December 31, 2023 and $87.0 million as of June 30, 2023. Our allowance for credit losses at June 30, 2024 was 0.95% of total loans. This compares to 0.98% at December 31, 2023 and June 30, 2023. The decrease in our allowance for credit losses from December 31, 2023 was due to net charge-offs of $4.0 million reflected in the first quarter of 2024, primarily due to two borrowers in which we previously established specific loan loss reserves in 2023. Our ACL at December 31, 2023 included $5.9 million of reserves for specifically identified nonperforming loans. Our reserves for specific loans have been zero since the end of the first quarter of 2024. There was no provision for credit losses recorded for the six months ended June 30, 2024, compared to $2.0 million in provision for the same period of 2023. Net charge-offs were $4.1 million for the six months ended June 30, 2024, compared to $150,000 for the same period of 2023.</w:t>
      </w:r>
    </w:p>
    <w:p>
      <w:pPr>
        <w:spacing w:after="0" w:line="189" w:lineRule="exact"/>
        <w:rPr>
          <w:sz w:val="20"/>
          <w:szCs w:val="20"/>
          <w:color w:val="auto"/>
        </w:rPr>
      </w:pPr>
    </w:p>
    <w:p>
      <w:pPr>
        <w:ind w:right="20" w:firstLine="469"/>
        <w:spacing w:after="0" w:line="252" w:lineRule="auto"/>
        <w:rPr>
          <w:sz w:val="20"/>
          <w:szCs w:val="20"/>
          <w:color w:val="auto"/>
        </w:rPr>
      </w:pPr>
      <w:r>
        <w:rPr>
          <w:rFonts w:ascii="Times New Roman" w:cs="Times New Roman" w:eastAsia="Times New Roman" w:hAnsi="Times New Roman"/>
          <w:sz w:val="18"/>
          <w:szCs w:val="18"/>
          <w:color w:val="auto"/>
        </w:rPr>
        <w:t>The allowance for credit losses as of June 30, 2024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96"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economic forecast continues to be a blend of multiple forecasts produced by Moody’s. The baseline forecast continues to represent the largest weighting in our multi-weighted forecast scenario, with downside risks weighted among multiple forecasts. As of June 30, 2024, the resulting weighted forecast resulted in Real GDP declining slightly in the second half of 2024 and continuing to be negative in the first quarter of 2025. GDP growth is forecasted to be less than 1% for all of 2025, before rebounding to 1.9% in 2026, and then returning to higher growth of 2.78% in 2027. The unemployment rate is forecasted to increase, with unemployment averaging 6% for all of 2025. The unemployment rate is forecasted to stay elevated until late 2027.</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ind w:right="280" w:firstLine="469"/>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charge-offs and recoveries by type, the provision for credit losses on loans, and the resulting allowance for credit losses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gridSpan w:val="3"/>
          </w:tcPr>
          <w:p>
            <w:pPr>
              <w:jc w:val="center"/>
              <w:ind w:left="5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86,842</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(2,258 )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(139 )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(1,917 )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charge-offs</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(4,318 )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recoveries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(4,056 )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82,786</w:t>
            </w:r>
          </w:p>
        </w:tc>
        <w:tc>
          <w:tcPr>
            <w:tcW w:w="32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reserve for unfunded loan commitments: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beginning of period</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(500 )</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to total unfunded loan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w:t>
            </w:r>
          </w:p>
        </w:tc>
        <w:tc>
          <w:tcPr>
            <w:tcW w:w="3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0.37 %</w:t>
            </w:r>
          </w:p>
        </w:tc>
        <w:tc>
          <w:tcPr>
            <w:tcW w:w="5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0" w:type="dxa"/>
            <w:vAlign w:val="bottom"/>
          </w:tcPr>
          <w:p>
            <w:pPr>
              <w:spacing w:after="0"/>
              <w:rPr>
                <w:sz w:val="1"/>
                <w:szCs w:val="1"/>
                <w:color w:val="auto"/>
              </w:rPr>
            </w:pPr>
          </w:p>
        </w:tc>
      </w:tr>
      <w:tr>
        <w:trPr>
          <w:trHeight w:val="49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total loans at end of period (1)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8,681,846</w:t>
            </w:r>
          </w:p>
        </w:tc>
        <w:tc>
          <w:tcPr>
            <w:tcW w:w="32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8,907,397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total loans outstanding (1)</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8,731,587</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8,927,672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total loans</w:t>
            </w:r>
          </w:p>
        </w:tc>
        <w:tc>
          <w:tcPr>
            <w:tcW w:w="36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5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total loans at end of period</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average total loans</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0.95 %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total loans at end of period</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0.95 %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0.98 %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allowance for credit losses</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provision for credit losses</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29146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54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-4859655</wp:posOffset>
            </wp:positionV>
            <wp:extent cx="7747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-3291205</wp:posOffset>
            </wp:positionV>
            <wp:extent cx="7747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-2973705</wp:posOffset>
            </wp:positionV>
            <wp:extent cx="7747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-2167890</wp:posOffset>
            </wp:positionV>
            <wp:extent cx="7747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1220" w:hanging="463"/>
        <w:spacing w:after="0"/>
        <w:tabs>
          <w:tab w:leader="none" w:pos="1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loan origination fees, costs and discounts (amortized cost).</w:t>
      </w:r>
    </w:p>
    <w:p>
      <w:pPr>
        <w:spacing w:after="0" w:line="208"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The Bank’s ACL methodology also produced an allowance of $7.0 million for our off-balance sheet credit exposures as of June 30, 2024, compared with $7.5 million and $8.9 million as of December 31, 2023 and June 30, 2023. The year-over-year decrease included $500,000 in recapture of provision for unfunded loan commitments in the first six months of 2024, compared to a $900,000 provision for the same period of 2023.</w:t>
      </w:r>
    </w:p>
    <w:p>
      <w:pPr>
        <w:spacing w:after="0" w:line="176" w:lineRule="exact"/>
        <w:rPr>
          <w:sz w:val="20"/>
          <w:szCs w:val="20"/>
          <w:color w:val="auto"/>
        </w:rPr>
      </w:pPr>
    </w:p>
    <w:p>
      <w:pPr>
        <w:ind w:right="340" w:firstLine="464"/>
        <w:spacing w:after="0" w:line="261" w:lineRule="auto"/>
        <w:rPr>
          <w:sz w:val="20"/>
          <w:szCs w:val="20"/>
          <w:color w:val="auto"/>
        </w:rPr>
      </w:pPr>
      <w:r>
        <w:rPr>
          <w:rFonts w:ascii="Times New Roman" w:cs="Times New Roman" w:eastAsia="Times New Roman" w:hAnsi="Times New Roman"/>
          <w:sz w:val="18"/>
          <w:szCs w:val="18"/>
          <w:color w:val="auto"/>
        </w:rPr>
        <w:t>While we believe that the allowance at June 30, 2024 was appropriate to absorb losses from known or inherent risks in the portfolio, no assurance can be given that future economic conditions, interest rate fluctuations, conditions of our</w:t>
      </w: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63" w:name="page64"/>
    <w:bookmarkEnd w:id="63"/>
    <w:p>
      <w:pPr>
        <w:ind w:right="80"/>
        <w:spacing w:after="0" w:line="282" w:lineRule="auto"/>
        <w:rPr>
          <w:sz w:val="20"/>
          <w:szCs w:val="20"/>
          <w:color w:val="auto"/>
        </w:rPr>
      </w:pPr>
      <w:r>
        <w:rPr>
          <w:rFonts w:ascii="Times New Roman" w:cs="Times New Roman" w:eastAsia="Times New Roman" w:hAnsi="Times New Roman"/>
          <w:sz w:val="18"/>
          <w:szCs w:val="18"/>
          <w:color w:val="auto"/>
        </w:rPr>
        <w:t>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62" w:lineRule="exact"/>
        <w:rPr>
          <w:sz w:val="20"/>
          <w:szCs w:val="20"/>
          <w:color w:val="auto"/>
        </w:rPr>
      </w:pPr>
    </w:p>
    <w:p>
      <w:pPr>
        <w:ind w:right="260" w:firstLine="464"/>
        <w:spacing w:after="0" w:line="258" w:lineRule="auto"/>
        <w:rPr>
          <w:sz w:val="20"/>
          <w:szCs w:val="20"/>
          <w:color w:val="auto"/>
        </w:rPr>
      </w:pPr>
      <w:r>
        <w:rPr>
          <w:rFonts w:ascii="Times New Roman" w:cs="Times New Roman" w:eastAsia="Times New Roman" w:hAnsi="Times New Roman"/>
          <w:sz w:val="18"/>
          <w:szCs w:val="18"/>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contained in our Annual Report on Form 10-K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225"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Total deposits were $11.79 billion at June 30, 2024. This represented an increase of $356.7 million, or 3.12%, when compared with total deposits of $11.43 billion at December 31, 2023. The composition of deposits is summarized as of the dates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4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1"/>
        </w:trPr>
        <w:tc>
          <w:tcPr>
            <w:tcW w:w="37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spacing w:after="0"/>
              <w:rPr>
                <w:sz w:val="20"/>
                <w:szCs w:val="20"/>
                <w:color w:val="auto"/>
              </w:rPr>
            </w:pPr>
          </w:p>
        </w:tc>
        <w:tc>
          <w:tcPr>
            <w:tcW w:w="1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r>
      <w:tr>
        <w:trPr>
          <w:trHeight w:val="219"/>
        </w:trPr>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00" w:type="dxa"/>
            <w:vAlign w:val="bottom"/>
            <w:gridSpan w:val="4"/>
          </w:tcPr>
          <w:p>
            <w:pPr>
              <w:jc w:val="right"/>
              <w:ind w:right="97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92"/>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7,090,095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60.13 %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7,206,175</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63.03 %</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checking</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4.38 %</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552,408</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43"/>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25.27 %</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2,821,344</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24.67 %</w:t>
            </w:r>
          </w:p>
        </w:tc>
      </w:tr>
      <w:tr>
        <w:trPr>
          <w:trHeight w:val="243"/>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3.65 %</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457,320</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57"/>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6.57 %</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396,395</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0"/>
        </w:trPr>
        <w:tc>
          <w:tcPr>
            <w:tcW w:w="3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11,790,325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11,433,642</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3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Average noninterest-bearing deposits totaled $7.15 billion for the second quarter of 2024, a decrease of $29.4 million, or 0.41%, from average noninterest-bearing deposits of $7.18 billion for the first quarter of 2024. Average noninterest-bearing deposits were 60.20% of total average deposits for the second quarter of 2024, compared to 61.72% for the first quarter of 2024.</w:t>
      </w:r>
    </w:p>
    <w:p>
      <w:pPr>
        <w:spacing w:after="0" w:line="180"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Interest-bearing non-maturity deposits, which include savings, interest-bearing demand, and money market accounts, totaled, totaled $3.93 billion at June 30, 2024, representing an increase of $94.2 million, or 2.46%, from $3.83 billion at December 31, 2023.</w:t>
      </w:r>
    </w:p>
    <w:p>
      <w:pPr>
        <w:spacing w:after="0" w:line="162" w:lineRule="exact"/>
        <w:rPr>
          <w:sz w:val="20"/>
          <w:szCs w:val="20"/>
          <w:color w:val="auto"/>
        </w:rPr>
      </w:pPr>
    </w:p>
    <w:p>
      <w:pPr>
        <w:ind w:right="580" w:firstLine="469"/>
        <w:spacing w:after="0" w:line="282" w:lineRule="auto"/>
        <w:rPr>
          <w:sz w:val="20"/>
          <w:szCs w:val="20"/>
          <w:color w:val="auto"/>
        </w:rPr>
      </w:pPr>
      <w:r>
        <w:rPr>
          <w:rFonts w:ascii="Times New Roman" w:cs="Times New Roman" w:eastAsia="Times New Roman" w:hAnsi="Times New Roman"/>
          <w:sz w:val="18"/>
          <w:szCs w:val="18"/>
          <w:color w:val="auto"/>
        </w:rPr>
        <w:t>Time deposits totaled $775 million at June 30, 2024, representing an increase of $378.6 million, or 95.51%, from total time deposits of $396.4 million for December 31, 2023. This increase included $400 million in brokered time deposits.</w:t>
      </w:r>
    </w:p>
    <w:p>
      <w:pPr>
        <w:spacing w:after="0" w:line="162" w:lineRule="exact"/>
        <w:rPr>
          <w:sz w:val="20"/>
          <w:szCs w:val="20"/>
          <w:color w:val="auto"/>
        </w:rPr>
      </w:pPr>
    </w:p>
    <w:p>
      <w:pPr>
        <w:ind w:right="240" w:firstLine="469"/>
        <w:spacing w:after="0" w:line="258" w:lineRule="auto"/>
        <w:rPr>
          <w:sz w:val="20"/>
          <w:szCs w:val="20"/>
          <w:color w:val="auto"/>
        </w:rPr>
      </w:pPr>
      <w:r>
        <w:rPr>
          <w:rFonts w:ascii="Times New Roman" w:cs="Times New Roman" w:eastAsia="Times New Roman" w:hAnsi="Times New Roman"/>
          <w:sz w:val="18"/>
          <w:szCs w:val="18"/>
          <w:color w:val="auto"/>
        </w:rPr>
        <w:t>During the first half of 2024, $400 million of brokered time deposits were issued, including $300 million that were associated with cash flow hedging transactions simultaneously executed in which $300 million of notional pay-fixed interest rate swaps were consummated with maturities of three years, wherein the Company pays a weighted average fixed rate of approximately 4.2% and receives daily SOFR. We entered into these interest rate derivative contracts that are designated as qualifying cash flow hedges to hedge the exposure to variability in expected future cash flows attributable to changes in a contractually specified interest rate. The fair value of these instruments totaled $1.6 million and were reflected as an asset at June 30, 2024.</w:t>
      </w:r>
    </w:p>
    <w:p>
      <w:pPr>
        <w:spacing w:after="0" w:line="183" w:lineRule="exact"/>
        <w:rPr>
          <w:sz w:val="20"/>
          <w:szCs w:val="20"/>
          <w:color w:val="auto"/>
        </w:rPr>
      </w:pPr>
    </w:p>
    <w:p>
      <w:pPr>
        <w:ind w:right="180" w:firstLine="469"/>
        <w:spacing w:after="0" w:line="253" w:lineRule="auto"/>
        <w:rPr>
          <w:sz w:val="20"/>
          <w:szCs w:val="20"/>
          <w:color w:val="auto"/>
        </w:rPr>
      </w:pPr>
      <w:r>
        <w:rPr>
          <w:rFonts w:ascii="Times New Roman" w:cs="Times New Roman" w:eastAsia="Times New Roman" w:hAnsi="Times New Roman"/>
          <w:sz w:val="18"/>
          <w:szCs w:val="18"/>
          <w:color w:val="auto"/>
        </w:rPr>
        <w:t>Our deposits are primarily relationship based and include deposits and customer repurchase agreements ("repos"). For the second quarter of 2024, 74% of our deposits consisted of business deposits and 26% consist of consumer deposits, primarily the owners and employees of our business customers. The largest percentage of our deposits, 39%,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As of June 30, 2024, 44% of our total deposits and customer repos were uncollateralized and uninsured.</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64" w:name="page65"/>
    <w:bookmarkEnd w:id="64"/>
    <w:p>
      <w:pPr>
        <w:jc w:val="both"/>
        <w:ind w:right="140" w:firstLine="469"/>
        <w:spacing w:after="0" w:line="258" w:lineRule="auto"/>
        <w:rPr>
          <w:sz w:val="20"/>
          <w:szCs w:val="20"/>
          <w:color w:val="auto"/>
        </w:rPr>
      </w:pPr>
      <w:r>
        <w:rPr>
          <w:rFonts w:ascii="Times New Roman" w:cs="Times New Roman" w:eastAsia="Times New Roman" w:hAnsi="Times New Roman"/>
          <w:sz w:val="18"/>
          <w:szCs w:val="18"/>
          <w:color w:val="auto"/>
        </w:rPr>
        <w:t>Our customer deposit relationships represent a diverse set of industries. Overall, there are 15 different industry classifications that represent 2% or more of our deposits as of June 30, 2024. Industry classifications with the largest concentrations, include construction and finance &amp; insurance deposits, each representing 7% of our deposits. Manufacturing, property management, public administration, and other real estate rental &amp; leasing, each of which represents 6% of our deposits. Our depositors have typically banked with us for many years. As of June 30, 2024, 44% of our deposit relationships have banked with us more than 10 years and 75% of our deposit relationships have been with us for three or more years.</w:t>
      </w:r>
    </w:p>
    <w:p>
      <w:pPr>
        <w:spacing w:after="0" w:line="183"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8"/>
          <w:szCs w:val="18"/>
          <w:color w:val="auto"/>
        </w:rPr>
        <w:t>Average total deposits for the second quarter increased by approximately $245.3 million compared to the first quarter of 2024, while average borrowings declined by $141.6 million. The increase in average deposits was primarily due to a $300 million increase in average brokered time deposits. Our average noninterest-bearing deposits continued to be greater than 60% of our average total deposits for the second quarter of 2024.</w:t>
      </w:r>
    </w:p>
    <w:p>
      <w:pPr>
        <w:spacing w:after="0" w:line="176"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Our cost of deposits was 88 basis points on average for the second quarter of 2024, which compares to 74 basis points for the first quarter of 2024 and 35 basis points for the second quarter of 2023. From the first quarter of 2022 through the second quarter of 2024, our cost of deposits has increased by 85 basis points, representing a deposit beta of 16%, compared to the 525 basis point increase in the Fed Funds rate during the Federal Reserve’s tightening cycle.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June 30, 2024 and December 31, 2023, total funds borrowed under these agreements were $268.8 million and $271.6 million, respectively, with a weighted average interest rate of approximately 0.47% for the second quarter of 2024, compared to 0.38% for the first quarter of 2024 and 0.22% for the second quarter of 2023.</w:t>
      </w:r>
    </w:p>
    <w:p>
      <w:pPr>
        <w:spacing w:after="0" w:line="187"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As of June 30, 2024, total borrowings of $1.8 billion consisted of $1.3 billion from the Federal Reserve’s Bank Term Funding Program, at a cost of 4.76%, maturing in January of 2025 and $500 million of FHLB advances. The FHLB advances include maturities of $300 million, at an average cost of approximately 4.73%, maturing in May of 2026 and $200 million, at a cost of 4.27% maturing in May of 2027.</w:t>
      </w:r>
    </w:p>
    <w:p>
      <w:pPr>
        <w:spacing w:after="0" w:line="176"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Since March of 2024, BTFP has been unavailable for new advances. We anticipate that the BTFP borrowings will be repaid through a combination of existing cash, future principal and interest payments from our security portfolio, core deposit growth, and additional wholesale funding sources which may consist of new borrowing sources such as the FHLB and/or additional brokered deposits. As of June 30, 2024, the Bank had unused borrowing capacity at the FHLB of $4.44 billion.</w:t>
      </w:r>
    </w:p>
    <w:p>
      <w:pPr>
        <w:spacing w:after="0" w:line="180" w:lineRule="exact"/>
        <w:rPr>
          <w:sz w:val="20"/>
          <w:szCs w:val="20"/>
          <w:color w:val="auto"/>
        </w:rPr>
      </w:pPr>
    </w:p>
    <w:p>
      <w:pPr>
        <w:ind w:right="500" w:firstLine="469"/>
        <w:spacing w:after="0" w:line="282" w:lineRule="auto"/>
        <w:rPr>
          <w:sz w:val="20"/>
          <w:szCs w:val="20"/>
          <w:color w:val="auto"/>
        </w:rPr>
      </w:pPr>
      <w:r>
        <w:rPr>
          <w:rFonts w:ascii="Times New Roman" w:cs="Times New Roman" w:eastAsia="Times New Roman" w:hAnsi="Times New Roman"/>
          <w:sz w:val="18"/>
          <w:szCs w:val="18"/>
          <w:color w:val="auto"/>
        </w:rPr>
        <w:t>At June 30, 2024, loans with a carrying value of $4.45 billion were pledged to secure available lines of credit from the FHLB and the Federal Reserve Bank.</w:t>
      </w:r>
    </w:p>
    <w:p>
      <w:pPr>
        <w:spacing w:after="0" w:line="162"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At June 30, 2024, investment securities, with the following carrying values of $2.18 billion were pledged to secure $363.3 million for repurchase agreements, $1.35 billion for outstanding borrowings, $427.4 million for unused borrowing capacity and approximately $46 million for other purposes as required or permitted by law.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June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Over Five</w:t>
            </w:r>
          </w:p>
        </w:tc>
      </w:tr>
      <w:tr>
        <w:trPr>
          <w:trHeight w:val="225"/>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9"/>
                <w:szCs w:val="19"/>
                <w:color w:val="auto"/>
              </w:rPr>
            </w:pPr>
          </w:p>
        </w:tc>
      </w:tr>
      <w:tr>
        <w:trPr>
          <w:trHeight w:val="221"/>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(1)</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11,790,325</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11,775,734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repurchase agreements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268,826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borrowings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1,300,000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20,540</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12,415</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FF0FC"/>
          </w:tcPr>
          <w:p>
            <w:pPr>
              <w:spacing w:after="0"/>
              <w:rPr>
                <w:sz w:val="20"/>
                <w:szCs w:val="20"/>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23,447</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9"/>
                <w:szCs w:val="19"/>
                <w:color w:val="auto"/>
              </w:rPr>
            </w:pPr>
          </w:p>
        </w:tc>
      </w:tr>
      <w:tr>
        <w:trPr>
          <w:trHeight w:val="266"/>
        </w:trPr>
        <w:tc>
          <w:tcPr>
            <w:tcW w:w="4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13,932,574</w:t>
            </w: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13,369,613</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531,592</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22,266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-25400</wp:posOffset>
            </wp:positionV>
            <wp:extent cx="7683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040" w:hanging="470"/>
        <w:spacing w:after="0"/>
        <w:tabs>
          <w:tab w:leader="none" w:pos="10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225" w:lineRule="exact"/>
        <w:rPr>
          <w:sz w:val="20"/>
          <w:szCs w:val="20"/>
          <w:color w:val="auto"/>
        </w:rPr>
      </w:pPr>
    </w:p>
    <w:p>
      <w:pPr>
        <w:ind w:right="40" w:firstLine="469"/>
        <w:spacing w:after="0" w:line="282"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62"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60" w:lineRule="exact"/>
        <w:rPr>
          <w:sz w:val="20"/>
          <w:szCs w:val="20"/>
          <w:color w:val="auto"/>
        </w:rPr>
      </w:pPr>
    </w:p>
    <w:p>
      <w:pPr>
        <w:ind w:right="220" w:firstLine="469"/>
        <w:spacing w:after="0" w:line="284"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Company’s unaudited condensed consolidated financial statements for a more detailed discussion about leases.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June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After Five</w:t>
            </w:r>
          </w:p>
        </w:tc>
      </w:tr>
      <w:tr>
        <w:trPr>
          <w:trHeight w:val="225"/>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9"/>
                <w:szCs w:val="19"/>
                <w:color w:val="auto"/>
              </w:rPr>
            </w:pPr>
          </w:p>
        </w:tc>
      </w:tr>
      <w:tr>
        <w:trPr>
          <w:trHeight w:val="221"/>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449,968</w:t>
            </w:r>
          </w:p>
        </w:tc>
        <w:tc>
          <w:tcPr>
            <w:tcW w:w="3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85,637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202,691</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130,469</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31,171</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22,796</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998,041</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727,516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245,496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22,881</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Pr>
          <w:p>
            <w:pPr>
              <w:spacing w:after="0"/>
              <w:rPr>
                <w:sz w:val="19"/>
                <w:szCs w:val="19"/>
                <w:color w:val="auto"/>
              </w:rPr>
            </w:pPr>
          </w:p>
        </w:tc>
      </w:tr>
      <w:tr>
        <w:trPr>
          <w:trHeight w:val="236"/>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129,747</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11,984</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1,823,395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967,702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167,978</w:t>
            </w:r>
          </w:p>
        </w:tc>
        <w:tc>
          <w:tcPr>
            <w:tcW w:w="100" w:type="dxa"/>
            <w:vAlign w:val="bottom"/>
          </w:tcPr>
          <w:p>
            <w:pPr>
              <w:spacing w:after="0"/>
              <w:rPr>
                <w:sz w:val="18"/>
                <w:szCs w:val="18"/>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61,503</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48,493</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12,792</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1,884,898</w:t>
            </w:r>
          </w:p>
        </w:tc>
        <w:tc>
          <w:tcPr>
            <w:tcW w:w="3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1,016,195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565,758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134,949</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167,996</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-479425</wp:posOffset>
            </wp:positionV>
            <wp:extent cx="7683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-479425</wp:posOffset>
            </wp:positionV>
            <wp:extent cx="7683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685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-479425</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-179070</wp:posOffset>
            </wp:positionV>
            <wp:extent cx="7683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7683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6858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685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1040" w:hanging="470"/>
        <w:spacing w:after="0"/>
        <w:tabs>
          <w:tab w:leader="none" w:pos="10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$25.1 million at June 30, 2024.</w:t>
      </w:r>
    </w:p>
    <w:p>
      <w:pPr>
        <w:spacing w:after="0" w:line="230"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18"/>
          <w:szCs w:val="18"/>
          <w:color w:val="auto"/>
        </w:rPr>
        <w:t>As of June 30, 2024, we had commitments to extend credit of approximately $1.82 billion, and obligations under letters of credit of $61.5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June 30, 2024 and 2023, the balance in this reserve was $7.0 million and $8.9 million, respectively, and was included in other liabilities. The year-over-year decrease included $500,000 in recapture of provision for unfunded loan commitments for the six months ended June 30, 2024, compared to $900,000 in provision for the same period of 2023.</w:t>
      </w:r>
    </w:p>
    <w:p>
      <w:pPr>
        <w:spacing w:after="0" w:line="188" w:lineRule="exact"/>
        <w:rPr>
          <w:sz w:val="20"/>
          <w:szCs w:val="20"/>
          <w:color w:val="auto"/>
        </w:rPr>
      </w:pPr>
    </w:p>
    <w:p>
      <w:pPr>
        <w:jc w:val="both"/>
        <w:ind w:right="20" w:firstLine="469"/>
        <w:spacing w:after="0" w:line="289" w:lineRule="auto"/>
        <w:rPr>
          <w:sz w:val="20"/>
          <w:szCs w:val="20"/>
          <w:color w:val="auto"/>
        </w:rPr>
      </w:pPr>
      <w:r>
        <w:rPr>
          <w:rFonts w:ascii="Times New Roman" w:cs="Times New Roman" w:eastAsia="Times New Roman" w:hAnsi="Times New Roman"/>
          <w:sz w:val="17"/>
          <w:szCs w:val="17"/>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80"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Total equity increased $34.5 million to $2.11 billion at June 30, 2024, compared to total equity of $2.08 billion at December 31, 2023. Increases to equity included $98.6 million in net earnings, that were partially offset by $55.9 million in cash dividends and a $10.8 million decrease in other comprehensive income. We did not engage in stock repurchases during the second quarter of 2024 or 2023. Our tangible book value per share at June 30, 2024 was $9.55.</w:t>
      </w:r>
    </w:p>
    <w:p>
      <w:pPr>
        <w:spacing w:after="0" w:line="180"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80"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During the first quarter of 2023, we repurchased 791,800 shares at an average price of $23.43. There were no stock repurchases during the second quarter of 2023 nor during the first half of 2024.</w:t>
      </w:r>
    </w:p>
    <w:p>
      <w:pPr>
        <w:spacing w:after="0" w:line="176"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June 30, 2024,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 – Capital Adequacy Requirements</w:t>
      </w:r>
      <w:r>
        <w:rPr>
          <w:rFonts w:ascii="Times New Roman" w:cs="Times New Roman" w:eastAsia="Times New Roman" w:hAnsi="Times New Roman"/>
          <w:sz w:val="18"/>
          <w:szCs w:val="18"/>
          <w:color w:val="auto"/>
        </w:rPr>
        <w:t>” as described in our Annual Report on Form 10-K for the year ended December 31,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1"/>
                <w:szCs w:val="21"/>
                <w:color w:val="auto"/>
              </w:rPr>
            </w:pPr>
          </w:p>
        </w:tc>
        <w:tc>
          <w:tcPr>
            <w:tcW w:w="22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Adequately</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 Required</w:t>
            </w: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Well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CVB Financial</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CVB Financial</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Plus Capital</w:t>
            </w: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1"/>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Ratios</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Conservation Buffer</w:t>
            </w:r>
          </w:p>
        </w:tc>
        <w:tc>
          <w:tcPr>
            <w:tcW w:w="16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Ratios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Bank</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Bank</w:t>
            </w: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leverage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4.00%</w:t>
            </w:r>
          </w:p>
        </w:tc>
        <w:tc>
          <w:tcPr>
            <w:tcW w:w="11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5.00%</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10.55%</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10.44%</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10.27%</w:t>
            </w:r>
          </w:p>
        </w:tc>
        <w:tc>
          <w:tcPr>
            <w:tcW w:w="10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10.17%</w:t>
            </w:r>
          </w:p>
        </w:tc>
      </w:tr>
      <w:tr>
        <w:trPr>
          <w:trHeight w:val="211"/>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7.00%</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6.50%</w:t>
            </w:r>
          </w:p>
        </w:tc>
        <w:tc>
          <w:tcPr>
            <w:tcW w:w="1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15.29%</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15.13%</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14.65%</w:t>
            </w: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14.49%</w:t>
            </w:r>
          </w:p>
        </w:tc>
      </w:tr>
      <w:tr>
        <w:trPr>
          <w:trHeight w:val="250"/>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8.50%</w:t>
            </w:r>
          </w:p>
        </w:tc>
        <w:tc>
          <w:tcPr>
            <w:tcW w:w="11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8.00%</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15.29%</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15.13%</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14.65%</w:t>
            </w:r>
          </w:p>
        </w:tc>
        <w:tc>
          <w:tcPr>
            <w:tcW w:w="10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14.49%</w:t>
            </w:r>
          </w:p>
        </w:tc>
      </w:tr>
      <w:tr>
        <w:trPr>
          <w:trHeight w:val="234"/>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1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10.50%</w:t>
            </w: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15.95%</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15.50%</w:t>
            </w: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15.34%</w:t>
            </w:r>
          </w:p>
        </w:tc>
      </w:tr>
      <w:tr>
        <w:trPr>
          <w:trHeight w:val="44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229"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80"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89"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$800 million of cash on the balance sheet at June 30, 2024, we had substantial sources of off-balance sheet liquidity. These sources of available liquidity include $4.4 billion of secured and unused capacity with the Federal Home Loan Bank, $695 million of secured unused borrowing capacity at the Fed’s discount window, more than $459.7 million of unpledged AFS securities that could be pledged at the discount window and $300 million of unsecured lines of credit. In addition to these borrowing sources, the Bank has capacity to utilize additional brokered deposits as of June 30, 2024. We can also obtain additional liquidity from deposit growth by utilizing state and national wholesale markets.</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primary sources of funds for the Company are deposits, customer repurchase agreements and borrowings. Total deposits and customer repos of $11.79 billion at June 30, 2024 increased $353.9 million, or 3.02%, over total deposits and customer repos of $11.71 billion at December 31, 2023. As of June 30, 2024, total borrowings, consisted of $1.3 billion from the Federal Reserve’s Bank Term Funding Program, at a cost of 4.76%, maturing in January of 2025, and $500 million of FHLB advances. The FHLB advances include maturities of $300 million, at an average cost of approximately 4.73%, maturing in May of 2026, and $200 million, at a cost of 4.27% maturing in May of 2027. Our deposit levels and cost of deposits may fluctuate from period-to-period due to a variety of factors, including the stability of our deposit base, prevailing interest rates, and market conditions. At June 30, 2024, our deposits and customer repurchase agreements that are neither collateralized nor insured were approximately $5.3 billion, or approximately 44% of our total deposits and customer repos.</w:t>
      </w:r>
    </w:p>
    <w:p>
      <w:pPr>
        <w:spacing w:after="0" w:line="192"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Additional sources of liquidity include cash on deposit at the Federal Reserve, which exceeded $650 million at June 30, 2024, and principal and interest payments from our investment portfolio. We shrank our investment portfolio by not reinvesting the cashflows generated by our investments during the first half of 2024. Our total investment portfolio declined by $245.1 million from December 31, 2023 to $5.18 billion as of June 30, 2024. The decrease was primarily due to a $210.3 million decline in AFS securities. AFS securities totaled $2.75 billion at June 30, 2024, inclusive of a pre-tax net unrealized loss of $487.9 million. Pre-tax unrealized loss grew by $38.1 million from December 31, 2023. Market risk, is partly managed by $1 billion notional pay fixed swaps hedging the fair value of the AFS portfolio. The $38.1 million decrease in fair value of our AFS securities was partially offset by a $20.7 million increase in the fair value of our derivatives that hedge the change in value of our AFS portfolio.</w:t>
      </w:r>
    </w:p>
    <w:p>
      <w:pPr>
        <w:spacing w:after="0" w:line="18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9" w:name="page70"/>
    <w:bookmarkEnd w:id="69"/>
    <w:p>
      <w:pPr>
        <w:ind w:right="260" w:firstLine="469"/>
        <w:spacing w:after="0" w:line="282"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six months ended June 30, 2024 and 2023. For further details see our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(Unaudited)” under Part I, Item 1 of this report.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p>
      <w:pPr>
        <w:spacing w:after="0" w:line="23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3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9"/>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2"/>
        </w:trPr>
        <w:tc>
          <w:tcPr>
            <w:tcW w:w="8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731,109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369,689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2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4.50 %</w:t>
            </w:r>
          </w:p>
        </w:tc>
        <w:tc>
          <w:tcPr>
            <w:tcW w:w="3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52"/>
        </w:trPr>
        <w:tc>
          <w:tcPr>
            <w:tcW w:w="8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103,620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162,103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433,931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(128,711 )</w:t>
            </w:r>
          </w:p>
        </w:tc>
        <w:tc>
          <w:tcPr>
            <w:tcW w:w="60" w:type="dxa"/>
            <w:vAlign w:val="bottom"/>
          </w:tcPr>
          <w:p>
            <w:pPr>
              <w:spacing w:after="0"/>
              <w:rPr>
                <w:sz w:val="21"/>
                <w:szCs w:val="21"/>
                <w:color w:val="auto"/>
              </w:rPr>
            </w:pPr>
          </w:p>
        </w:tc>
      </w:tr>
      <w:tr>
        <w:trPr>
          <w:trHeight w:val="236"/>
        </w:trPr>
        <w:tc>
          <w:tcPr>
            <w:tcW w:w="8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562,909</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414,895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firstLine="469"/>
        <w:spacing w:after="0" w:line="282" w:lineRule="auto"/>
        <w:rPr>
          <w:sz w:val="20"/>
          <w:szCs w:val="20"/>
          <w:color w:val="auto"/>
        </w:rPr>
      </w:pPr>
      <w:r>
        <w:rPr>
          <w:rFonts w:ascii="Times New Roman" w:cs="Times New Roman" w:eastAsia="Times New Roman" w:hAnsi="Times New Roman"/>
          <w:sz w:val="18"/>
          <w:szCs w:val="18"/>
          <w:color w:val="auto"/>
        </w:rPr>
        <w:t>Average cash and cash equivalents increased by $361.4 million, or 97.76%, to $731.1 million for the six months ended June 30, 2024, compared to $369.7 million for the same period of 2023.</w:t>
      </w:r>
    </w:p>
    <w:p>
      <w:pPr>
        <w:spacing w:after="0" w:line="162"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At June 30, 2024, cash and cash equivalents totaled $844.2 million. This represented an increase of $225.8 million, or 36.52%, from $618.4 million at June 30, 2023. Our cash on deposit at the Federal Reserve grew by more than $280 million when compared to June 30, 2023. This growth in cash was partly attributable to the issuance of $400 million in brokered time deposits, which mature every 90 days. $300 million of these brokered time deposits were combined with cash flow hedges which resulted in a fixed rate of approximately 4.2%.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229" w:lineRule="exact"/>
        <w:rPr>
          <w:sz w:val="20"/>
          <w:szCs w:val="20"/>
          <w:color w:val="auto"/>
        </w:rPr>
      </w:pPr>
    </w:p>
    <w:p>
      <w:pPr>
        <w:ind w:right="100" w:firstLine="469"/>
        <w:spacing w:after="0" w:line="254"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8" w:lineRule="exact"/>
        <w:rPr>
          <w:sz w:val="20"/>
          <w:szCs w:val="20"/>
          <w:color w:val="auto"/>
        </w:rPr>
      </w:pPr>
    </w:p>
    <w:p>
      <w:pPr>
        <w:ind w:right="120" w:firstLine="469"/>
        <w:spacing w:after="0" w:line="25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225" w:lineRule="exact"/>
        <w:rPr>
          <w:sz w:val="20"/>
          <w:szCs w:val="20"/>
          <w:color w:val="auto"/>
        </w:rPr>
      </w:pPr>
    </w:p>
    <w:p>
      <w:pPr>
        <w:ind w:right="160" w:firstLine="469"/>
        <w:spacing w:after="0" w:line="261"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w:t>
      </w:r>
    </w:p>
    <w:p>
      <w:pPr>
        <w:jc w:val="center"/>
        <w:ind w:right="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70" w:name="page71"/>
    <w:bookmarkEnd w:id="70"/>
    <w:p>
      <w:pPr>
        <w:ind w:right="20"/>
        <w:spacing w:after="0" w:line="261" w:lineRule="auto"/>
        <w:rPr>
          <w:sz w:val="20"/>
          <w:szCs w:val="20"/>
          <w:color w:val="auto"/>
        </w:rPr>
      </w:pPr>
      <w:r>
        <w:rPr>
          <w:rFonts w:ascii="Times New Roman" w:cs="Times New Roman" w:eastAsia="Times New Roman" w:hAnsi="Times New Roman"/>
          <w:sz w:val="18"/>
          <w:szCs w:val="18"/>
          <w:color w:val="auto"/>
        </w:rPr>
        <w:t>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 ramps rates up or down on a pro rata basis over 12-months and measures the resulting net interest income sensitivity over both the 12-month and 24-month time horizons.</w:t>
      </w:r>
    </w:p>
    <w:p>
      <w:pPr>
        <w:spacing w:after="0" w:line="180"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200bps over a 12-month time horizon.</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Estimated Net Interest Income Sensitivity (1)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3"/>
        </w:trPr>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24-month Period</w:t>
            </w: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12-month</w:t>
            </w:r>
          </w:p>
        </w:tc>
        <w:tc>
          <w:tcPr>
            <w:tcW w:w="16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24-month Period</w:t>
            </w:r>
          </w:p>
        </w:tc>
      </w:tr>
      <w:tr>
        <w:trPr>
          <w:trHeight w:val="245"/>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180" w:type="dxa"/>
            <w:vAlign w:val="bottom"/>
          </w:tcPr>
          <w:p>
            <w:pPr>
              <w:spacing w:after="0"/>
              <w:rPr>
                <w:sz w:val="21"/>
                <w:szCs w:val="21"/>
                <w:color w:val="auto"/>
              </w:rPr>
            </w:pP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43"/>
        </w:trPr>
        <w:tc>
          <w:tcPr>
            <w:tcW w:w="20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43"/>
        </w:trPr>
        <w:tc>
          <w:tcPr>
            <w:tcW w:w="2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4.70%</w:t>
            </w:r>
          </w:p>
        </w:tc>
        <w:tc>
          <w:tcPr>
            <w:tcW w:w="1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FF0FC"/>
          </w:tcPr>
          <w:p>
            <w:pPr>
              <w:spacing w:after="0"/>
              <w:rPr>
                <w:sz w:val="21"/>
                <w:szCs w:val="21"/>
                <w:color w:val="auto"/>
              </w:rPr>
            </w:pPr>
          </w:p>
        </w:tc>
        <w:tc>
          <w:tcPr>
            <w:tcW w:w="2360" w:type="dxa"/>
            <w:vAlign w:val="bottom"/>
            <w:gridSpan w:val="2"/>
            <w:shd w:val="clear" w:color="auto" w:fill="CFF0FC"/>
          </w:tcPr>
          <w:p>
            <w:pPr>
              <w:jc w:val="center"/>
              <w:ind w:right="320"/>
              <w:spacing w:after="0"/>
              <w:rPr>
                <w:sz w:val="20"/>
                <w:szCs w:val="20"/>
                <w:color w:val="auto"/>
              </w:rPr>
            </w:pPr>
            <w:r>
              <w:rPr>
                <w:rFonts w:ascii="Times New Roman" w:cs="Times New Roman" w:eastAsia="Times New Roman" w:hAnsi="Times New Roman"/>
                <w:sz w:val="18"/>
                <w:szCs w:val="18"/>
                <w:color w:val="auto"/>
              </w:rPr>
              <w:t>+ 200 basis points</w:t>
            </w: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3.96%</w:t>
            </w:r>
          </w:p>
        </w:tc>
        <w:tc>
          <w:tcPr>
            <w:tcW w:w="18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-4.58%</w:t>
            </w:r>
          </w:p>
        </w:tc>
        <w:tc>
          <w:tcPr>
            <w:tcW w:w="1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Pr>
          <w:p>
            <w:pPr>
              <w:spacing w:after="0"/>
              <w:rPr>
                <w:sz w:val="20"/>
                <w:szCs w:val="20"/>
                <w:color w:val="auto"/>
              </w:rPr>
            </w:pP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- 200 basis points</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-3.97%</w:t>
            </w:r>
          </w:p>
        </w:tc>
        <w:tc>
          <w:tcPr>
            <w:tcW w:w="18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-5.21%</w:t>
            </w:r>
          </w:p>
        </w:tc>
      </w:tr>
    </w:tbl>
    <w:p>
      <w:pPr>
        <w:spacing w:after="0" w:line="206" w:lineRule="exact"/>
        <w:rPr>
          <w:sz w:val="20"/>
          <w:szCs w:val="20"/>
          <w:color w:val="auto"/>
        </w:rPr>
      </w:pPr>
    </w:p>
    <w:p>
      <w:pPr>
        <w:ind w:right="100" w:firstLine="469"/>
        <w:spacing w:after="0" w:line="255"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89" w:lineRule="exact"/>
        <w:rPr>
          <w:sz w:val="20"/>
          <w:szCs w:val="20"/>
          <w:color w:val="auto"/>
        </w:rPr>
      </w:pPr>
    </w:p>
    <w:p>
      <w:pPr>
        <w:ind w:right="80" w:firstLine="469"/>
        <w:spacing w:after="0" w:line="253"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June 30, 2024 and December 31, 2023, the EVE profile indicates a decline in net balance sheet value due to instantaneous downward changes in rates. From December 31, 2023 to June 30, 2024, our EVE sensitivity to rising rates was modestly lower, as economic value declined minimally as of June 30, 2024. Our overall sensitivity of EVE to changes in interest rates is generally modest, with the exception of more meaningful reductions in value if rates were to immediately decline by 300 or 400 basis points.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Instantaneous Rate Change</w:t>
            </w:r>
          </w:p>
        </w:tc>
        <w:tc>
          <w:tcPr>
            <w:tcW w:w="29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4"/>
                <w:szCs w:val="24"/>
                <w:color w:val="auto"/>
              </w:rPr>
            </w:pPr>
          </w:p>
        </w:tc>
        <w:tc>
          <w:tcPr>
            <w:tcW w:w="2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7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bp decrease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-13.9%</w:t>
            </w:r>
          </w:p>
        </w:tc>
      </w:tr>
      <w:tr>
        <w:trPr>
          <w:trHeight w:val="25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300 bp decrease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-9.3%</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bp decrease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6"/>
              </w:rPr>
              <w:t>-4.7%</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 bp decrease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-1.6%</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6"/>
              </w:rPr>
              <w:t>-0.4%</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-0.3%</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6"/>
              </w:rPr>
              <w:t>-1.0%</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-2.2%</w:t>
            </w:r>
          </w:p>
        </w:tc>
      </w:tr>
    </w:tbl>
    <w:p>
      <w:pPr>
        <w:spacing w:after="0" w:line="198" w:lineRule="exact"/>
        <w:rPr>
          <w:sz w:val="20"/>
          <w:szCs w:val="20"/>
          <w:color w:val="auto"/>
        </w:rPr>
      </w:pPr>
    </w:p>
    <w:p>
      <w:pPr>
        <w:jc w:val="both"/>
        <w:ind w:right="180" w:firstLine="469"/>
        <w:spacing w:after="0" w:line="261"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 xml:space="preserve">Market risk is the risk of loss from adverse changes in the market prices and interest rates. Our market risk arises primarily from interest rate risk inherent in our lending and deposit taking activities, as well as our portfolio of investment securities and fair value hedges. We do not currently have futures, forwards, or option contracts. As a result of the phase out of LIBOR, our interest rate swap derivatives and the associated loans that were indexed to LIBOR, have been replaced with one month CME Term SOFR. For further quantitative and qualitative disclosures about market risks in our portfolio, see </w:t>
      </w:r>
      <w:r>
        <w:rPr>
          <w:rFonts w:ascii="Times New Roman" w:cs="Times New Roman" w:eastAsia="Times New Roman" w:hAnsi="Times New Roman"/>
          <w:sz w:val="18"/>
          <w:szCs w:val="18"/>
          <w:i w:val="1"/>
          <w:iCs w:val="1"/>
          <w:color w:val="auto"/>
        </w:rPr>
        <w:t>Asset/Liability Management and Interest Rate Sensitivity Management</w:t>
      </w:r>
      <w:r>
        <w:rPr>
          <w:rFonts w:ascii="Times New Roman" w:cs="Times New Roman" w:eastAsia="Times New Roman" w:hAnsi="Times New Roman"/>
          <w:sz w:val="18"/>
          <w:szCs w:val="18"/>
          <w:color w:val="auto"/>
        </w:rPr>
        <w:t>” included in Item 2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presented elsewhere in this report. This analysis should be read in conjunction with our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Our analysis of market risk and market-sensitive financial information contains forward-looking statements and is subject to the disclosure at the beginning of Part I regarding such forward-looking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80"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there have been no changes in our internal controls over financial reporting that have materially affected or are reasonably likely to materially affect our internal controls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2" w:name="page73"/>
    <w:bookmarkEnd w:id="72"/>
    <w:p>
      <w:pPr>
        <w:ind w:left="44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and threatened lawsuits in the course of business. From time to time, such lawsuits and threatened lawsuits may include, but are not limited to, actions involving securities litigation, wage-hour and employment law claims, consumer claims, regulatory compliance claims, data privacy and cyber security claims, lender liability claims, fraud loss claims, bankruptcy-related claims and negligence claims, some of which may be styled as “class action” or representative cases. Some of these lawsuits may be similar in nature to other lawsuits pending against the Company’s competitors.</w:t>
      </w:r>
    </w:p>
    <w:p>
      <w:pPr>
        <w:spacing w:after="0" w:line="14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results of operations, financial condition or cash flows.</w:t>
      </w:r>
    </w:p>
    <w:p>
      <w:pPr>
        <w:spacing w:after="0" w:line="16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2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Item 1A. to Part I of our Annual Report on Form 10-K for the year ended December 31, 2023.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 cash flows. See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this Quarterly Report on Form 10-Q.</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On February 1, 2022,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("2022 Repurchase Program"). We did not repurchase any shares of our common stock during the quarter ended June 30, 2024. As of June 30, 2024, an aggregate of 4,300,059 shares remained available for repurchase under our 2022 Repurchase Program. The only shares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ind w:right="140"/>
        <w:spacing w:after="0" w:line="282" w:lineRule="auto"/>
        <w:rPr>
          <w:sz w:val="20"/>
          <w:szCs w:val="20"/>
          <w:color w:val="auto"/>
        </w:rPr>
      </w:pPr>
      <w:r>
        <w:rPr>
          <w:rFonts w:ascii="Times New Roman" w:cs="Times New Roman" w:eastAsia="Times New Roman" w:hAnsi="Times New Roman"/>
          <w:sz w:val="18"/>
          <w:szCs w:val="18"/>
          <w:color w:val="auto"/>
        </w:rPr>
        <w:t>repurchased during the second quarter of 2024 were shares repurchased pursuant to net settlement by employees in satisfaction of income tax withholding obligations incurred through the vesting of Company stock awards.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r>
      <w:tr>
        <w:trPr>
          <w:trHeight w:val="216"/>
        </w:trPr>
        <w:tc>
          <w:tcPr>
            <w:tcW w:w="25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Average 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Available for Repurchase Under</w:t>
            </w:r>
          </w:p>
        </w:tc>
      </w:tr>
      <w:tr>
        <w:trPr>
          <w:trHeight w:val="245"/>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43"/>
        </w:trPr>
        <w:tc>
          <w:tcPr>
            <w:tcW w:w="25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16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shd w:val="clear" w:color="auto" w:fill="CFF0FC"/>
          </w:tcPr>
          <w:p>
            <w:pPr>
              <w:spacing w:after="0"/>
              <w:rPr>
                <w:sz w:val="21"/>
                <w:szCs w:val="21"/>
                <w:color w:val="auto"/>
              </w:rPr>
            </w:pPr>
          </w:p>
        </w:tc>
      </w:tr>
      <w:tr>
        <w:trPr>
          <w:trHeight w:val="23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Pr>
          <w:p>
            <w:pPr>
              <w:spacing w:after="0"/>
              <w:rPr>
                <w:sz w:val="20"/>
                <w:szCs w:val="20"/>
                <w:color w:val="auto"/>
              </w:rPr>
            </w:pPr>
          </w:p>
        </w:tc>
      </w:tr>
      <w:tr>
        <w:trPr>
          <w:trHeight w:val="247"/>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1 - 30, 2024</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-187960</wp:posOffset>
            </wp:positionV>
            <wp:extent cx="7683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-187960</wp:posOffset>
            </wp:positionV>
            <wp:extent cx="7683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685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760" w:right="20" w:hanging="378"/>
        <w:spacing w:after="0" w:line="298"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repurchased pursuant to net settlement by employees in satisfaction of income tax withholding obligations incurred through the vesting of Company stock awards.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8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tcBorders>
              <w:right w:val="single" w:sz="8" w:color="auto"/>
            </w:tcBorders>
            <w:shd w:val="clear" w:color="auto" w:fill="000000"/>
          </w:tcPr>
          <w:p>
            <w:pPr>
              <w:spacing w:after="0" w:line="20" w:lineRule="exact"/>
              <w:rPr>
                <w:sz w:val="1"/>
                <w:szCs w:val="1"/>
                <w:color w:val="auto"/>
              </w:rPr>
            </w:pPr>
          </w:p>
        </w:tc>
        <w:tc>
          <w:tcPr>
            <w:tcW w:w="296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tcBorders>
              <w:left w:val="single" w:sz="8" w:color="auto"/>
            </w:tcBorders>
            <w:shd w:val="clear" w:color="auto" w:fill="000000"/>
          </w:tcPr>
          <w:p>
            <w:pPr>
              <w:spacing w:after="0" w:line="20" w:lineRule="exact"/>
              <w:rPr>
                <w:sz w:val="1"/>
                <w:szCs w:val="1"/>
                <w:color w:val="auto"/>
              </w:rPr>
            </w:pPr>
          </w:p>
        </w:tc>
      </w:tr>
      <w:tr>
        <w:trPr>
          <w:trHeight w:val="30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80" w:type="dxa"/>
            <w:vAlign w:val="bottom"/>
          </w:tcPr>
          <w:p>
            <w:pPr>
              <w:spacing w:after="0"/>
              <w:rPr>
                <w:sz w:val="24"/>
                <w:szCs w:val="24"/>
                <w:color w:val="auto"/>
              </w:rPr>
            </w:pPr>
          </w:p>
        </w:tc>
        <w:tc>
          <w:tcPr>
            <w:tcW w:w="9740" w:type="dxa"/>
            <w:vAlign w:val="bottom"/>
            <w:gridSpan w:val="3"/>
          </w:tcPr>
          <w:p>
            <w:pPr>
              <w:spacing w:after="0"/>
              <w:rPr>
                <w:rFonts w:ascii="Times New Roman" w:cs="Times New Roman" w:eastAsia="Times New Roman" w:hAnsi="Times New Roman"/>
                <w:sz w:val="18"/>
                <w:szCs w:val="18"/>
                <w:color w:val="0000FF"/>
              </w:rPr>
            </w:pPr>
            <w:hyperlink r:id="rId881">
              <w:r>
                <w:rPr>
                  <w:rFonts w:ascii="Times New Roman" w:cs="Times New Roman" w:eastAsia="Times New Roman" w:hAnsi="Times New Roman"/>
                  <w:sz w:val="18"/>
                  <w:szCs w:val="18"/>
                  <w:color w:val="0000FF"/>
                </w:rPr>
                <w:t>CVB Financial Corp. 2023 Executive Incentive Plan † (1)</w:t>
              </w:r>
            </w:hyperlink>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EE"/>
            </w:tcBorders>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28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28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28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28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1"/>
                <w:szCs w:val="21"/>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80" w:type="dxa"/>
            <w:vAlign w:val="bottom"/>
          </w:tcPr>
          <w:p>
            <w:pPr>
              <w:spacing w:after="0"/>
              <w:rPr>
                <w:sz w:val="21"/>
                <w:szCs w:val="21"/>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bl>
    <w:p>
      <w:pPr>
        <w:spacing w:after="0" w:line="9" w:lineRule="exact"/>
        <w:rPr>
          <w:sz w:val="20"/>
          <w:szCs w:val="20"/>
          <w:color w:val="auto"/>
        </w:rPr>
      </w:pPr>
    </w:p>
    <w:p>
      <w:pPr>
        <w:ind w:left="1460" w:right="80" w:hanging="986"/>
        <w:spacing w:after="0" w:line="282"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has been formatted in Inline XBRL.</w:t>
      </w:r>
    </w:p>
    <w:p>
      <w:pPr>
        <w:spacing w:after="0" w:line="26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40" w:lineRule="exact"/>
        <w:rPr>
          <w:rFonts w:ascii="Times New Roman" w:cs="Times New Roman" w:eastAsia="Times New Roman" w:hAnsi="Times New Roman"/>
          <w:sz w:val="18"/>
          <w:szCs w:val="18"/>
          <w:color w:val="auto"/>
        </w:rPr>
      </w:pPr>
    </w:p>
    <w:p>
      <w:pPr>
        <w:ind w:left="1680" w:hanging="1339"/>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237426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1680" w:hanging="1339"/>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a management contract or compensation plan.</w:t>
      </w:r>
    </w:p>
    <w:p>
      <w:pPr>
        <w:spacing w:after="0" w:line="1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10.12 to our Annual Report on Form 10-K filed with the SEC on February 28,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CVB FINANCIAL CORP.</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p>
    <w:p>
      <w:pPr>
        <w:spacing w:after="0" w:line="20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/s/ E. Allen Nicholson</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089" w:right="7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25"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8, 2024</w:t>
            </w: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David A. Brager</w:t>
            </w:r>
          </w:p>
        </w:tc>
        <w:tc>
          <w:tcPr>
            <w:tcW w:w="3040" w:type="dxa"/>
            <w:vAlign w:val="bottom"/>
          </w:tcPr>
          <w:p>
            <w:pPr>
              <w:spacing w:after="0"/>
              <w:rPr>
                <w:sz w:val="18"/>
                <w:szCs w:val="18"/>
                <w:color w:val="auto"/>
              </w:rPr>
            </w:pPr>
          </w:p>
        </w:tc>
      </w:tr>
      <w:tr>
        <w:trPr>
          <w:trHeight w:val="232"/>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08"/>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25"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8, 2024</w:t>
            </w: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 Allen Nicholson</w:t>
            </w:r>
          </w:p>
        </w:tc>
      </w:tr>
      <w:tr>
        <w:trPr>
          <w:trHeight w:val="232"/>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20"/>
                <w:szCs w:val="20"/>
                <w:color w:val="auto"/>
              </w:rPr>
            </w:pPr>
          </w:p>
        </w:tc>
      </w:tr>
      <w:tr>
        <w:trPr>
          <w:trHeight w:val="234"/>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June 30, 2024,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8, 2024</w:t>
            </w: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David A. Brager</w:t>
            </w:r>
          </w:p>
        </w:tc>
        <w:tc>
          <w:tcPr>
            <w:tcW w:w="3040" w:type="dxa"/>
            <w:vAlign w:val="bottom"/>
          </w:tcPr>
          <w:p>
            <w:pPr>
              <w:spacing w:after="0"/>
              <w:rPr>
                <w:sz w:val="17"/>
                <w:szCs w:val="17"/>
                <w:color w:val="auto"/>
              </w:rPr>
            </w:pPr>
          </w:p>
        </w:tc>
      </w:tr>
      <w:tr>
        <w:trPr>
          <w:trHeight w:val="232"/>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08"/>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June 30, 2024,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8, 2024</w:t>
            </w: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 Allen Nicholson</w:t>
            </w:r>
          </w:p>
        </w:tc>
      </w:tr>
      <w:tr>
        <w:trPr>
          <w:trHeight w:val="232"/>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20"/>
                <w:szCs w:val="20"/>
                <w:color w:val="auto"/>
              </w:rPr>
            </w:pPr>
          </w:p>
        </w:tc>
      </w:tr>
      <w:tr>
        <w:trPr>
          <w:trHeight w:val="234"/>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5"/>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lvl w:ilvl="1">
      <w:lvlJc w:val="left"/>
      <w:lvlText w:val="%2"/>
      <w:numFmt w:val="decimal"/>
      <w:start w:val="104"/>
    </w:lvl>
  </w:abstractNum>
  <w:abstractNum w:abstractNumId="24">
    <w:nsid w:val="71F32454"/>
    <w:multiLevelType w:val="hybridMultilevel"/>
    <w:lvl w:ilvl="0">
      <w:lvlJc w:val="left"/>
      <w:lvlText w:val="**"/>
      <w:numFmt w:val="bullet"/>
      <w:start w:val="1"/>
    </w:lvl>
    <w:lvl w:ilvl="1">
      <w:lvlJc w:val="left"/>
      <w:lvlText w:val="%2"/>
      <w:numFmt w:val="decimal"/>
      <w:start w:val="1"/>
    </w:lvl>
  </w:abstractNum>
  <w:abstractNum w:abstractNumId="25">
    <w:nsid w:val="2CA88611"/>
    <w:multiLevelType w:val="hybridMultilevel"/>
    <w:lvl w:ilvl="0">
      <w:lvlJc w:val="left"/>
      <w:lvlText w:val="†"/>
      <w:numFmt w:val="bullet"/>
      <w:start w:val="1"/>
    </w:lvl>
    <w:lvl w:ilvl="1">
      <w:lvlJc w:val="left"/>
      <w:lvlText w:val="(%2)"/>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81" Type="http://schemas.openxmlformats.org/officeDocument/2006/relationships/hyperlink" Target="https://www.sec.gov/Archives/edgar/data/354647/000095017023005167/cvbf-ex10_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2024-08-08T10:39:10Z</dcterms:created>
  <dcterms:modified xsi:type="dcterms:W3CDTF">2024-08-08T10:39:10Z</dcterms:modified>
</cp:coreProperties>
</file>