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(Mark One)</w:t>
      </w:r>
    </w:p>
    <w:p>
      <w:pPr>
        <w:spacing w:after="0" w:line="93" w:lineRule="exact"/>
        <w:rPr>
          <w:sz w:val="24"/>
          <w:szCs w:val="24"/>
          <w:color w:val="auto"/>
        </w:rPr>
      </w:pPr>
    </w:p>
    <w:p>
      <w:pPr>
        <w:ind w:left="3960" w:right="2780" w:hanging="3952"/>
        <w:spacing w:after="0" w:line="511" w:lineRule="auto"/>
        <w:tabs>
          <w:tab w:leader="none" w:pos="212"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 xml:space="preserve">QUARTERLY REPORT PURSUANT TO SECTION 13 OR 15(d) OF THE SECURITIES EXCHANGE ACT OF 1934 </w:t>
      </w:r>
      <w:r>
        <w:rPr>
          <w:rFonts w:ascii="Times New Roman" w:cs="Times New Roman" w:eastAsia="Times New Roman" w:hAnsi="Times New Roman"/>
          <w:sz w:val="16"/>
          <w:szCs w:val="16"/>
          <w:color w:val="auto"/>
        </w:rPr>
        <w:t>For the quarterly period ended September 30, 2022</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246" w:lineRule="exact"/>
        <w:rPr>
          <w:sz w:val="24"/>
          <w:szCs w:val="24"/>
          <w:color w:val="auto"/>
        </w:rPr>
      </w:pPr>
    </w:p>
    <w:p>
      <w:pPr>
        <w:ind w:left="3480" w:right="2760" w:hanging="3472"/>
        <w:spacing w:after="0" w:line="237" w:lineRule="auto"/>
        <w:tabs>
          <w:tab w:leader="none" w:pos="233" w:val="left"/>
        </w:tabs>
        <w:numPr>
          <w:ilvl w:val="0"/>
          <w:numId w:val="2"/>
        </w:numPr>
        <w:rPr>
          <w:rFonts w:ascii="Wingdings" w:cs="Wingdings" w:eastAsia="Wingdings" w:hAnsi="Wingdings"/>
          <w:sz w:val="20"/>
          <w:szCs w:val="20"/>
          <w:b w:val="1"/>
          <w:bCs w:val="1"/>
          <w:color w:val="auto"/>
        </w:rPr>
      </w:pPr>
      <w:r>
        <w:rPr>
          <w:rFonts w:ascii="Times New Roman" w:cs="Times New Roman" w:eastAsia="Times New Roman" w:hAnsi="Times New Roman"/>
          <w:sz w:val="16"/>
          <w:szCs w:val="16"/>
          <w:b w:val="1"/>
          <w:bCs w:val="1"/>
          <w:color w:val="auto"/>
        </w:rPr>
        <w:t xml:space="preserve">TRANSITION REPORT PURSUANT TO SECTION 13 OR 15(d) OF THE SECURITIES EXCHANGE ACT OF 1934 </w:t>
      </w:r>
      <w:r>
        <w:rPr>
          <w:rFonts w:ascii="Times New Roman" w:cs="Times New Roman" w:eastAsia="Times New Roman" w:hAnsi="Times New Roman"/>
          <w:sz w:val="16"/>
          <w:szCs w:val="16"/>
          <w:color w:val="auto"/>
        </w:rPr>
        <w:t>For the transition period from _____ to _____</w:t>
      </w:r>
    </w:p>
    <w:p>
      <w:pPr>
        <w:spacing w:after="0" w:line="384"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60" w:type="dxa"/>
            <w:vAlign w:val="bottom"/>
            <w:gridSpan w:val="2"/>
          </w:tcPr>
          <w:p>
            <w:pPr>
              <w:jc w:val="center"/>
              <w:ind w:left="278"/>
              <w:spacing w:after="0"/>
              <w:rPr>
                <w:sz w:val="20"/>
                <w:szCs w:val="20"/>
                <w:color w:val="auto"/>
              </w:rPr>
            </w:pPr>
            <w:r>
              <w:rPr>
                <w:rFonts w:ascii="Times New Roman" w:cs="Times New Roman" w:eastAsia="Times New Roman" w:hAnsi="Times New Roman"/>
                <w:sz w:val="16"/>
                <w:szCs w:val="16"/>
                <w:color w:val="auto"/>
              </w:rPr>
              <w:t>Commission File Number: 000-10140</w:t>
            </w:r>
          </w:p>
        </w:tc>
        <w:tc>
          <w:tcPr>
            <w:tcW w:w="4120" w:type="dxa"/>
            <w:vAlign w:val="bottom"/>
          </w:tcPr>
          <w:p>
            <w:pPr>
              <w:spacing w:after="0"/>
              <w:rPr>
                <w:sz w:val="18"/>
                <w:szCs w:val="18"/>
                <w:color w:val="auto"/>
              </w:rPr>
            </w:pPr>
          </w:p>
        </w:tc>
      </w:tr>
      <w:tr>
        <w:trPr>
          <w:trHeight w:val="649"/>
        </w:trPr>
        <w:tc>
          <w:tcPr>
            <w:tcW w:w="3360" w:type="dxa"/>
            <w:vAlign w:val="bottom"/>
          </w:tcPr>
          <w:p>
            <w:pPr>
              <w:spacing w:after="0"/>
              <w:rPr>
                <w:sz w:val="24"/>
                <w:szCs w:val="24"/>
                <w:color w:val="auto"/>
              </w:rPr>
            </w:pPr>
          </w:p>
        </w:tc>
        <w:tc>
          <w:tcPr>
            <w:tcW w:w="7880" w:type="dxa"/>
            <w:vAlign w:val="bottom"/>
            <w:gridSpan w:val="4"/>
          </w:tcPr>
          <w:p>
            <w:pPr>
              <w:jc w:val="center"/>
              <w:ind w:right="3259"/>
              <w:spacing w:after="0"/>
              <w:rPr>
                <w:sz w:val="20"/>
                <w:szCs w:val="20"/>
                <w:color w:val="auto"/>
              </w:rPr>
            </w:pPr>
            <w:r>
              <w:rPr>
                <w:rFonts w:ascii="Times New Roman" w:cs="Times New Roman" w:eastAsia="Times New Roman" w:hAnsi="Times New Roman"/>
                <w:sz w:val="40"/>
                <w:szCs w:val="40"/>
                <w:b w:val="1"/>
                <w:bCs w:val="1"/>
                <w:color w:val="auto"/>
                <w:w w:val="98"/>
              </w:rPr>
              <w:t>CVB FINANCIAL CORP.</w:t>
            </w:r>
          </w:p>
        </w:tc>
      </w:tr>
      <w:tr>
        <w:trPr>
          <w:trHeight w:val="234"/>
        </w:trPr>
        <w:tc>
          <w:tcPr>
            <w:tcW w:w="3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80" w:type="dxa"/>
            <w:vAlign w:val="bottom"/>
            <w:gridSpan w:val="3"/>
          </w:tcPr>
          <w:p>
            <w:pPr>
              <w:jc w:val="center"/>
              <w:ind w:right="36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399"/>
        </w:trPr>
        <w:tc>
          <w:tcPr>
            <w:tcW w:w="3360" w:type="dxa"/>
            <w:vAlign w:val="bottom"/>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w w:val="99"/>
              </w:rPr>
              <w:t>California</w:t>
            </w:r>
          </w:p>
        </w:tc>
        <w:tc>
          <w:tcPr>
            <w:tcW w:w="4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20" w:type="dxa"/>
            <w:vAlign w:val="bottom"/>
          </w:tcPr>
          <w:p>
            <w:pPr>
              <w:jc w:val="right"/>
              <w:ind w:right="1539"/>
              <w:spacing w:after="0"/>
              <w:rPr>
                <w:sz w:val="20"/>
                <w:szCs w:val="20"/>
                <w:color w:val="auto"/>
              </w:rPr>
            </w:pPr>
            <w:r>
              <w:rPr>
                <w:rFonts w:ascii="Times New Roman" w:cs="Times New Roman" w:eastAsia="Times New Roman" w:hAnsi="Times New Roman"/>
                <w:sz w:val="16"/>
                <w:szCs w:val="16"/>
                <w:b w:val="1"/>
                <w:bCs w:val="1"/>
                <w:color w:val="auto"/>
              </w:rPr>
              <w:t>95-3629339</w:t>
            </w:r>
          </w:p>
        </w:tc>
      </w:tr>
      <w:tr>
        <w:trPr>
          <w:trHeight w:val="182"/>
        </w:trPr>
        <w:tc>
          <w:tcPr>
            <w:tcW w:w="3360" w:type="dxa"/>
            <w:vAlign w:val="bottom"/>
          </w:tcPr>
          <w:p>
            <w:pPr>
              <w:jc w:val="center"/>
              <w:ind w:left="599"/>
              <w:spacing w:after="0" w:line="181"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4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1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360" w:type="dxa"/>
            <w:vAlign w:val="bottom"/>
          </w:tcPr>
          <w:p>
            <w:pPr>
              <w:jc w:val="center"/>
              <w:ind w:left="59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1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435"/>
        </w:trPr>
        <w:tc>
          <w:tcPr>
            <w:tcW w:w="3360" w:type="dxa"/>
            <w:vAlign w:val="bottom"/>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701 North Haven Ave., Suite 350</w:t>
            </w:r>
          </w:p>
        </w:tc>
        <w:tc>
          <w:tcPr>
            <w:tcW w:w="4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05"/>
        </w:trPr>
        <w:tc>
          <w:tcPr>
            <w:tcW w:w="3360" w:type="dxa"/>
            <w:vAlign w:val="bottom"/>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Ontario, California</w:t>
            </w:r>
          </w:p>
        </w:tc>
        <w:tc>
          <w:tcPr>
            <w:tcW w:w="4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120" w:type="dxa"/>
            <w:vAlign w:val="bottom"/>
          </w:tcPr>
          <w:p>
            <w:pPr>
              <w:jc w:val="right"/>
              <w:ind w:right="1719"/>
              <w:spacing w:after="0"/>
              <w:rPr>
                <w:sz w:val="20"/>
                <w:szCs w:val="20"/>
                <w:color w:val="auto"/>
              </w:rPr>
            </w:pPr>
            <w:r>
              <w:rPr>
                <w:rFonts w:ascii="Times New Roman" w:cs="Times New Roman" w:eastAsia="Times New Roman" w:hAnsi="Times New Roman"/>
                <w:sz w:val="16"/>
                <w:szCs w:val="16"/>
                <w:b w:val="1"/>
                <w:bCs w:val="1"/>
                <w:color w:val="auto"/>
              </w:rPr>
              <w:t>91764</w:t>
            </w:r>
          </w:p>
        </w:tc>
      </w:tr>
      <w:tr>
        <w:trPr>
          <w:trHeight w:val="210"/>
        </w:trPr>
        <w:tc>
          <w:tcPr>
            <w:tcW w:w="3360" w:type="dxa"/>
            <w:vAlign w:val="bottom"/>
          </w:tcPr>
          <w:p>
            <w:pPr>
              <w:jc w:val="center"/>
              <w:ind w:left="61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1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8"/>
              </w:rPr>
              <w:t>(Zip Code)</w:t>
            </w:r>
          </w:p>
        </w:tc>
      </w:tr>
      <w:tr>
        <w:trPr>
          <w:trHeight w:val="405"/>
        </w:trPr>
        <w:tc>
          <w:tcPr>
            <w:tcW w:w="3360" w:type="dxa"/>
            <w:vAlign w:val="bottom"/>
          </w:tcPr>
          <w:p>
            <w:pPr>
              <w:spacing w:after="0"/>
              <w:rPr>
                <w:sz w:val="24"/>
                <w:szCs w:val="24"/>
                <w:color w:val="auto"/>
              </w:rPr>
            </w:pPr>
          </w:p>
        </w:tc>
        <w:tc>
          <w:tcPr>
            <w:tcW w:w="3080" w:type="dxa"/>
            <w:vAlign w:val="bottom"/>
            <w:gridSpan w:val="2"/>
          </w:tcPr>
          <w:p>
            <w:pPr>
              <w:jc w:val="center"/>
              <w:ind w:left="1321"/>
              <w:spacing w:after="0"/>
              <w:rPr>
                <w:sz w:val="20"/>
                <w:szCs w:val="20"/>
                <w:color w:val="auto"/>
              </w:rPr>
            </w:pPr>
            <w:r>
              <w:rPr>
                <w:rFonts w:ascii="Times New Roman" w:cs="Times New Roman" w:eastAsia="Times New Roman" w:hAnsi="Times New Roman"/>
                <w:sz w:val="16"/>
                <w:szCs w:val="16"/>
                <w:b w:val="1"/>
                <w:bCs w:val="1"/>
                <w:color w:val="auto"/>
              </w:rPr>
              <w:t>(909) 980-4030</w:t>
            </w:r>
          </w:p>
        </w:tc>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195"/>
        </w:trPr>
        <w:tc>
          <w:tcPr>
            <w:tcW w:w="3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60" w:type="dxa"/>
            <w:vAlign w:val="bottom"/>
            <w:gridSpan w:val="2"/>
          </w:tcPr>
          <w:p>
            <w:pPr>
              <w:jc w:val="center"/>
              <w:ind w:left="298"/>
              <w:spacing w:after="0"/>
              <w:rPr>
                <w:sz w:val="20"/>
                <w:szCs w:val="20"/>
                <w:color w:val="auto"/>
              </w:rPr>
            </w:pPr>
            <w:r>
              <w:rPr>
                <w:rFonts w:ascii="Times New Roman" w:cs="Times New Roman" w:eastAsia="Times New Roman" w:hAnsi="Times New Roman"/>
                <w:sz w:val="16"/>
                <w:szCs w:val="16"/>
                <w:color w:val="auto"/>
              </w:rPr>
              <w:t>(Registrant's telephone number,</w:t>
            </w:r>
          </w:p>
        </w:tc>
        <w:tc>
          <w:tcPr>
            <w:tcW w:w="4120" w:type="dxa"/>
            <w:vAlign w:val="bottom"/>
          </w:tcPr>
          <w:p>
            <w:pPr>
              <w:spacing w:after="0"/>
              <w:rPr>
                <w:sz w:val="16"/>
                <w:szCs w:val="16"/>
                <w:color w:val="auto"/>
              </w:rPr>
            </w:pPr>
          </w:p>
        </w:tc>
      </w:tr>
      <w:tr>
        <w:trPr>
          <w:trHeight w:val="210"/>
        </w:trPr>
        <w:tc>
          <w:tcPr>
            <w:tcW w:w="3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60" w:type="dxa"/>
            <w:vAlign w:val="bottom"/>
            <w:gridSpan w:val="2"/>
          </w:tcPr>
          <w:p>
            <w:pPr>
              <w:jc w:val="center"/>
              <w:ind w:left="298"/>
              <w:spacing w:after="0"/>
              <w:rPr>
                <w:sz w:val="20"/>
                <w:szCs w:val="20"/>
                <w:color w:val="auto"/>
              </w:rPr>
            </w:pPr>
            <w:r>
              <w:rPr>
                <w:rFonts w:ascii="Times New Roman" w:cs="Times New Roman" w:eastAsia="Times New Roman" w:hAnsi="Times New Roman"/>
                <w:sz w:val="16"/>
                <w:szCs w:val="16"/>
                <w:color w:val="auto"/>
              </w:rPr>
              <w:t>including area code)</w:t>
            </w:r>
          </w:p>
        </w:tc>
        <w:tc>
          <w:tcPr>
            <w:tcW w:w="4120" w:type="dxa"/>
            <w:vAlign w:val="bottom"/>
          </w:tcPr>
          <w:p>
            <w:pPr>
              <w:spacing w:after="0"/>
              <w:rPr>
                <w:sz w:val="18"/>
                <w:szCs w:val="18"/>
                <w:color w:val="auto"/>
              </w:rPr>
            </w:pPr>
          </w:p>
        </w:tc>
      </w:tr>
      <w:tr>
        <w:trPr>
          <w:trHeight w:val="426"/>
        </w:trPr>
        <w:tc>
          <w:tcPr>
            <w:tcW w:w="7120" w:type="dxa"/>
            <w:vAlign w:val="bottom"/>
            <w:tcBorders>
              <w:bottom w:val="single" w:sz="8" w:color="auto"/>
            </w:tcBorders>
            <w:gridSpan w:val="4"/>
          </w:tcPr>
          <w:p>
            <w:pPr>
              <w:jc w:val="center"/>
              <w:ind w:right="33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4120" w:type="dxa"/>
            <w:vAlign w:val="bottom"/>
            <w:tcBorders>
              <w:bottom w:val="single" w:sz="8" w:color="auto"/>
            </w:tcBorders>
          </w:tcPr>
          <w:p>
            <w:pPr>
              <w:spacing w:after="0"/>
              <w:rPr>
                <w:sz w:val="24"/>
                <w:szCs w:val="24"/>
                <w:color w:val="auto"/>
              </w:rPr>
            </w:pPr>
          </w:p>
        </w:tc>
      </w:tr>
      <w:tr>
        <w:trPr>
          <w:trHeight w:val="197"/>
        </w:trPr>
        <w:tc>
          <w:tcPr>
            <w:tcW w:w="3360" w:type="dxa"/>
            <w:vAlign w:val="bottom"/>
            <w:tcBorders>
              <w:left w:val="single" w:sz="8" w:color="auto"/>
              <w:bottom w:val="single" w:sz="8" w:color="auto"/>
            </w:tcBorders>
          </w:tcPr>
          <w:p>
            <w:pPr>
              <w:jc w:val="center"/>
              <w:ind w:left="319"/>
              <w:spacing w:after="0" w:line="178" w:lineRule="exact"/>
              <w:rPr>
                <w:sz w:val="20"/>
                <w:szCs w:val="20"/>
                <w:color w:val="auto"/>
              </w:rPr>
            </w:pPr>
            <w:r>
              <w:rPr>
                <w:rFonts w:ascii="Times New Roman" w:cs="Times New Roman" w:eastAsia="Times New Roman" w:hAnsi="Times New Roman"/>
                <w:sz w:val="16"/>
                <w:szCs w:val="16"/>
                <w:color w:val="auto"/>
                <w:w w:val="99"/>
              </w:rPr>
              <w:t>Title of each class</w:t>
            </w:r>
          </w:p>
        </w:tc>
        <w:tc>
          <w:tcPr>
            <w:tcW w:w="40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6"/>
                <w:szCs w:val="16"/>
                <w:color w:val="auto"/>
              </w:rPr>
              <w:t>Trading Symbol(s)</w:t>
            </w:r>
          </w:p>
        </w:tc>
        <w:tc>
          <w:tcPr>
            <w:tcW w:w="680" w:type="dxa"/>
            <w:vAlign w:val="bottom"/>
            <w:tcBorders>
              <w:bottom w:val="single" w:sz="8" w:color="auto"/>
            </w:tcBorders>
          </w:tcPr>
          <w:p>
            <w:pPr>
              <w:spacing w:after="0"/>
              <w:rPr>
                <w:sz w:val="17"/>
                <w:szCs w:val="17"/>
                <w:color w:val="auto"/>
              </w:rPr>
            </w:pPr>
          </w:p>
        </w:tc>
        <w:tc>
          <w:tcPr>
            <w:tcW w:w="4120" w:type="dxa"/>
            <w:vAlign w:val="bottom"/>
            <w:tcBorders>
              <w:bottom w:val="single" w:sz="8" w:color="auto"/>
              <w:right w:val="single" w:sz="8" w:color="auto"/>
            </w:tcBorders>
          </w:tcPr>
          <w:p>
            <w:pPr>
              <w:jc w:val="center"/>
              <w:ind w:right="619"/>
              <w:spacing w:after="0" w:line="178" w:lineRule="exact"/>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79"/>
        </w:trPr>
        <w:tc>
          <w:tcPr>
            <w:tcW w:w="3360" w:type="dxa"/>
            <w:vAlign w:val="bottom"/>
            <w:tcBorders>
              <w:left w:val="single" w:sz="8" w:color="auto"/>
              <w:bottom w:val="single" w:sz="8" w:color="auto"/>
            </w:tcBorders>
          </w:tcPr>
          <w:p>
            <w:pPr>
              <w:jc w:val="center"/>
              <w:ind w:left="319"/>
              <w:spacing w:after="0" w:line="179" w:lineRule="exact"/>
              <w:rPr>
                <w:sz w:val="20"/>
                <w:szCs w:val="20"/>
                <w:color w:val="auto"/>
              </w:rPr>
            </w:pPr>
            <w:r>
              <w:rPr>
                <w:rFonts w:ascii="Times New Roman" w:cs="Times New Roman" w:eastAsia="Times New Roman" w:hAnsi="Times New Roman"/>
                <w:sz w:val="16"/>
                <w:szCs w:val="16"/>
                <w:color w:val="auto"/>
              </w:rPr>
              <w:t>Common Stock, No Par Value</w:t>
            </w:r>
          </w:p>
        </w:tc>
        <w:tc>
          <w:tcPr>
            <w:tcW w:w="400" w:type="dxa"/>
            <w:vAlign w:val="bottom"/>
            <w:tcBorders>
              <w:bottom w:val="single" w:sz="8" w:color="auto"/>
              <w:right w:val="single" w:sz="8" w:color="auto"/>
            </w:tcBorders>
          </w:tcPr>
          <w:p>
            <w:pPr>
              <w:spacing w:after="0"/>
              <w:rPr>
                <w:sz w:val="15"/>
                <w:szCs w:val="15"/>
                <w:color w:val="auto"/>
              </w:rPr>
            </w:pPr>
          </w:p>
        </w:tc>
        <w:tc>
          <w:tcPr>
            <w:tcW w:w="2680" w:type="dxa"/>
            <w:vAlign w:val="bottom"/>
            <w:tcBorders>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CVBF</w:t>
            </w:r>
          </w:p>
        </w:tc>
        <w:tc>
          <w:tcPr>
            <w:tcW w:w="680" w:type="dxa"/>
            <w:vAlign w:val="bottom"/>
            <w:tcBorders>
              <w:bottom w:val="single" w:sz="8" w:color="auto"/>
            </w:tcBorders>
          </w:tcPr>
          <w:p>
            <w:pPr>
              <w:spacing w:after="0"/>
              <w:rPr>
                <w:sz w:val="15"/>
                <w:szCs w:val="15"/>
                <w:color w:val="auto"/>
              </w:rPr>
            </w:pPr>
          </w:p>
        </w:tc>
        <w:tc>
          <w:tcPr>
            <w:tcW w:w="4120" w:type="dxa"/>
            <w:vAlign w:val="bottom"/>
            <w:tcBorders>
              <w:bottom w:val="single" w:sz="8" w:color="auto"/>
              <w:right w:val="single" w:sz="8" w:color="auto"/>
            </w:tcBorders>
          </w:tcPr>
          <w:p>
            <w:pPr>
              <w:jc w:val="center"/>
              <w:ind w:right="619"/>
              <w:spacing w:after="0" w:line="179" w:lineRule="exact"/>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75"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7"/>
          <w:szCs w:val="17"/>
          <w:color w:val="auto"/>
        </w:rPr>
        <w:t>Yes</w:t>
      </w:r>
      <w:r>
        <w:rPr>
          <w:rFonts w:ascii="Times New Roman" w:cs="Times New Roman" w:eastAsia="Times New Roman" w:hAnsi="Times New Roman"/>
          <w:sz w:val="16"/>
          <w:szCs w:val="16"/>
          <w:color w:val="auto"/>
        </w:rPr>
        <w:t xml:space="preserve"> </w:t>
      </w:r>
      <w:r>
        <w:rPr>
          <w:rFonts w:ascii="Wingdings" w:cs="Wingdings" w:eastAsia="Wingdings" w:hAnsi="Wingdings"/>
          <w:sz w:val="17"/>
          <w:szCs w:val="17"/>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 xml:space="preserve">No </w:t>
      </w:r>
      <w:r>
        <w:rPr>
          <w:rFonts w:ascii="Wingdings" w:cs="Wingdings" w:eastAsia="Wingdings" w:hAnsi="Wingdings"/>
          <w:sz w:val="17"/>
          <w:szCs w:val="17"/>
          <w:b w:val="1"/>
          <w:bCs w:val="1"/>
          <w:color w:val="auto"/>
        </w:rPr>
        <w:t></w:t>
      </w:r>
    </w:p>
    <w:p>
      <w:pPr>
        <w:spacing w:after="0" w:line="125" w:lineRule="exact"/>
        <w:rPr>
          <w:sz w:val="24"/>
          <w:szCs w:val="24"/>
          <w:color w:val="auto"/>
        </w:rPr>
      </w:pPr>
    </w:p>
    <w:p>
      <w:pPr>
        <w:jc w:val="both"/>
        <w:spacing w:after="0" w:line="304"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cs="Times New Roman" w:eastAsia="Times New Roman" w:hAnsi="Times New Roman"/>
          <w:sz w:val="17"/>
          <w:szCs w:val="17"/>
          <w:color w:val="auto"/>
        </w:rPr>
        <w:t>Yes</w:t>
      </w:r>
      <w:r>
        <w:rPr>
          <w:rFonts w:ascii="Times New Roman" w:cs="Times New Roman" w:eastAsia="Times New Roman" w:hAnsi="Times New Roman"/>
          <w:sz w:val="16"/>
          <w:szCs w:val="16"/>
          <w:color w:val="auto"/>
        </w:rPr>
        <w:t xml:space="preserve"> </w:t>
      </w:r>
      <w:r>
        <w:rPr>
          <w:rFonts w:ascii="Wingdings" w:cs="Wingdings" w:eastAsia="Wingdings" w:hAnsi="Wingdings"/>
          <w:sz w:val="17"/>
          <w:szCs w:val="17"/>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No</w:t>
      </w:r>
      <w:r>
        <w:rPr>
          <w:rFonts w:ascii="Times New Roman" w:cs="Times New Roman" w:eastAsia="Times New Roman" w:hAnsi="Times New Roman"/>
          <w:sz w:val="16"/>
          <w:szCs w:val="16"/>
          <w:color w:val="auto"/>
        </w:rPr>
        <w:t xml:space="preserve"> </w:t>
      </w:r>
      <w:r>
        <w:rPr>
          <w:rFonts w:ascii="Wingdings" w:cs="Wingdings" w:eastAsia="Wingdings" w:hAnsi="Wingdings"/>
          <w:sz w:val="17"/>
          <w:szCs w:val="17"/>
          <w:b w:val="1"/>
          <w:bCs w:val="1"/>
          <w:color w:val="auto"/>
        </w:rPr>
        <w:t></w:t>
      </w:r>
    </w:p>
    <w:p>
      <w:pPr>
        <w:spacing w:after="0" w:line="127"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accelerated filer, non-accelerated filer or smaller reporting company, or emerging growth company. See definition of “large accelerated filer,” “accelerated filer,” “smaller reporting company,” and “emerging growth company” in Rule 12b-2 of the Exchange Act. (Check one):</w:t>
      </w:r>
    </w:p>
    <w:p>
      <w:pPr>
        <w:spacing w:after="0" w:line="368"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40" w:type="dxa"/>
            <w:vAlign w:val="bottom"/>
          </w:tcPr>
          <w:p>
            <w:pPr>
              <w:ind w:left="460"/>
              <w:spacing w:after="0"/>
              <w:rPr>
                <w:sz w:val="20"/>
                <w:szCs w:val="20"/>
                <w:color w:val="auto"/>
              </w:rPr>
            </w:pPr>
            <w:r>
              <w:rPr>
                <w:rFonts w:ascii="Wingdings" w:cs="Wingdings" w:eastAsia="Wingdings" w:hAnsi="Wingdings"/>
                <w:sz w:val="16"/>
                <w:szCs w:val="16"/>
                <w:b w:val="1"/>
                <w:bCs w:val="1"/>
                <w:color w:val="auto"/>
              </w:rPr>
              <w:t></w:t>
            </w:r>
          </w:p>
        </w:tc>
        <w:tc>
          <w:tcPr>
            <w:tcW w:w="4700" w:type="dxa"/>
            <w:vAlign w:val="bottom"/>
          </w:tcPr>
          <w:p>
            <w:pPr>
              <w:ind w:left="252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400"/>
              <w:spacing w:after="0"/>
              <w:rPr>
                <w:sz w:val="20"/>
                <w:szCs w:val="20"/>
                <w:color w:val="auto"/>
              </w:rPr>
            </w:pPr>
            <w:r>
              <w:rPr>
                <w:rFonts w:ascii="Wingdings" w:cs="Wingdings" w:eastAsia="Wingdings" w:hAnsi="Wingdings"/>
                <w:sz w:val="16"/>
                <w:szCs w:val="16"/>
                <w:b w:val="1"/>
                <w:bCs w:val="1"/>
                <w:color w:val="auto"/>
                <w:w w:val="83"/>
              </w:rPr>
              <w:t></w:t>
            </w:r>
          </w:p>
        </w:tc>
      </w:tr>
      <w:tr>
        <w:trPr>
          <w:trHeight w:val="203"/>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40" w:type="dxa"/>
            <w:vAlign w:val="bottom"/>
          </w:tcPr>
          <w:p>
            <w:pPr>
              <w:ind w:left="460"/>
              <w:spacing w:after="0"/>
              <w:rPr>
                <w:sz w:val="20"/>
                <w:szCs w:val="20"/>
                <w:color w:val="auto"/>
              </w:rPr>
            </w:pPr>
            <w:r>
              <w:rPr>
                <w:rFonts w:ascii="Wingdings" w:cs="Wingdings" w:eastAsia="Wingdings" w:hAnsi="Wingdings"/>
                <w:sz w:val="16"/>
                <w:szCs w:val="16"/>
                <w:b w:val="1"/>
                <w:bCs w:val="1"/>
                <w:color w:val="auto"/>
              </w:rPr>
              <w:t></w:t>
            </w:r>
          </w:p>
        </w:tc>
        <w:tc>
          <w:tcPr>
            <w:tcW w:w="4700" w:type="dxa"/>
            <w:vAlign w:val="bottom"/>
          </w:tcPr>
          <w:p>
            <w:pPr>
              <w:ind w:left="25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400"/>
              <w:spacing w:after="0"/>
              <w:rPr>
                <w:sz w:val="20"/>
                <w:szCs w:val="20"/>
                <w:color w:val="auto"/>
              </w:rPr>
            </w:pPr>
            <w:r>
              <w:rPr>
                <w:rFonts w:ascii="Wingdings" w:cs="Wingdings" w:eastAsia="Wingdings" w:hAnsi="Wingdings"/>
                <w:sz w:val="16"/>
                <w:szCs w:val="16"/>
                <w:b w:val="1"/>
                <w:bCs w:val="1"/>
                <w:color w:val="auto"/>
                <w:w w:val="83"/>
              </w:rPr>
              <w:t></w:t>
            </w:r>
          </w:p>
        </w:tc>
      </w:tr>
      <w:tr>
        <w:trPr>
          <w:trHeight w:val="210"/>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140" w:type="dxa"/>
            <w:vAlign w:val="bottom"/>
          </w:tcPr>
          <w:p>
            <w:pPr>
              <w:ind w:left="460"/>
              <w:spacing w:after="0"/>
              <w:rPr>
                <w:sz w:val="20"/>
                <w:szCs w:val="20"/>
                <w:color w:val="auto"/>
              </w:rPr>
            </w:pPr>
            <w:r>
              <w:rPr>
                <w:rFonts w:ascii="Wingdings" w:cs="Wingdings" w:eastAsia="Wingdings" w:hAnsi="Wingdings"/>
                <w:sz w:val="16"/>
                <w:szCs w:val="16"/>
                <w:b w:val="1"/>
                <w:bCs w:val="1"/>
                <w:color w:val="auto"/>
              </w:rPr>
              <w:t></w:t>
            </w:r>
          </w:p>
        </w:tc>
        <w:tc>
          <w:tcPr>
            <w:tcW w:w="4700" w:type="dxa"/>
            <w:vAlign w:val="bottom"/>
          </w:tcPr>
          <w:p>
            <w:pPr>
              <w:spacing w:after="0"/>
              <w:rPr>
                <w:sz w:val="18"/>
                <w:szCs w:val="18"/>
                <w:color w:val="auto"/>
              </w:rPr>
            </w:pPr>
          </w:p>
        </w:tc>
        <w:tc>
          <w:tcPr>
            <w:tcW w:w="540" w:type="dxa"/>
            <w:vAlign w:val="bottom"/>
          </w:tcPr>
          <w:p>
            <w:pPr>
              <w:spacing w:after="0"/>
              <w:rPr>
                <w:sz w:val="18"/>
                <w:szCs w:val="18"/>
                <w:color w:val="auto"/>
              </w:rPr>
            </w:pPr>
          </w:p>
        </w:tc>
      </w:tr>
    </w:tbl>
    <w:p>
      <w:pPr>
        <w:spacing w:after="0" w:line="181"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w:t>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w:t>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Number of shares of common stock of the registrant: 139,808,001 outstanding as of October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80" w:type="dxa"/>
            <w:vAlign w:val="bottom"/>
            <w:gridSpan w:val="12"/>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 –</w:t>
            </w:r>
          </w:p>
        </w:tc>
        <w:tc>
          <w:tcPr>
            <w:tcW w:w="34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FINANCIAL INFORMATION (UNAUDITED)</w:t>
            </w:r>
          </w:p>
        </w:tc>
        <w:tc>
          <w:tcPr>
            <w:tcW w:w="20" w:type="dxa"/>
            <w:vAlign w:val="bottom"/>
            <w:tcBorders>
              <w:bottom w:val="single" w:sz="8" w:color="0000EE"/>
            </w:tcBorders>
          </w:tcPr>
          <w:p>
            <w:pPr>
              <w:spacing w:after="0"/>
              <w:rPr>
                <w:sz w:val="24"/>
                <w:szCs w:val="24"/>
                <w:color w:val="auto"/>
              </w:rPr>
            </w:pPr>
          </w:p>
        </w:tc>
        <w:tc>
          <w:tcPr>
            <w:tcW w:w="5680" w:type="dxa"/>
            <w:vAlign w:val="bottom"/>
            <w:gridSpan w:val="8"/>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80" w:type="dxa"/>
            <w:vAlign w:val="bottom"/>
            <w:gridSpan w:val="2"/>
          </w:tcPr>
          <w:p>
            <w:pPr>
              <w:ind w:left="200"/>
              <w:spacing w:after="0" w:line="182" w:lineRule="exact"/>
              <w:rPr>
                <w:sz w:val="20"/>
                <w:szCs w:val="20"/>
                <w:color w:val="auto"/>
              </w:rPr>
            </w:pPr>
            <w:r>
              <w:rPr>
                <w:rFonts w:ascii="Times New Roman" w:cs="Times New Roman" w:eastAsia="Times New Roman" w:hAnsi="Times New Roman"/>
                <w:sz w:val="18"/>
                <w:szCs w:val="18"/>
                <w:b w:val="1"/>
                <w:bCs w:val="1"/>
                <w:color w:val="auto"/>
              </w:rPr>
              <w:t>ITEM 1.</w:t>
            </w:r>
          </w:p>
        </w:tc>
        <w:tc>
          <w:tcPr>
            <w:tcW w:w="3500" w:type="dxa"/>
            <w:vAlign w:val="bottom"/>
            <w:gridSpan w:val="14"/>
          </w:tcPr>
          <w:p>
            <w:pPr>
              <w:spacing w:after="0" w:line="182" w:lineRule="exact"/>
              <w:rPr>
                <w:sz w:val="20"/>
                <w:szCs w:val="20"/>
                <w:color w:val="auto"/>
              </w:rPr>
            </w:pPr>
            <w:r>
              <w:rPr>
                <w:rFonts w:ascii="Times New Roman" w:cs="Times New Roman" w:eastAsia="Times New Roman" w:hAnsi="Times New Roman"/>
                <w:sz w:val="18"/>
                <w:szCs w:val="18"/>
                <w:color w:val="0000FF"/>
                <w:w w:val="98"/>
              </w:rPr>
              <w:t>CONDENSED CONSOLIDATED FINANCIAL</w:t>
            </w:r>
          </w:p>
        </w:tc>
        <w:tc>
          <w:tcPr>
            <w:tcW w:w="5680" w:type="dxa"/>
            <w:vAlign w:val="bottom"/>
            <w:gridSpan w:val="8"/>
          </w:tcPr>
          <w:p>
            <w:pPr>
              <w:ind w:left="60"/>
              <w:spacing w:after="0" w:line="182" w:lineRule="exact"/>
              <w:rPr>
                <w:sz w:val="20"/>
                <w:szCs w:val="20"/>
                <w:color w:val="auto"/>
              </w:rPr>
            </w:pPr>
            <w:r>
              <w:rPr>
                <w:rFonts w:ascii="Times New Roman" w:cs="Times New Roman" w:eastAsia="Times New Roman" w:hAnsi="Times New Roman"/>
                <w:sz w:val="18"/>
                <w:szCs w:val="18"/>
                <w:color w:val="0000FF"/>
              </w:rPr>
              <w:t>STATEMENTS</w:t>
            </w: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700" w:type="dxa"/>
            <w:vAlign w:val="bottom"/>
            <w:tcBorders>
              <w:top w:val="single" w:sz="8" w:color="0000FF"/>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FF"/>
                <w:w w:val="96"/>
              </w:rPr>
              <w:t>NOTES TO THE CONDENSED CONSOLIDATED FINANCIAL</w:t>
            </w:r>
          </w:p>
        </w:tc>
        <w:tc>
          <w:tcPr>
            <w:tcW w:w="4480" w:type="dxa"/>
            <w:vAlign w:val="bottom"/>
            <w:gridSpan w:val="5"/>
          </w:tcPr>
          <w:p>
            <w:pPr>
              <w:ind w:left="160"/>
              <w:spacing w:after="0" w:line="182" w:lineRule="exact"/>
              <w:rPr>
                <w:sz w:val="20"/>
                <w:szCs w:val="20"/>
                <w:color w:val="auto"/>
              </w:rPr>
            </w:pPr>
            <w:r>
              <w:rPr>
                <w:rFonts w:ascii="Times New Roman" w:cs="Times New Roman" w:eastAsia="Times New Roman" w:hAnsi="Times New Roman"/>
                <w:sz w:val="18"/>
                <w:szCs w:val="18"/>
                <w:color w:val="0000FF"/>
              </w:rPr>
              <w:t>STATEMENTS</w:t>
            </w: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80" w:type="dxa"/>
            <w:vAlign w:val="bottom"/>
            <w:gridSpan w:val="2"/>
            <w:vMerge w:val="continue"/>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9180" w:type="dxa"/>
            <w:vAlign w:val="bottom"/>
            <w:gridSpan w:val="22"/>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920" w:type="dxa"/>
            <w:vAlign w:val="bottom"/>
            <w:tcBorders>
              <w:top w:val="single" w:sz="8" w:color="0000FF"/>
            </w:tcBorders>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CRITICAL ACCOUNTING POLICIES</w:t>
            </w:r>
          </w:p>
        </w:tc>
        <w:tc>
          <w:tcPr>
            <w:tcW w:w="260" w:type="dxa"/>
            <w:vAlign w:val="bottom"/>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00" w:type="dxa"/>
            <w:vAlign w:val="bottom"/>
            <w:tcBorders>
              <w:top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OVERVIEW</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3"/>
          </w:tcPr>
          <w:p>
            <w:pPr>
              <w:spacing w:after="0"/>
              <w:rPr>
                <w:sz w:val="15"/>
                <w:szCs w:val="15"/>
                <w:color w:val="auto"/>
              </w:rPr>
            </w:pPr>
          </w:p>
        </w:tc>
        <w:tc>
          <w:tcPr>
            <w:tcW w:w="740" w:type="dxa"/>
            <w:vAlign w:val="bottom"/>
          </w:tcPr>
          <w:p>
            <w:pPr>
              <w:spacing w:after="0"/>
              <w:rPr>
                <w:sz w:val="15"/>
                <w:szCs w:val="15"/>
                <w:color w:val="auto"/>
              </w:rPr>
            </w:pPr>
          </w:p>
        </w:tc>
        <w:tc>
          <w:tcPr>
            <w:tcW w:w="154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gridSpan w:val="2"/>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Borders>
              <w:top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ANALYSIS</w:t>
            </w:r>
          </w:p>
        </w:tc>
        <w:tc>
          <w:tcPr>
            <w:tcW w:w="20" w:type="dxa"/>
            <w:vAlign w:val="bottom"/>
            <w:tcBorders>
              <w:top w:val="single" w:sz="8" w:color="0000EE"/>
            </w:tcBorders>
          </w:tcPr>
          <w:p>
            <w:pPr>
              <w:spacing w:after="0"/>
              <w:rPr>
                <w:sz w:val="15"/>
                <w:szCs w:val="15"/>
                <w:color w:val="auto"/>
              </w:rPr>
            </w:pPr>
          </w:p>
        </w:tc>
        <w:tc>
          <w:tcPr>
            <w:tcW w:w="822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OF THE RESULTS OF OPERATIONS</w:t>
            </w: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780" w:type="dxa"/>
            <w:vAlign w:val="bottom"/>
            <w:tcBorders>
              <w:top w:val="single" w:sz="8" w:color="0000FF"/>
            </w:tcBorders>
            <w:gridSpan w:val="15"/>
          </w:tcPr>
          <w:p>
            <w:pPr>
              <w:spacing w:after="0" w:line="182" w:lineRule="exact"/>
              <w:rPr>
                <w:sz w:val="20"/>
                <w:szCs w:val="20"/>
                <w:color w:val="auto"/>
              </w:rPr>
            </w:pPr>
            <w:r>
              <w:rPr>
                <w:rFonts w:ascii="Times New Roman" w:cs="Times New Roman" w:eastAsia="Times New Roman" w:hAnsi="Times New Roman"/>
                <w:sz w:val="18"/>
                <w:szCs w:val="18"/>
                <w:color w:val="0000FF"/>
              </w:rPr>
              <w:t>ANALYSIS OF FINANCIAL CONDITION</w:t>
            </w:r>
          </w:p>
        </w:tc>
        <w:tc>
          <w:tcPr>
            <w:tcW w:w="740" w:type="dxa"/>
            <w:vAlign w:val="bottom"/>
          </w:tcPr>
          <w:p>
            <w:pPr>
              <w:spacing w:after="0"/>
              <w:rPr>
                <w:sz w:val="15"/>
                <w:szCs w:val="15"/>
                <w:color w:val="auto"/>
              </w:rPr>
            </w:pPr>
          </w:p>
        </w:tc>
        <w:tc>
          <w:tcPr>
            <w:tcW w:w="154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gridSpan w:val="2"/>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3200" w:type="dxa"/>
            <w:vAlign w:val="bottom"/>
            <w:tcBorders>
              <w:top w:val="single" w:sz="8" w:color="0000FF"/>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FF"/>
                <w:w w:val="99"/>
              </w:rPr>
              <w:t>ASSET/LIABILITY AND MARKET RISK</w:t>
            </w:r>
          </w:p>
        </w:tc>
        <w:tc>
          <w:tcPr>
            <w:tcW w:w="5980" w:type="dxa"/>
            <w:vAlign w:val="bottom"/>
            <w:gridSpan w:val="10"/>
          </w:tcPr>
          <w:p>
            <w:pPr>
              <w:ind w:left="20"/>
              <w:spacing w:after="0" w:line="182" w:lineRule="exact"/>
              <w:rPr>
                <w:sz w:val="20"/>
                <w:szCs w:val="20"/>
                <w:color w:val="auto"/>
              </w:rPr>
            </w:pPr>
            <w:r>
              <w:rPr>
                <w:rFonts w:ascii="Times New Roman" w:cs="Times New Roman" w:eastAsia="Times New Roman" w:hAnsi="Times New Roman"/>
                <w:sz w:val="18"/>
                <w:szCs w:val="18"/>
                <w:color w:val="0000FF"/>
              </w:rPr>
              <w:t>MANAGEMENT</w:t>
            </w: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80" w:type="dxa"/>
            <w:vAlign w:val="bottom"/>
            <w:gridSpan w:val="2"/>
            <w:vMerge w:val="continue"/>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4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9180" w:type="dxa"/>
            <w:vAlign w:val="bottom"/>
            <w:gridSpan w:val="22"/>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80" w:type="dxa"/>
            <w:vAlign w:val="bottom"/>
            <w:gridSpan w:val="2"/>
          </w:tcPr>
          <w:p>
            <w:pPr>
              <w:ind w:left="200"/>
              <w:spacing w:after="0" w:line="182" w:lineRule="exact"/>
              <w:rPr>
                <w:sz w:val="20"/>
                <w:szCs w:val="20"/>
                <w:color w:val="auto"/>
              </w:rPr>
            </w:pPr>
            <w:r>
              <w:rPr>
                <w:rFonts w:ascii="Times New Roman" w:cs="Times New Roman" w:eastAsia="Times New Roman" w:hAnsi="Times New Roman"/>
                <w:sz w:val="18"/>
                <w:szCs w:val="18"/>
                <w:b w:val="1"/>
                <w:bCs w:val="1"/>
                <w:color w:val="auto"/>
              </w:rPr>
              <w:t>ITEM 4.</w:t>
            </w:r>
          </w:p>
        </w:tc>
        <w:tc>
          <w:tcPr>
            <w:tcW w:w="6140" w:type="dxa"/>
            <w:vAlign w:val="bottom"/>
            <w:tcBorders>
              <w:top w:val="single" w:sz="8" w:color="0000FF"/>
            </w:tcBorders>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CONTROLS AND PROCEDURES</w:t>
            </w:r>
          </w:p>
        </w:tc>
        <w:tc>
          <w:tcPr>
            <w:tcW w:w="3040" w:type="dxa"/>
            <w:vAlign w:val="bottom"/>
            <w:gridSpan w:val="2"/>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83"/>
        </w:trPr>
        <w:tc>
          <w:tcPr>
            <w:tcW w:w="160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PART II –</w:t>
            </w:r>
          </w:p>
        </w:tc>
        <w:tc>
          <w:tcPr>
            <w:tcW w:w="2600" w:type="dxa"/>
            <w:vAlign w:val="bottom"/>
            <w:tcBorders>
              <w:top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580" w:type="dxa"/>
            <w:vAlign w:val="bottom"/>
            <w:gridSpan w:val="2"/>
          </w:tcPr>
          <w:p>
            <w:pPr>
              <w:spacing w:after="0"/>
              <w:rPr>
                <w:sz w:val="15"/>
                <w:szCs w:val="15"/>
                <w:color w:val="auto"/>
              </w:rPr>
            </w:pPr>
          </w:p>
        </w:tc>
        <w:tc>
          <w:tcPr>
            <w:tcW w:w="2880" w:type="dxa"/>
            <w:vAlign w:val="bottom"/>
            <w:gridSpan w:val="8"/>
          </w:tcPr>
          <w:p>
            <w:pPr>
              <w:spacing w:after="0"/>
              <w:rPr>
                <w:sz w:val="15"/>
                <w:szCs w:val="15"/>
                <w:color w:val="auto"/>
              </w:rPr>
            </w:pPr>
          </w:p>
        </w:tc>
        <w:tc>
          <w:tcPr>
            <w:tcW w:w="3120" w:type="dxa"/>
            <w:vAlign w:val="bottom"/>
            <w:gridSpan w:val="3"/>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80" w:type="dxa"/>
            <w:vAlign w:val="bottom"/>
            <w:gridSpan w:val="2"/>
          </w:tcPr>
          <w:p>
            <w:pPr>
              <w:ind w:left="200"/>
              <w:spacing w:after="0" w:line="182" w:lineRule="exact"/>
              <w:rPr>
                <w:sz w:val="20"/>
                <w:szCs w:val="20"/>
                <w:color w:val="auto"/>
              </w:rPr>
            </w:pPr>
            <w:r>
              <w:rPr>
                <w:rFonts w:ascii="Times New Roman" w:cs="Times New Roman" w:eastAsia="Times New Roman" w:hAnsi="Times New Roman"/>
                <w:sz w:val="18"/>
                <w:szCs w:val="18"/>
                <w:b w:val="1"/>
                <w:bCs w:val="1"/>
                <w:color w:val="auto"/>
              </w:rPr>
              <w:t>ITEM 1.</w:t>
            </w:r>
          </w:p>
        </w:tc>
        <w:tc>
          <w:tcPr>
            <w:tcW w:w="1900" w:type="dxa"/>
            <w:vAlign w:val="bottom"/>
            <w:tcBorders>
              <w:top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LEGAL PROCEEDINGS</w:t>
            </w:r>
          </w:p>
        </w:tc>
        <w:tc>
          <w:tcPr>
            <w:tcW w:w="540" w:type="dxa"/>
            <w:vAlign w:val="bottom"/>
          </w:tcPr>
          <w:p>
            <w:pPr>
              <w:spacing w:after="0"/>
              <w:rPr>
                <w:sz w:val="15"/>
                <w:szCs w:val="15"/>
                <w:color w:val="auto"/>
              </w:rPr>
            </w:pPr>
          </w:p>
        </w:tc>
        <w:tc>
          <w:tcPr>
            <w:tcW w:w="740" w:type="dxa"/>
            <w:vAlign w:val="bottom"/>
            <w:gridSpan w:val="3"/>
          </w:tcPr>
          <w:p>
            <w:pPr>
              <w:spacing w:after="0"/>
              <w:rPr>
                <w:sz w:val="15"/>
                <w:szCs w:val="15"/>
                <w:color w:val="auto"/>
              </w:rPr>
            </w:pPr>
          </w:p>
        </w:tc>
        <w:tc>
          <w:tcPr>
            <w:tcW w:w="2880" w:type="dxa"/>
            <w:vAlign w:val="bottom"/>
            <w:gridSpan w:val="8"/>
          </w:tcPr>
          <w:p>
            <w:pPr>
              <w:spacing w:after="0"/>
              <w:rPr>
                <w:sz w:val="15"/>
                <w:szCs w:val="15"/>
                <w:color w:val="auto"/>
              </w:rPr>
            </w:pPr>
          </w:p>
        </w:tc>
        <w:tc>
          <w:tcPr>
            <w:tcW w:w="3120" w:type="dxa"/>
            <w:vAlign w:val="bottom"/>
            <w:gridSpan w:val="3"/>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80" w:type="dxa"/>
            <w:vAlign w:val="bottom"/>
            <w:gridSpan w:val="2"/>
          </w:tcPr>
          <w:p>
            <w:pPr>
              <w:ind w:left="200"/>
              <w:spacing w:after="0" w:line="182" w:lineRule="exact"/>
              <w:rPr>
                <w:sz w:val="20"/>
                <w:szCs w:val="20"/>
                <w:color w:val="auto"/>
              </w:rPr>
            </w:pPr>
            <w:r>
              <w:rPr>
                <w:rFonts w:ascii="Times New Roman" w:cs="Times New Roman" w:eastAsia="Times New Roman" w:hAnsi="Times New Roman"/>
                <w:sz w:val="18"/>
                <w:szCs w:val="18"/>
                <w:b w:val="1"/>
                <w:bCs w:val="1"/>
                <w:color w:val="auto"/>
              </w:rPr>
              <w:t>ITEM 1A.</w:t>
            </w:r>
          </w:p>
        </w:tc>
        <w:tc>
          <w:tcPr>
            <w:tcW w:w="1880" w:type="dxa"/>
            <w:vAlign w:val="bottom"/>
            <w:tcBorders>
              <w:top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RISK FACTORS</w:t>
            </w:r>
          </w:p>
        </w:tc>
        <w:tc>
          <w:tcPr>
            <w:tcW w:w="560" w:type="dxa"/>
            <w:vAlign w:val="bottom"/>
            <w:gridSpan w:val="2"/>
          </w:tcPr>
          <w:p>
            <w:pPr>
              <w:spacing w:after="0"/>
              <w:rPr>
                <w:sz w:val="15"/>
                <w:szCs w:val="15"/>
                <w:color w:val="auto"/>
              </w:rPr>
            </w:pPr>
          </w:p>
        </w:tc>
        <w:tc>
          <w:tcPr>
            <w:tcW w:w="740" w:type="dxa"/>
            <w:vAlign w:val="bottom"/>
            <w:gridSpan w:val="3"/>
          </w:tcPr>
          <w:p>
            <w:pPr>
              <w:spacing w:after="0"/>
              <w:rPr>
                <w:sz w:val="15"/>
                <w:szCs w:val="15"/>
                <w:color w:val="auto"/>
              </w:rPr>
            </w:pPr>
          </w:p>
        </w:tc>
        <w:tc>
          <w:tcPr>
            <w:tcW w:w="2880" w:type="dxa"/>
            <w:vAlign w:val="bottom"/>
            <w:gridSpan w:val="8"/>
          </w:tcPr>
          <w:p>
            <w:pPr>
              <w:spacing w:after="0"/>
              <w:rPr>
                <w:sz w:val="15"/>
                <w:szCs w:val="15"/>
                <w:color w:val="auto"/>
              </w:rPr>
            </w:pPr>
          </w:p>
        </w:tc>
        <w:tc>
          <w:tcPr>
            <w:tcW w:w="3120" w:type="dxa"/>
            <w:vAlign w:val="bottom"/>
            <w:gridSpan w:val="3"/>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80" w:type="dxa"/>
            <w:vAlign w:val="bottom"/>
            <w:gridSpan w:val="2"/>
          </w:tcPr>
          <w:p>
            <w:pPr>
              <w:ind w:left="200"/>
              <w:spacing w:after="0" w:line="182" w:lineRule="exact"/>
              <w:rPr>
                <w:sz w:val="20"/>
                <w:szCs w:val="20"/>
                <w:color w:val="auto"/>
              </w:rPr>
            </w:pPr>
            <w:r>
              <w:rPr>
                <w:rFonts w:ascii="Times New Roman" w:cs="Times New Roman" w:eastAsia="Times New Roman" w:hAnsi="Times New Roman"/>
                <w:sz w:val="18"/>
                <w:szCs w:val="18"/>
                <w:b w:val="1"/>
                <w:bCs w:val="1"/>
                <w:color w:val="auto"/>
              </w:rPr>
              <w:t>ITEM 2.</w:t>
            </w:r>
          </w:p>
        </w:tc>
        <w:tc>
          <w:tcPr>
            <w:tcW w:w="1240" w:type="dxa"/>
            <w:vAlign w:val="bottom"/>
            <w:tcBorders>
              <w:top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w w:val="89"/>
              </w:rPr>
              <w:t>UNREGISTERED</w:t>
            </w:r>
          </w:p>
        </w:tc>
        <w:tc>
          <w:tcPr>
            <w:tcW w:w="20" w:type="dxa"/>
            <w:vAlign w:val="bottom"/>
            <w:tcBorders>
              <w:top w:val="single" w:sz="8" w:color="0000EE"/>
            </w:tcBorders>
          </w:tcPr>
          <w:p>
            <w:pPr>
              <w:spacing w:after="0"/>
              <w:rPr>
                <w:sz w:val="15"/>
                <w:szCs w:val="15"/>
                <w:color w:val="auto"/>
              </w:rPr>
            </w:pPr>
          </w:p>
        </w:tc>
        <w:tc>
          <w:tcPr>
            <w:tcW w:w="7920" w:type="dxa"/>
            <w:vAlign w:val="bottom"/>
            <w:gridSpan w:val="17"/>
          </w:tcPr>
          <w:p>
            <w:pPr>
              <w:ind w:left="140"/>
              <w:spacing w:after="0" w:line="18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80" w:type="dxa"/>
            <w:vAlign w:val="bottom"/>
            <w:gridSpan w:val="2"/>
          </w:tcPr>
          <w:p>
            <w:pPr>
              <w:ind w:left="200"/>
              <w:spacing w:after="0" w:line="182" w:lineRule="exact"/>
              <w:rPr>
                <w:sz w:val="20"/>
                <w:szCs w:val="20"/>
                <w:color w:val="auto"/>
              </w:rPr>
            </w:pPr>
            <w:r>
              <w:rPr>
                <w:rFonts w:ascii="Times New Roman" w:cs="Times New Roman" w:eastAsia="Times New Roman" w:hAnsi="Times New Roman"/>
                <w:sz w:val="18"/>
                <w:szCs w:val="18"/>
                <w:b w:val="1"/>
                <w:bCs w:val="1"/>
                <w:color w:val="auto"/>
              </w:rPr>
              <w:t>ITEM 3.</w:t>
            </w:r>
          </w:p>
        </w:tc>
        <w:tc>
          <w:tcPr>
            <w:tcW w:w="6060" w:type="dxa"/>
            <w:vAlign w:val="bottom"/>
            <w:tcBorders>
              <w:top w:val="single" w:sz="8" w:color="0000FF"/>
            </w:tcBorders>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3120" w:type="dxa"/>
            <w:vAlign w:val="bottom"/>
            <w:gridSpan w:val="3"/>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80" w:type="dxa"/>
            <w:vAlign w:val="bottom"/>
            <w:gridSpan w:val="2"/>
          </w:tcPr>
          <w:p>
            <w:pPr>
              <w:ind w:left="200"/>
              <w:spacing w:after="0" w:line="182" w:lineRule="exact"/>
              <w:rPr>
                <w:sz w:val="20"/>
                <w:szCs w:val="20"/>
                <w:color w:val="auto"/>
              </w:rPr>
            </w:pPr>
            <w:r>
              <w:rPr>
                <w:rFonts w:ascii="Times New Roman" w:cs="Times New Roman" w:eastAsia="Times New Roman" w:hAnsi="Times New Roman"/>
                <w:sz w:val="18"/>
                <w:szCs w:val="18"/>
                <w:b w:val="1"/>
                <w:bCs w:val="1"/>
                <w:color w:val="auto"/>
              </w:rPr>
              <w:t>ITEM 4.</w:t>
            </w:r>
          </w:p>
        </w:tc>
        <w:tc>
          <w:tcPr>
            <w:tcW w:w="3180" w:type="dxa"/>
            <w:vAlign w:val="bottom"/>
            <w:tcBorders>
              <w:top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6000" w:type="dxa"/>
            <w:vAlign w:val="bottom"/>
            <w:gridSpan w:val="11"/>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80" w:type="dxa"/>
            <w:vAlign w:val="bottom"/>
            <w:gridSpan w:val="2"/>
          </w:tcPr>
          <w:p>
            <w:pPr>
              <w:ind w:left="200"/>
              <w:spacing w:after="0" w:line="182" w:lineRule="exact"/>
              <w:rPr>
                <w:sz w:val="20"/>
                <w:szCs w:val="20"/>
                <w:color w:val="auto"/>
              </w:rPr>
            </w:pPr>
            <w:r>
              <w:rPr>
                <w:rFonts w:ascii="Times New Roman" w:cs="Times New Roman" w:eastAsia="Times New Roman" w:hAnsi="Times New Roman"/>
                <w:sz w:val="18"/>
                <w:szCs w:val="18"/>
                <w:b w:val="1"/>
                <w:bCs w:val="1"/>
                <w:color w:val="auto"/>
              </w:rPr>
              <w:t>ITEM 5.</w:t>
            </w:r>
          </w:p>
        </w:tc>
        <w:tc>
          <w:tcPr>
            <w:tcW w:w="2440" w:type="dxa"/>
            <w:vAlign w:val="bottom"/>
            <w:tcBorders>
              <w:top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6740" w:type="dxa"/>
            <w:vAlign w:val="bottom"/>
            <w:gridSpan w:val="14"/>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80" w:type="dxa"/>
            <w:vAlign w:val="bottom"/>
            <w:gridSpan w:val="2"/>
          </w:tcPr>
          <w:p>
            <w:pPr>
              <w:ind w:left="200"/>
              <w:spacing w:after="0" w:line="182" w:lineRule="exact"/>
              <w:rPr>
                <w:sz w:val="20"/>
                <w:szCs w:val="20"/>
                <w:color w:val="auto"/>
              </w:rPr>
            </w:pPr>
            <w:r>
              <w:rPr>
                <w:rFonts w:ascii="Times New Roman" w:cs="Times New Roman" w:eastAsia="Times New Roman" w:hAnsi="Times New Roman"/>
                <w:sz w:val="18"/>
                <w:szCs w:val="18"/>
                <w:b w:val="1"/>
                <w:bCs w:val="1"/>
                <w:color w:val="auto"/>
              </w:rPr>
              <w:t>ITEM 6.</w:t>
            </w:r>
          </w:p>
        </w:tc>
        <w:tc>
          <w:tcPr>
            <w:tcW w:w="1900" w:type="dxa"/>
            <w:vAlign w:val="bottom"/>
            <w:tcBorders>
              <w:top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7280" w:type="dxa"/>
            <w:vAlign w:val="bottom"/>
            <w:gridSpan w:val="15"/>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83"/>
        </w:trPr>
        <w:tc>
          <w:tcPr>
            <w:tcW w:w="160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820" w:type="dxa"/>
            <w:vAlign w:val="bottom"/>
            <w:tcBorders>
              <w:top w:val="single" w:sz="8" w:color="0000FF"/>
            </w:tcBorders>
            <w:vMerge w:val="restart"/>
          </w:tcPr>
          <w:p>
            <w:pPr>
              <w:spacing w:after="0"/>
              <w:rPr>
                <w:sz w:val="15"/>
                <w:szCs w:val="15"/>
                <w:color w:val="auto"/>
              </w:rPr>
            </w:pPr>
          </w:p>
        </w:tc>
        <w:tc>
          <w:tcPr>
            <w:tcW w:w="3700" w:type="dxa"/>
            <w:vAlign w:val="bottom"/>
            <w:gridSpan w:val="15"/>
            <w:vMerge w:val="restart"/>
          </w:tcPr>
          <w:p>
            <w:pPr>
              <w:jc w:val="right"/>
              <w:ind w:right="46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Borders>
              <w:top w:val="single" w:sz="8" w:color="0000FF"/>
            </w:tcBorders>
            <w:vMerge w:val="continue"/>
          </w:tcPr>
          <w:p>
            <w:pPr>
              <w:spacing w:after="0"/>
              <w:rPr>
                <w:sz w:val="24"/>
                <w:szCs w:val="24"/>
                <w:color w:val="auto"/>
              </w:rPr>
            </w:pPr>
          </w:p>
        </w:tc>
        <w:tc>
          <w:tcPr>
            <w:tcW w:w="3700" w:type="dxa"/>
            <w:vAlign w:val="bottom"/>
            <w:gridSpan w:val="15"/>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7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PART I –</w:t>
      </w:r>
      <w:r>
        <w:rPr>
          <w:sz w:val="20"/>
          <w:szCs w:val="20"/>
          <w:color w:val="auto"/>
        </w:rPr>
        <w:tab/>
      </w:r>
      <w:r>
        <w:rPr>
          <w:rFonts w:ascii="Times New Roman" w:cs="Times New Roman" w:eastAsia="Times New Roman" w:hAnsi="Times New Roman"/>
          <w:sz w:val="17"/>
          <w:szCs w:val="17"/>
          <w:b w:val="1"/>
          <w:bCs w:val="1"/>
          <w:color w:val="auto"/>
        </w:rPr>
        <w:t>FINANCIAL INFORMATION (UNAUDITED)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200" w:lineRule="exact"/>
        <w:rPr>
          <w:sz w:val="20"/>
          <w:szCs w:val="20"/>
          <w:color w:val="auto"/>
        </w:rPr>
      </w:pPr>
    </w:p>
    <w:p>
      <w:pPr>
        <w:ind w:right="40"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Certain statements set forth herein constitute forward-looking statements within the meaning of the Private Securities litigation Reform Act of 1995. Words such as “will likely result”, “aims”, “anticipates”, “believes”, “could”, “estimates”, “expects”, “hopes”, “intends”, “may”, “plans”, “projects”, “seeks”, “should”, “will,” “strategy”, “possibility”, and variations of these words and similar expressions help to identify these forward-looking statements, which involve risks and uncertainties that could cause our actual results or performance to differ materially from those projected. These forward-looking statements are based on management’s current expectations and beliefs concerning future developments and their potential effects on the Company, including, without limitation, plans, strategies and goals, and statements about the Company’s outlook regarding revenue and asset growth, financial performance and profitability, loan and deposit growth, yields and returns, loan diversification and credit management, stockholder value creation, tax rates, and the impact of acquisitions we have made or may make. Such statements involve inherent risks and uncertainties, many of which are difficult to predict and are generally beyond the control of the Company, and there can be no assurance that future developments affecting the Company will be the same as those anticipated by management. The Company cautions readers that a number of important factors in addition to those set forth below could cause actual results to differ materially from those expressed in, or implied or projected by, such forward-looking statements.</w:t>
      </w:r>
    </w:p>
    <w:p>
      <w:pPr>
        <w:spacing w:after="0" w:line="188" w:lineRule="exact"/>
        <w:rPr>
          <w:sz w:val="20"/>
          <w:szCs w:val="20"/>
          <w:color w:val="auto"/>
        </w:rPr>
      </w:pPr>
    </w:p>
    <w:p>
      <w:pPr>
        <w:ind w:right="60"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Given the ongoing and dynamic nature of the COVID-19 pandemic, the ultimate extent of the impacts on our business, financial position, results of operations, liquidity, workforce, operating platform and prospects remain uncertain. In addition, changes to statutes, regulations, or regulatory policies or practices as a result of, or in response to the COVID-19 pandemic, could affect us in substantial and unpredictable ways.</w:t>
      </w:r>
    </w:p>
    <w:p>
      <w:pPr>
        <w:spacing w:after="0" w:line="153" w:lineRule="exact"/>
        <w:rPr>
          <w:sz w:val="20"/>
          <w:szCs w:val="20"/>
          <w:color w:val="auto"/>
        </w:rPr>
      </w:pPr>
    </w:p>
    <w:p>
      <w:pPr>
        <w:ind w:firstLine="360"/>
        <w:spacing w:after="0"/>
        <w:rPr>
          <w:sz w:val="20"/>
          <w:szCs w:val="20"/>
          <w:color w:val="auto"/>
        </w:rPr>
      </w:pPr>
      <w:r>
        <w:rPr>
          <w:rFonts w:ascii="Times New Roman" w:cs="Times New Roman" w:eastAsia="Times New Roman" w:hAnsi="Times New Roman"/>
          <w:sz w:val="18"/>
          <w:szCs w:val="18"/>
          <w:i w:val="1"/>
          <w:iCs w:val="1"/>
          <w:color w:val="auto"/>
        </w:rPr>
        <w:t>General risks and uncertainties include, but are not limited to, the following: the strength of the United States economy in general and the strength of the local economies in which we conduct business; the effects of, and changes in, trade, monetary, and fiscal policies and laws, including interest rate policies of the Board of Governors of the Federal Reserve System; inflation/deflation, interest rate, market, and monetary fluctuations; the effect of acquisitions we have made or may-make, including, without limitation, the failure to obtain the necessary regulatory approvals, the failure to achieve the expected revenue growth and/or expense savings from such acquisitions, and/or the failure to effectively integrate an acquisition target into our operations; the timely development of competitive new products and services and the acceptance of these products and services by new and existing customers; the impact of changes in financial services policies, laws, and regulations, including those concerning taxes, banking, securities, and insurance, and the application thereof by regulatory bodies; the effectiveness of our risk management framework and quantitative models; changes in the levels of our nonperforming assets and charge-offs; the transition away from USD LIBOR and uncertainties regarding potential alternative reference rates, including SOFR; the effect of changes in accounting policies and practices or accounting standards, as may be adopted from time-to-time by bank regulatory agencies, the U.S. Securities and Exchange Commission (“SEC”), the Public Company Accounting Oversight Board, the Financial Accounting Standards Board or other accounting standards setters, including ASU 2016-13 (Topic 326), “Measurement of Credit Losses on Financial Instruments, commonly referenced as the CECL model, which has changed how we estimate credit losses and may further increase the required level of our allowance for credit losses in future periods; possible credit related impairments or declines in the fair value of securities held by us; possible impairment charges to goodwill; changes in consumer spending, borrowing, and savings habits; the effects of our lack of a diversified loan portfolio, including the risks of geographic and industry concentrations; periodic fluctuations in commercial or residential real estate prices or values; our ability to attract deposits and other sources of liquidity; the possibility that we may reduce or discontinue the payments of dividends on our common stock; changes in the financial performance and/or condition of our borrowers; changes in the competitive environment among financial and bank holding companies and other financial service providers; technological changes in banking and financial services; including alternative forms of payment or currency that could result in the disintermediation of traditional banks; geopolitical conditions, including acts or threats of terrorism, actions taken by the United States or other governments in response to acts or threats of terrorism, and/or military conflicts, which could impact business and economic conditions in the United States and abroad; catastrophic events or natural disasters, including earthquakes, drought, climate change or extreme weather events that may affect our assets, communications or computer services, customers, employees or third party vendors; public health crises and pandemics, such as the COVID-19 pandemic, and their effects on the economic and business environments in which we operate, including on our credit quality and business operations, as well as the impact on general economic and financial market conditions; cybersecurity and fraud risks and threats to the Company, our vendors and our customers, and the costs of defending against them, including the costs of compliance with regulations and potential legislation to bolster cybersecurity at a state, national, or global level; our ability to recruit and retain key executives, board</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3" w:name="page4"/>
    <w:bookmarkEnd w:id="3"/>
    <w:p>
      <w:pPr>
        <w:spacing w:after="0" w:line="284" w:lineRule="auto"/>
        <w:rPr>
          <w:sz w:val="20"/>
          <w:szCs w:val="20"/>
          <w:color w:val="auto"/>
        </w:rPr>
      </w:pPr>
      <w:r>
        <w:rPr>
          <w:rFonts w:ascii="Times New Roman" w:cs="Times New Roman" w:eastAsia="Times New Roman" w:hAnsi="Times New Roman"/>
          <w:sz w:val="18"/>
          <w:szCs w:val="18"/>
          <w:i w:val="1"/>
          <w:iCs w:val="1"/>
          <w:color w:val="auto"/>
        </w:rPr>
        <w:t>members and other employees, and changes in employment laws and regulations; unanticipated regulatory or legal proceedings; and our ability to manage the risks involved in the foregoing.</w:t>
      </w:r>
    </w:p>
    <w:p>
      <w:pPr>
        <w:spacing w:after="0" w:line="131" w:lineRule="exact"/>
        <w:rPr>
          <w:sz w:val="20"/>
          <w:szCs w:val="20"/>
          <w:color w:val="auto"/>
        </w:rPr>
      </w:pPr>
    </w:p>
    <w:p>
      <w:pPr>
        <w:ind w:right="420"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Additional factors that could cause actual results to differ materially from those expressed in the forward-looking statements are discussed in the Company's 2021 Annual Report on Form 10-K filed with the SEC and available at the SEC’s Internet site (http://www.sec.gov).</w:t>
      </w:r>
    </w:p>
    <w:p>
      <w:pPr>
        <w:spacing w:after="0" w:line="131" w:lineRule="exact"/>
        <w:rPr>
          <w:sz w:val="20"/>
          <w:szCs w:val="20"/>
          <w:color w:val="auto"/>
        </w:rPr>
      </w:pPr>
    </w:p>
    <w:p>
      <w:pPr>
        <w:ind w:right="100"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The Company does not undertake, and specifically disclaims any obligation, to update any forward-looking statements to reflect occurrences or unanticipated events or circumstances after the date of such statements, except as required by law. Any statements about future operating results, such as those concerning accretion and dilution to the Company’s earnings or shareholders, are for illustrative purposes only, are not forecasts, and actual results may differ.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2"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spacing w:after="0" w:line="228" w:lineRule="auto"/>
        <w:rPr>
          <w:sz w:val="20"/>
          <w:szCs w:val="20"/>
          <w:color w:val="auto"/>
        </w:rPr>
      </w:pPr>
      <w:r>
        <w:rPr>
          <w:rFonts w:ascii="Times New Roman" w:cs="Times New Roman" w:eastAsia="Times New Roman" w:hAnsi="Times New Roman"/>
          <w:sz w:val="16"/>
          <w:szCs w:val="16"/>
          <w:i w:val="1"/>
          <w:iCs w:val="1"/>
          <w:color w:val="auto"/>
        </w:rPr>
        <w:t>(Dollars in thousands, except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due from banks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186,647</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Interest-earning balances due from Federal Reserve</w:t>
            </w:r>
          </w:p>
        </w:tc>
        <w:tc>
          <w:tcPr>
            <w:tcW w:w="1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131,892</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1,642,536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318,539</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Interest-earning balances due from depository institutions</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7,594</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786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Investment securities available-for-sale, at fair value (with amortized cost of</w:t>
            </w: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$3,862,216 at September 30, 2022, and $3,185,249 at December 31, 2021)</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3,321,824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3,183,923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786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Investment securities held-to-maturity (with fair value of $2,150,988 at</w:t>
            </w:r>
          </w:p>
        </w:tc>
        <w:tc>
          <w:tcPr>
            <w:tcW w:w="140" w:type="dxa"/>
            <w:vAlign w:val="bottom"/>
            <w:shd w:val="clear" w:color="auto" w:fill="CFF0FC"/>
          </w:tcPr>
          <w:p>
            <w:pPr>
              <w:spacing w:after="0"/>
              <w:rPr>
                <w:sz w:val="14"/>
                <w:szCs w:val="14"/>
                <w:color w:val="auto"/>
              </w:rPr>
            </w:pP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2,557,922</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1,925,970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78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September 30, 2022, and $1,921,693 at December 31, 2021)</w:t>
            </w:r>
          </w:p>
        </w:tc>
        <w:tc>
          <w:tcPr>
            <w:tcW w:w="1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5,879,746</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5,109,893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in stock of Federal Home Loan Bank (FHLB)</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18,012</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and lease finance receivables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8,774,136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7,887,713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(82,601 )</w:t>
            </w:r>
          </w:p>
        </w:tc>
        <w:tc>
          <w:tcPr>
            <w:tcW w:w="1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(65,019 )</w:t>
            </w:r>
          </w:p>
        </w:tc>
        <w:tc>
          <w:tcPr>
            <w:tcW w:w="0" w:type="dxa"/>
            <w:vAlign w:val="bottom"/>
          </w:tcPr>
          <w:p>
            <w:pPr>
              <w:spacing w:after="0"/>
              <w:rPr>
                <w:sz w:val="1"/>
                <w:szCs w:val="1"/>
                <w:color w:val="auto"/>
              </w:rPr>
            </w:pPr>
          </w:p>
        </w:tc>
      </w:tr>
      <w:tr>
        <w:trPr>
          <w:trHeight w:val="209"/>
        </w:trPr>
        <w:tc>
          <w:tcPr>
            <w:tcW w:w="7860" w:type="dxa"/>
            <w:vAlign w:val="bottom"/>
            <w:tcBorders>
              <w:top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Net loans and lease finance receivables</w:t>
            </w: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8,691,535</w:t>
            </w:r>
          </w:p>
        </w:tc>
        <w:tc>
          <w:tcPr>
            <w:tcW w:w="28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7,822,694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47,422</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Bank owned life insurance (BOLI)</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256,850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40,745</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765,822</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663,707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real estate owned (OREO)</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189,172</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110,373</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860" w:type="dxa"/>
            <w:vAlign w:val="bottom"/>
            <w:tcBorders>
              <w:bottom w:val="single" w:sz="8" w:color="CFF0FC"/>
            </w:tcBorders>
            <w:shd w:val="clear" w:color="auto" w:fill="CFF0FC"/>
          </w:tcPr>
          <w:p>
            <w:pPr>
              <w:ind w:left="6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16,349,276</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15,883,697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Deposits: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Noninterest-bearing</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8,764,556</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8,104,056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Interest-bearing</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5,107,843</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4,872,386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b w:val="1"/>
                <w:bCs w:val="1"/>
                <w:color w:val="auto"/>
              </w:rPr>
              <w:t>Total deposits</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13,872,399</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12,976,442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Customer repurchase agreements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467,844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borrowings</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compensation</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Junior subordinated debentures</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Payable for securities purchased</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99,552</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109,864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14,470,390</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13,802,194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7860" w:type="dxa"/>
            <w:vAlign w:val="bottom"/>
            <w:shd w:val="clear" w:color="auto" w:fill="CFF0FC"/>
          </w:tcPr>
          <w:p>
            <w:pPr>
              <w:ind w:left="300"/>
              <w:spacing w:after="0" w:line="170" w:lineRule="exact"/>
              <w:rPr>
                <w:sz w:val="20"/>
                <w:szCs w:val="20"/>
                <w:color w:val="auto"/>
              </w:rPr>
            </w:pPr>
            <w:r>
              <w:rPr>
                <w:rFonts w:ascii="Times New Roman" w:cs="Times New Roman" w:eastAsia="Times New Roman" w:hAnsi="Times New Roman"/>
                <w:sz w:val="18"/>
                <w:szCs w:val="18"/>
                <w:color w:val="auto"/>
              </w:rPr>
              <w:t>Common stock, authorized, 225,000,000 shares without par; issued and</w:t>
            </w:r>
          </w:p>
        </w:tc>
        <w:tc>
          <w:tcPr>
            <w:tcW w:w="1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outstanding 139,805,445 at September 30, 2022, and 135,526,025 at December 31, 2021</w:t>
            </w:r>
          </w:p>
        </w:tc>
        <w:tc>
          <w:tcPr>
            <w:tcW w:w="1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1,297,709</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1,209,903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964,674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1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(383,497 )</w:t>
            </w:r>
          </w:p>
        </w:tc>
        <w:tc>
          <w:tcPr>
            <w:tcW w:w="1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(3,968 )</w:t>
            </w:r>
          </w:p>
        </w:tc>
        <w:tc>
          <w:tcPr>
            <w:tcW w:w="0" w:type="dxa"/>
            <w:vAlign w:val="bottom"/>
          </w:tcPr>
          <w:p>
            <w:pPr>
              <w:spacing w:after="0"/>
              <w:rPr>
                <w:sz w:val="1"/>
                <w:szCs w:val="1"/>
                <w:color w:val="auto"/>
              </w:rPr>
            </w:pPr>
          </w:p>
        </w:tc>
      </w:tr>
      <w:tr>
        <w:trPr>
          <w:trHeight w:val="210"/>
        </w:trPr>
        <w:tc>
          <w:tcPr>
            <w:tcW w:w="7860" w:type="dxa"/>
            <w:vAlign w:val="bottom"/>
            <w:tcBorders>
              <w:top w:val="single" w:sz="8" w:color="CFF0FC"/>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1,878,886</w:t>
            </w:r>
          </w:p>
        </w:tc>
        <w:tc>
          <w:tcPr>
            <w:tcW w:w="28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2,081,503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860" w:type="dxa"/>
            <w:vAlign w:val="bottom"/>
            <w:tcBorders>
              <w:bottom w:val="single" w:sz="8" w:color="CFF0FC"/>
            </w:tcBorders>
            <w:shd w:val="clear" w:color="auto" w:fill="CFF0FC"/>
          </w:tcPr>
          <w:p>
            <w:pPr>
              <w:ind w:left="9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16,349,276</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15,883,697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-5991225</wp:posOffset>
            </wp:positionV>
            <wp:extent cx="6858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-5991225</wp:posOffset>
            </wp:positionV>
            <wp:extent cx="6858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-5194300</wp:posOffset>
            </wp:positionV>
            <wp:extent cx="6858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-5194300</wp:posOffset>
            </wp:positionV>
            <wp:extent cx="6858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-4628515</wp:posOffset>
            </wp:positionV>
            <wp:extent cx="6858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-4628515</wp:posOffset>
            </wp:positionV>
            <wp:extent cx="6858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-3230880</wp:posOffset>
            </wp:positionV>
            <wp:extent cx="1191260" cy="3003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91260" cy="3003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-1413510</wp:posOffset>
            </wp:positionV>
            <wp:extent cx="6858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-1413510</wp:posOffset>
            </wp:positionV>
            <wp:extent cx="6858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-316230</wp:posOffset>
            </wp:positionV>
            <wp:extent cx="6858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 AND COMPREHENSIVE INCOME</w:t>
      </w:r>
    </w:p>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amounts)</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204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6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5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Loans and leases, including fees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100,077</w:t>
            </w:r>
          </w:p>
        </w:tc>
        <w:tc>
          <w:tcPr>
            <w:tcW w:w="24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88,390</w:t>
            </w:r>
          </w:p>
        </w:tc>
        <w:tc>
          <w:tcPr>
            <w:tcW w:w="26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282,308</w:t>
            </w:r>
          </w:p>
        </w:tc>
        <w:tc>
          <w:tcPr>
            <w:tcW w:w="22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271,911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Investment securities:</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Investment securities available-for-sale</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18,543</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9,813</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48,417</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Investment securities held-to-maturity</w:t>
            </w:r>
          </w:p>
        </w:tc>
        <w:tc>
          <w:tcPr>
            <w:tcW w:w="22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12,834</w:t>
            </w:r>
          </w:p>
        </w:tc>
        <w:tc>
          <w:tcPr>
            <w:tcW w:w="2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5,188</w:t>
            </w: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35,211</w:t>
            </w:r>
          </w:p>
        </w:tc>
        <w:tc>
          <w:tcPr>
            <w:tcW w:w="2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14,258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4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31,377</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15,001</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83,628</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Dividends from FHLB stock</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Interest-earning deposits with other institutions</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3,476</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5,712</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b w:val="1"/>
                <w:bCs w:val="1"/>
                <w:color w:val="auto"/>
              </w:rPr>
              <w:t>Total interest income</w:t>
            </w:r>
          </w:p>
        </w:tc>
        <w:tc>
          <w:tcPr>
            <w:tcW w:w="2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135,188</w:t>
            </w:r>
          </w:p>
        </w:tc>
        <w:tc>
          <w:tcPr>
            <w:tcW w:w="24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104,547</w:t>
            </w:r>
          </w:p>
        </w:tc>
        <w:tc>
          <w:tcPr>
            <w:tcW w:w="2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372,550</w:t>
            </w:r>
          </w:p>
        </w:tc>
        <w:tc>
          <w:tcPr>
            <w:tcW w:w="22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317,099</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Deposits</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1,728</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4,056</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4,350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Borrowings and customer repurchase agreements</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Junior subordinated debentures</w:t>
            </w:r>
          </w:p>
        </w:tc>
        <w:tc>
          <w:tcPr>
            <w:tcW w:w="22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4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Total interest expense</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1,850</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4,432</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interest income before provision for (recapture of) credit losses</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133,338</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103,299</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368,118</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312,155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(recapture of) credit losses</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(4,000 )</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8,100</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(25,500 )</w:t>
            </w:r>
          </w:p>
        </w:tc>
        <w:tc>
          <w:tcPr>
            <w:tcW w:w="0" w:type="dxa"/>
            <w:vAlign w:val="bottom"/>
          </w:tcPr>
          <w:p>
            <w:pPr>
              <w:spacing w:after="0"/>
              <w:rPr>
                <w:sz w:val="1"/>
                <w:szCs w:val="1"/>
                <w:color w:val="auto"/>
              </w:rPr>
            </w:pPr>
          </w:p>
        </w:tc>
      </w:tr>
      <w:tr>
        <w:trPr>
          <w:trHeight w:val="169"/>
        </w:trPr>
        <w:tc>
          <w:tcPr>
            <w:tcW w:w="6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Net interest income after provision for (recapture of) credit losses</w:t>
            </w: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131,338</w:t>
            </w:r>
          </w:p>
        </w:tc>
        <w:tc>
          <w:tcPr>
            <w:tcW w:w="24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107,299</w:t>
            </w:r>
          </w:p>
        </w:tc>
        <w:tc>
          <w:tcPr>
            <w:tcW w:w="2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360,018</w:t>
            </w:r>
          </w:p>
        </w:tc>
        <w:tc>
          <w:tcPr>
            <w:tcW w:w="22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top w:val="single" w:sz="8" w:color="auto"/>
              <w:bottom w:val="single" w:sz="8" w:color="auto"/>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337,655</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5,233</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4,513</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15,625</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12,667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Trust and investment services</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2,867</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8,651</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Bankcard services</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1,102</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BOLI income</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3,939</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Gain on OREO, net</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Gain on sale of building, net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2,717</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2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1,581</w:t>
            </w: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5,490</w:t>
            </w:r>
          </w:p>
        </w:tc>
        <w:tc>
          <w:tcPr>
            <w:tcW w:w="2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4,942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4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Total noninterest income</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11,590</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10,483</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37,524</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33,233</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29,741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97,442</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Occupancy and equipment</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5,779</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5,122</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16,917</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14,934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Professional services</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2,438</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6,788</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Computer software expense</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3,243</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3,020</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10,141</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8,521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Marketing and promotion</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4,584</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1,846</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5,842</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6,348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(Recapture of) provision for unfunded loan commitments</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75"/>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Acquisition related expenses</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6,013</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4,910</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14,409</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14,489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b w:val="1"/>
                <w:bCs w:val="1"/>
                <w:color w:val="auto"/>
              </w:rPr>
              <w:t>Total noninterest expense</w:t>
            </w:r>
          </w:p>
        </w:tc>
        <w:tc>
          <w:tcPr>
            <w:tcW w:w="2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53,027</w:t>
            </w:r>
          </w:p>
        </w:tc>
        <w:tc>
          <w:tcPr>
            <w:tcW w:w="24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48,099</w:t>
            </w:r>
          </w:p>
        </w:tc>
        <w:tc>
          <w:tcPr>
            <w:tcW w:w="2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162,136</w:t>
            </w:r>
          </w:p>
        </w:tc>
        <w:tc>
          <w:tcPr>
            <w:tcW w:w="22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141,807</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before income taxes</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89,901</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69,683</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235,406</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230,848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22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25,262</w:t>
            </w:r>
          </w:p>
        </w:tc>
        <w:tc>
          <w:tcPr>
            <w:tcW w:w="2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19,930</w:t>
            </w: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66,149</w:t>
            </w:r>
          </w:p>
        </w:tc>
        <w:tc>
          <w:tcPr>
            <w:tcW w:w="2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66,023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Net earnings</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64,639</w:t>
            </w:r>
          </w:p>
        </w:tc>
        <w:tc>
          <w:tcPr>
            <w:tcW w:w="240" w:type="dxa"/>
            <w:vAlign w:val="bottom"/>
          </w:tcPr>
          <w:p>
            <w:pPr>
              <w:spacing w:after="0"/>
              <w:rPr>
                <w:sz w:val="14"/>
                <w:szCs w:val="14"/>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49,753</w:t>
            </w:r>
          </w:p>
        </w:tc>
        <w:tc>
          <w:tcPr>
            <w:tcW w:w="260" w:type="dxa"/>
            <w:vAlign w:val="bottom"/>
          </w:tcPr>
          <w:p>
            <w:pPr>
              <w:spacing w:after="0"/>
              <w:rPr>
                <w:sz w:val="14"/>
                <w:szCs w:val="14"/>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169,257</w:t>
            </w:r>
          </w:p>
        </w:tc>
        <w:tc>
          <w:tcPr>
            <w:tcW w:w="220" w:type="dxa"/>
            <w:vAlign w:val="bottom"/>
          </w:tcPr>
          <w:p>
            <w:pPr>
              <w:spacing w:after="0"/>
              <w:rPr>
                <w:sz w:val="14"/>
                <w:szCs w:val="14"/>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164,825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Unrealized (loss) gain on securities arising during the period, before tax</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(194,016 )</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(14,443 )</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(538,825 )</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(45,816 )</w:t>
            </w:r>
          </w:p>
        </w:tc>
        <w:tc>
          <w:tcPr>
            <w:tcW w:w="0" w:type="dxa"/>
            <w:vAlign w:val="bottom"/>
          </w:tcPr>
          <w:p>
            <w:pPr>
              <w:spacing w:after="0"/>
              <w:rPr>
                <w:sz w:val="1"/>
                <w:szCs w:val="1"/>
                <w:color w:val="auto"/>
              </w:rPr>
            </w:pPr>
          </w:p>
        </w:tc>
      </w:tr>
      <w:tr>
        <w:trPr>
          <w:trHeight w:val="139"/>
        </w:trPr>
        <w:tc>
          <w:tcPr>
            <w:tcW w:w="6540" w:type="dxa"/>
            <w:vAlign w:val="bottom"/>
            <w:shd w:val="clear" w:color="auto" w:fill="CFF0FC"/>
          </w:tcPr>
          <w:p>
            <w:pPr>
              <w:ind w:left="380"/>
              <w:spacing w:after="0" w:line="139" w:lineRule="exact"/>
              <w:rPr>
                <w:sz w:val="20"/>
                <w:szCs w:val="20"/>
                <w:color w:val="auto"/>
              </w:rPr>
            </w:pPr>
            <w:r>
              <w:rPr>
                <w:rFonts w:ascii="Times New Roman" w:cs="Times New Roman" w:eastAsia="Times New Roman" w:hAnsi="Times New Roman"/>
                <w:sz w:val="14"/>
                <w:szCs w:val="14"/>
                <w:color w:val="auto"/>
              </w:rPr>
              <w:t>Less: Income tax benefit (expense) related to items of other</w:t>
            </w:r>
          </w:p>
        </w:tc>
        <w:tc>
          <w:tcPr>
            <w:tcW w:w="2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57,358</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4,270</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159,296</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13,545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4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comprehensive (loss) income</w:t>
            </w:r>
          </w:p>
        </w:tc>
        <w:tc>
          <w:tcPr>
            <w:tcW w:w="2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comprehensive (loss) income, net of tax</w:t>
            </w:r>
          </w:p>
        </w:tc>
        <w:tc>
          <w:tcPr>
            <w:tcW w:w="220" w:type="dxa"/>
            <w:vAlign w:val="bottom"/>
          </w:tcPr>
          <w:p>
            <w:pPr>
              <w:spacing w:after="0"/>
              <w:rPr>
                <w:sz w:val="14"/>
                <w:szCs w:val="14"/>
                <w:color w:val="auto"/>
              </w:rPr>
            </w:pPr>
          </w:p>
        </w:tc>
        <w:tc>
          <w:tcPr>
            <w:tcW w:w="10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(136,658 )</w:t>
            </w:r>
          </w:p>
        </w:tc>
        <w:tc>
          <w:tcPr>
            <w:tcW w:w="3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(10,173 )</w:t>
            </w:r>
          </w:p>
        </w:tc>
        <w:tc>
          <w:tcPr>
            <w:tcW w:w="220" w:type="dxa"/>
            <w:vAlign w:val="bottom"/>
          </w:tcPr>
          <w:p>
            <w:pPr>
              <w:spacing w:after="0"/>
              <w:rPr>
                <w:sz w:val="14"/>
                <w:szCs w:val="14"/>
                <w:color w:val="auto"/>
              </w:rPr>
            </w:pP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(379,529 )</w:t>
            </w:r>
          </w:p>
        </w:tc>
        <w:tc>
          <w:tcPr>
            <w:tcW w:w="34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(32,271 )</w:t>
            </w:r>
          </w:p>
        </w:tc>
        <w:tc>
          <w:tcPr>
            <w:tcW w:w="0" w:type="dxa"/>
            <w:vAlign w:val="bottom"/>
          </w:tcPr>
          <w:p>
            <w:pPr>
              <w:spacing w:after="0"/>
              <w:rPr>
                <w:sz w:val="1"/>
                <w:szCs w:val="1"/>
                <w:color w:val="auto"/>
              </w:rPr>
            </w:pPr>
          </w:p>
        </w:tc>
      </w:tr>
      <w:tr>
        <w:trPr>
          <w:trHeight w:val="209"/>
        </w:trPr>
        <w:tc>
          <w:tcPr>
            <w:tcW w:w="6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Comprehensive (loss) income</w:t>
            </w: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(72,019</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320" w:type="dxa"/>
            <w:vAlign w:val="bottom"/>
            <w:tcBorders>
              <w:top w:val="single" w:sz="8" w:color="auto"/>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39,580</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(210,272</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340" w:type="dxa"/>
            <w:vAlign w:val="bottom"/>
            <w:tcBorders>
              <w:top w:val="single" w:sz="8" w:color="auto"/>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132,554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32"/>
        </w:trPr>
        <w:tc>
          <w:tcPr>
            <w:tcW w:w="65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Basic earnings per common share</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240" w:type="dxa"/>
            <w:vAlign w:val="bottom"/>
          </w:tcPr>
          <w:p>
            <w:pPr>
              <w:spacing w:after="0"/>
              <w:rPr>
                <w:sz w:val="24"/>
                <w:szCs w:val="24"/>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26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20" w:type="dxa"/>
            <w:vAlign w:val="bottom"/>
          </w:tcPr>
          <w:p>
            <w:pPr>
              <w:spacing w:after="0"/>
              <w:rPr>
                <w:sz w:val="24"/>
                <w:szCs w:val="24"/>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Diluted earnings per common share</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-5168265</wp:posOffset>
            </wp:positionV>
            <wp:extent cx="7747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-5168265</wp:posOffset>
            </wp:positionV>
            <wp:extent cx="6858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-5168265</wp:posOffset>
            </wp:positionV>
            <wp:extent cx="6858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-5168265</wp:posOffset>
            </wp:positionV>
            <wp:extent cx="6858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-4697095</wp:posOffset>
            </wp:positionV>
            <wp:extent cx="77470" cy="120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-4697095</wp:posOffset>
            </wp:positionV>
            <wp:extent cx="68580"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-4697095</wp:posOffset>
            </wp:positionV>
            <wp:extent cx="68580"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-4697095</wp:posOffset>
            </wp:positionV>
            <wp:extent cx="68580"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-4242435</wp:posOffset>
            </wp:positionV>
            <wp:extent cx="7747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-4242435</wp:posOffset>
            </wp:positionV>
            <wp:extent cx="6858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-4242435</wp:posOffset>
            </wp:positionV>
            <wp:extent cx="6858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-4242435</wp:posOffset>
            </wp:positionV>
            <wp:extent cx="6858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-3771265</wp:posOffset>
            </wp:positionV>
            <wp:extent cx="77470"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-3771265</wp:posOffset>
            </wp:positionV>
            <wp:extent cx="68580" cy="120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-3771265</wp:posOffset>
            </wp:positionV>
            <wp:extent cx="68580" cy="1200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-3771265</wp:posOffset>
            </wp:positionV>
            <wp:extent cx="68580" cy="1200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-2871470</wp:posOffset>
            </wp:positionV>
            <wp:extent cx="7747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-2871470</wp:posOffset>
            </wp:positionV>
            <wp:extent cx="6858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-2871470</wp:posOffset>
            </wp:positionV>
            <wp:extent cx="6858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-2871470</wp:posOffset>
            </wp:positionV>
            <wp:extent cx="6858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-1508125</wp:posOffset>
            </wp:positionV>
            <wp:extent cx="77470" cy="1200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-1508125</wp:posOffset>
            </wp:positionV>
            <wp:extent cx="68580" cy="1200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-1508125</wp:posOffset>
            </wp:positionV>
            <wp:extent cx="68580" cy="1200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1200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-1276350</wp:posOffset>
            </wp:positionV>
            <wp:extent cx="77470" cy="2571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25717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-1276350</wp:posOffset>
            </wp:positionV>
            <wp:extent cx="68580" cy="2571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-1276350</wp:posOffset>
            </wp:positionV>
            <wp:extent cx="68580" cy="2571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2571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-599440</wp:posOffset>
            </wp:positionV>
            <wp:extent cx="7747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-599440</wp:posOffset>
            </wp:positionV>
            <wp:extent cx="6858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-599440</wp:posOffset>
            </wp:positionV>
            <wp:extent cx="6858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-359410</wp:posOffset>
            </wp:positionV>
            <wp:extent cx="2366010" cy="2489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66010" cy="248920"/>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(Dollars and shares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 and 2021</w:t>
      </w:r>
    </w:p>
    <w:p>
      <w:pPr>
        <w:spacing w:after="0" w:line="209"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2"/>
                <w:szCs w:val="12"/>
                <w:color w:val="auto"/>
              </w:rPr>
            </w:pPr>
          </w:p>
        </w:tc>
        <w:tc>
          <w:tcPr>
            <w:tcW w:w="14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5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20" w:type="dxa"/>
            <w:vAlign w:val="bottom"/>
          </w:tcPr>
          <w:p>
            <w:pPr>
              <w:spacing w:after="0"/>
              <w:rPr>
                <w:sz w:val="12"/>
                <w:szCs w:val="12"/>
                <w:color w:val="auto"/>
              </w:rPr>
            </w:pPr>
          </w:p>
        </w:tc>
        <w:tc>
          <w:tcPr>
            <w:tcW w:w="1440" w:type="dxa"/>
            <w:vAlign w:val="bottom"/>
            <w:gridSpan w:val="2"/>
          </w:tcPr>
          <w:p>
            <w:pPr>
              <w:jc w:val="right"/>
              <w:ind w:right="38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60" w:type="dxa"/>
            <w:vAlign w:val="bottom"/>
          </w:tcPr>
          <w:p>
            <w:pPr>
              <w:spacing w:after="0"/>
              <w:rPr>
                <w:sz w:val="12"/>
                <w:szCs w:val="12"/>
                <w:color w:val="auto"/>
              </w:rPr>
            </w:pPr>
          </w:p>
        </w:tc>
        <w:tc>
          <w:tcPr>
            <w:tcW w:w="10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92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July 1, 2022</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140,026</w:t>
            </w:r>
          </w:p>
        </w:tc>
        <w:tc>
          <w:tcPr>
            <w:tcW w:w="2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1,301,050</w:t>
            </w:r>
          </w:p>
        </w:tc>
        <w:tc>
          <w:tcPr>
            <w:tcW w:w="260" w:type="dxa"/>
            <w:vAlign w:val="bottom"/>
            <w:shd w:val="clear" w:color="auto" w:fill="CFF0FC"/>
          </w:tcPr>
          <w:p>
            <w:pPr>
              <w:spacing w:after="0"/>
              <w:rPr>
                <w:sz w:val="14"/>
                <w:szCs w:val="14"/>
                <w:color w:val="auto"/>
              </w:rPr>
            </w:pPr>
          </w:p>
        </w:tc>
        <w:tc>
          <w:tcPr>
            <w:tcW w:w="420" w:type="dxa"/>
            <w:vAlign w:val="bottom"/>
            <w:tcBorders>
              <w:top w:val="single" w:sz="8" w:color="auto"/>
            </w:tcBorders>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928,000</w:t>
            </w:r>
          </w:p>
        </w:tc>
        <w:tc>
          <w:tcPr>
            <w:tcW w:w="2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(246,839</w:t>
            </w:r>
          </w:p>
        </w:tc>
        <w:tc>
          <w:tcPr>
            <w:tcW w:w="2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260" w:type="dxa"/>
            <w:vAlign w:val="bottom"/>
            <w:tcBorders>
              <w:top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1,982,211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Issuance of common stock for acquisition of Suncrest Bank</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(239 )</w:t>
            </w:r>
          </w:p>
        </w:tc>
        <w:tc>
          <w:tcPr>
            <w:tcW w:w="10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(5,742 )</w:t>
            </w:r>
          </w:p>
        </w:tc>
        <w:tc>
          <w:tcPr>
            <w:tcW w:w="4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(5,742 )</w:t>
            </w:r>
          </w:p>
        </w:tc>
        <w:tc>
          <w:tcPr>
            <w:tcW w:w="0" w:type="dxa"/>
            <w:vAlign w:val="bottom"/>
          </w:tcPr>
          <w:p>
            <w:pPr>
              <w:spacing w:after="0"/>
              <w:rPr>
                <w:sz w:val="1"/>
                <w:szCs w:val="1"/>
                <w:color w:val="auto"/>
              </w:rPr>
            </w:pPr>
          </w:p>
        </w:tc>
      </w:tr>
      <w:tr>
        <w:trPr>
          <w:trHeight w:val="175"/>
        </w:trPr>
        <w:tc>
          <w:tcPr>
            <w:tcW w:w="3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Repurchase of common stock, ASR Plan</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2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920" w:type="dxa"/>
            <w:vAlign w:val="bottom"/>
          </w:tcPr>
          <w:p>
            <w:pPr>
              <w:ind w:left="280"/>
              <w:spacing w:after="0" w:line="153" w:lineRule="exact"/>
              <w:rPr>
                <w:sz w:val="20"/>
                <w:szCs w:val="20"/>
                <w:color w:val="auto"/>
              </w:rPr>
            </w:pPr>
            <w:r>
              <w:rPr>
                <w:rFonts w:ascii="Times New Roman" w:cs="Times New Roman" w:eastAsia="Times New Roman" w:hAnsi="Times New Roman"/>
                <w:sz w:val="14"/>
                <w:szCs w:val="14"/>
                <w:color w:val="auto"/>
              </w:rPr>
              <w:t>Shares issued pursuant to stock-based</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2,061</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2,061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compensation plan</w:t>
            </w:r>
          </w:p>
        </w:tc>
        <w:tc>
          <w:tcPr>
            <w:tcW w:w="10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CFF0FC"/>
          </w:tcPr>
          <w:p>
            <w:pPr>
              <w:ind w:left="280"/>
              <w:spacing w:after="0" w:line="153" w:lineRule="exact"/>
              <w:rPr>
                <w:sz w:val="20"/>
                <w:szCs w:val="20"/>
                <w:color w:val="auto"/>
              </w:rPr>
            </w:pPr>
            <w:r>
              <w:rPr>
                <w:rFonts w:ascii="Times New Roman" w:cs="Times New Roman" w:eastAsia="Times New Roman" w:hAnsi="Times New Roman"/>
                <w:sz w:val="14"/>
                <w:szCs w:val="14"/>
                <w:color w:val="auto"/>
              </w:rPr>
              <w:t>Cash dividends declared on common stock</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0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(27,965 )</w:t>
            </w:r>
          </w:p>
        </w:tc>
        <w:tc>
          <w:tcPr>
            <w:tcW w:w="120" w:type="dxa"/>
            <w:vAlign w:val="bottom"/>
            <w:shd w:val="clear" w:color="auto" w:fill="CFF0FC"/>
          </w:tcPr>
          <w:p>
            <w:pPr>
              <w:spacing w:after="0"/>
              <w:rPr>
                <w:sz w:val="13"/>
                <w:szCs w:val="13"/>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(27,965 )</w:t>
            </w:r>
          </w:p>
        </w:tc>
        <w:tc>
          <w:tcPr>
            <w:tcW w:w="0" w:type="dxa"/>
            <w:vAlign w:val="bottom"/>
          </w:tcPr>
          <w:p>
            <w:pPr>
              <w:spacing w:after="0"/>
              <w:rPr>
                <w:sz w:val="1"/>
                <w:szCs w:val="1"/>
                <w:color w:val="auto"/>
              </w:rPr>
            </w:pPr>
          </w:p>
        </w:tc>
      </w:tr>
      <w:tr>
        <w:trPr>
          <w:trHeight w:val="171"/>
        </w:trPr>
        <w:tc>
          <w:tcPr>
            <w:tcW w:w="3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($0.20 per share)</w:t>
            </w:r>
          </w:p>
        </w:tc>
        <w:tc>
          <w:tcPr>
            <w:tcW w:w="102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earnings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64,639</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(136,658 )</w:t>
            </w:r>
          </w:p>
        </w:tc>
        <w:tc>
          <w:tcPr>
            <w:tcW w:w="2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(136,658 )</w:t>
            </w:r>
          </w:p>
        </w:tc>
        <w:tc>
          <w:tcPr>
            <w:tcW w:w="0" w:type="dxa"/>
            <w:vAlign w:val="bottom"/>
          </w:tcPr>
          <w:p>
            <w:pPr>
              <w:spacing w:after="0"/>
              <w:rPr>
                <w:sz w:val="1"/>
                <w:szCs w:val="1"/>
                <w:color w:val="auto"/>
              </w:rPr>
            </w:pPr>
          </w:p>
        </w:tc>
      </w:tr>
      <w:tr>
        <w:trPr>
          <w:trHeight w:val="20"/>
        </w:trPr>
        <w:tc>
          <w:tcPr>
            <w:tcW w:w="39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September 30, 2022</w:t>
            </w:r>
          </w:p>
        </w:tc>
        <w:tc>
          <w:tcPr>
            <w:tcW w:w="10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139,805</w:t>
            </w:r>
          </w:p>
        </w:tc>
        <w:tc>
          <w:tcPr>
            <w:tcW w:w="280" w:type="dxa"/>
            <w:vAlign w:val="bottom"/>
          </w:tcPr>
          <w:p>
            <w:pPr>
              <w:spacing w:after="0"/>
              <w:rPr>
                <w:sz w:val="14"/>
                <w:szCs w:val="14"/>
                <w:color w:val="auto"/>
              </w:rPr>
            </w:pP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1,297,709</w:t>
            </w:r>
          </w:p>
        </w:tc>
        <w:tc>
          <w:tcPr>
            <w:tcW w:w="260" w:type="dxa"/>
            <w:vAlign w:val="bottom"/>
          </w:tcPr>
          <w:p>
            <w:pPr>
              <w:spacing w:after="0"/>
              <w:rPr>
                <w:sz w:val="14"/>
                <w:szCs w:val="14"/>
                <w:color w:val="auto"/>
              </w:rPr>
            </w:pPr>
          </w:p>
        </w:tc>
        <w:tc>
          <w:tcPr>
            <w:tcW w:w="420" w:type="dxa"/>
            <w:vAlign w:val="bottom"/>
          </w:tcPr>
          <w:p>
            <w:pPr>
              <w:jc w:val="right"/>
              <w:ind w:right="2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964,674</w:t>
            </w:r>
          </w:p>
        </w:tc>
        <w:tc>
          <w:tcPr>
            <w:tcW w:w="260" w:type="dxa"/>
            <w:vAlign w:val="bottom"/>
          </w:tcPr>
          <w:p>
            <w:pPr>
              <w:spacing w:after="0"/>
              <w:rPr>
                <w:sz w:val="14"/>
                <w:szCs w:val="14"/>
                <w:color w:val="auto"/>
              </w:rPr>
            </w:pPr>
          </w:p>
        </w:tc>
        <w:tc>
          <w:tcPr>
            <w:tcW w:w="1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(383,497 )</w:t>
            </w:r>
          </w:p>
        </w:tc>
        <w:tc>
          <w:tcPr>
            <w:tcW w:w="26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1,878,886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July 1, 2021</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135,927</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1,214,882</w:t>
            </w:r>
          </w:p>
        </w:tc>
        <w:tc>
          <w:tcPr>
            <w:tcW w:w="26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826,941</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13,251</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2,055,074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(406 )</w:t>
            </w:r>
          </w:p>
        </w:tc>
        <w:tc>
          <w:tcPr>
            <w:tcW w:w="10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(7,712 )</w:t>
            </w: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(7,712 )</w:t>
            </w:r>
          </w:p>
        </w:tc>
        <w:tc>
          <w:tcPr>
            <w:tcW w:w="0" w:type="dxa"/>
            <w:vAlign w:val="bottom"/>
          </w:tcPr>
          <w:p>
            <w:pPr>
              <w:spacing w:after="0"/>
              <w:rPr>
                <w:sz w:val="1"/>
                <w:szCs w:val="1"/>
                <w:color w:val="auto"/>
              </w:rPr>
            </w:pPr>
          </w:p>
        </w:tc>
      </w:tr>
      <w:tr>
        <w:trPr>
          <w:trHeight w:val="175"/>
        </w:trPr>
        <w:tc>
          <w:tcPr>
            <w:tcW w:w="39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920" w:type="dxa"/>
            <w:vAlign w:val="bottom"/>
          </w:tcPr>
          <w:p>
            <w:pPr>
              <w:ind w:left="280"/>
              <w:spacing w:after="0" w:line="153" w:lineRule="exact"/>
              <w:rPr>
                <w:sz w:val="20"/>
                <w:szCs w:val="20"/>
                <w:color w:val="auto"/>
              </w:rPr>
            </w:pPr>
            <w:r>
              <w:rPr>
                <w:rFonts w:ascii="Times New Roman" w:cs="Times New Roman" w:eastAsia="Times New Roman" w:hAnsi="Times New Roman"/>
                <w:sz w:val="14"/>
                <w:szCs w:val="14"/>
                <w:color w:val="auto"/>
              </w:rPr>
              <w:t>Shares issued pursuant to stock-based</w:t>
            </w: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compensation plan</w:t>
            </w:r>
          </w:p>
        </w:tc>
        <w:tc>
          <w:tcPr>
            <w:tcW w:w="1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CFF0FC"/>
          </w:tcPr>
          <w:p>
            <w:pPr>
              <w:ind w:left="280"/>
              <w:spacing w:after="0" w:line="153" w:lineRule="exact"/>
              <w:rPr>
                <w:sz w:val="20"/>
                <w:szCs w:val="20"/>
                <w:color w:val="auto"/>
              </w:rPr>
            </w:pPr>
            <w:r>
              <w:rPr>
                <w:rFonts w:ascii="Times New Roman" w:cs="Times New Roman" w:eastAsia="Times New Roman" w:hAnsi="Times New Roman"/>
                <w:sz w:val="14"/>
                <w:szCs w:val="14"/>
                <w:color w:val="auto"/>
              </w:rPr>
              <w:t>Cash dividends declared on common stock</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0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(24,421 )</w:t>
            </w:r>
          </w:p>
        </w:tc>
        <w:tc>
          <w:tcPr>
            <w:tcW w:w="120" w:type="dxa"/>
            <w:vAlign w:val="bottom"/>
            <w:shd w:val="clear" w:color="auto" w:fill="CFF0FC"/>
          </w:tcPr>
          <w:p>
            <w:pPr>
              <w:spacing w:after="0"/>
              <w:rPr>
                <w:sz w:val="13"/>
                <w:szCs w:val="13"/>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(24,421 )</w:t>
            </w:r>
          </w:p>
        </w:tc>
        <w:tc>
          <w:tcPr>
            <w:tcW w:w="0" w:type="dxa"/>
            <w:vAlign w:val="bottom"/>
          </w:tcPr>
          <w:p>
            <w:pPr>
              <w:spacing w:after="0"/>
              <w:rPr>
                <w:sz w:val="1"/>
                <w:szCs w:val="1"/>
                <w:color w:val="auto"/>
              </w:rPr>
            </w:pPr>
          </w:p>
        </w:tc>
      </w:tr>
      <w:tr>
        <w:trPr>
          <w:trHeight w:val="171"/>
        </w:trPr>
        <w:tc>
          <w:tcPr>
            <w:tcW w:w="3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($0.18 per share)</w:t>
            </w:r>
          </w:p>
        </w:tc>
        <w:tc>
          <w:tcPr>
            <w:tcW w:w="102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earnings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49,753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(10,173 )</w:t>
            </w:r>
          </w:p>
        </w:tc>
        <w:tc>
          <w:tcPr>
            <w:tcW w:w="2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(10,173 )</w:t>
            </w:r>
          </w:p>
        </w:tc>
        <w:tc>
          <w:tcPr>
            <w:tcW w:w="0" w:type="dxa"/>
            <w:vAlign w:val="bottom"/>
          </w:tcPr>
          <w:p>
            <w:pPr>
              <w:spacing w:after="0"/>
              <w:rPr>
                <w:sz w:val="1"/>
                <w:szCs w:val="1"/>
                <w:color w:val="auto"/>
              </w:rPr>
            </w:pPr>
          </w:p>
        </w:tc>
      </w:tr>
      <w:tr>
        <w:trPr>
          <w:trHeight w:val="169"/>
        </w:trPr>
        <w:tc>
          <w:tcPr>
            <w:tcW w:w="3920" w:type="dxa"/>
            <w:vAlign w:val="bottom"/>
            <w:tcBorders>
              <w:top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September 30, 2021</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135,517</w:t>
            </w:r>
          </w:p>
        </w:tc>
        <w:tc>
          <w:tcPr>
            <w:tcW w:w="280" w:type="dxa"/>
            <w:vAlign w:val="bottom"/>
            <w:tcBorders>
              <w:top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1,208,569</w:t>
            </w:r>
          </w:p>
        </w:tc>
        <w:tc>
          <w:tcPr>
            <w:tcW w:w="260" w:type="dxa"/>
            <w:vAlign w:val="bottom"/>
            <w:tcBorders>
              <w:top w:val="single" w:sz="8" w:color="CFF0FC"/>
            </w:tcBorders>
          </w:tcPr>
          <w:p>
            <w:pPr>
              <w:spacing w:after="0"/>
              <w:rPr>
                <w:sz w:val="14"/>
                <w:szCs w:val="14"/>
                <w:color w:val="auto"/>
              </w:rPr>
            </w:pPr>
          </w:p>
        </w:tc>
        <w:tc>
          <w:tcPr>
            <w:tcW w:w="42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852,273</w:t>
            </w:r>
          </w:p>
        </w:tc>
        <w:tc>
          <w:tcPr>
            <w:tcW w:w="260" w:type="dxa"/>
            <w:vAlign w:val="bottom"/>
            <w:tcBorders>
              <w:top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3,078</w:t>
            </w:r>
          </w:p>
        </w:tc>
        <w:tc>
          <w:tcPr>
            <w:tcW w:w="260" w:type="dxa"/>
            <w:vAlign w:val="bottom"/>
            <w:tcBorders>
              <w:top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2,063,920</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-1370965</wp:posOffset>
            </wp:positionV>
            <wp:extent cx="76835" cy="2571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-1370965</wp:posOffset>
            </wp:positionV>
            <wp:extent cx="68580" cy="2571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-1370965</wp:posOffset>
            </wp:positionV>
            <wp:extent cx="68580" cy="2571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-1370965</wp:posOffset>
            </wp:positionV>
            <wp:extent cx="68580" cy="2571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-1370965</wp:posOffset>
            </wp:positionV>
            <wp:extent cx="68580" cy="2571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-144780</wp:posOffset>
            </wp:positionV>
            <wp:extent cx="76835"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-144780</wp:posOffset>
            </wp:positionV>
            <wp:extent cx="6858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-144780</wp:posOffset>
            </wp:positionV>
            <wp:extent cx="68580"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-144780</wp:posOffset>
            </wp:positionV>
            <wp:extent cx="6858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-144780</wp:posOffset>
            </wp:positionV>
            <wp:extent cx="6858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2022 and 2021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right"/>
              <w:ind w:right="38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400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7"/>
                <w:szCs w:val="17"/>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5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00" w:type="dxa"/>
            <w:vAlign w:val="bottom"/>
          </w:tcPr>
          <w:p>
            <w:pPr>
              <w:spacing w:after="0"/>
              <w:rPr>
                <w:sz w:val="17"/>
                <w:szCs w:val="17"/>
                <w:color w:val="auto"/>
              </w:rPr>
            </w:pPr>
          </w:p>
        </w:tc>
        <w:tc>
          <w:tcPr>
            <w:tcW w:w="146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60" w:type="dxa"/>
            <w:vAlign w:val="bottom"/>
          </w:tcPr>
          <w:p>
            <w:pPr>
              <w:spacing w:after="0"/>
              <w:rPr>
                <w:sz w:val="17"/>
                <w:szCs w:val="17"/>
                <w:color w:val="auto"/>
              </w:rPr>
            </w:pP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9"/>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1, 2022</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135,526</w:t>
            </w:r>
          </w:p>
        </w:tc>
        <w:tc>
          <w:tcPr>
            <w:tcW w:w="3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1,209,903</w:t>
            </w:r>
          </w:p>
        </w:tc>
        <w:tc>
          <w:tcPr>
            <w:tcW w:w="300" w:type="dxa"/>
            <w:vAlign w:val="bottom"/>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875,568</w:t>
            </w:r>
          </w:p>
        </w:tc>
        <w:tc>
          <w:tcPr>
            <w:tcW w:w="2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(3,968</w:t>
            </w:r>
          </w:p>
        </w:tc>
        <w:tc>
          <w:tcPr>
            <w:tcW w:w="28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4"/>
              </w:rPr>
              <w:t>)</w:t>
            </w:r>
          </w:p>
        </w:tc>
        <w:tc>
          <w:tcPr>
            <w:tcW w:w="260" w:type="dxa"/>
            <w:vAlign w:val="bottom"/>
            <w:tcBorders>
              <w:top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2,081,503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Issuance of common stock for acquisition of Suncrest Bank</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8,617</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197,069</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197,069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(1,971 )</w:t>
            </w:r>
          </w:p>
        </w:tc>
        <w:tc>
          <w:tcPr>
            <w:tcW w:w="12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(46,206 )</w:t>
            </w:r>
          </w:p>
        </w:tc>
        <w:tc>
          <w:tcPr>
            <w:tcW w:w="4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(46,206 )</w:t>
            </w:r>
          </w:p>
        </w:tc>
        <w:tc>
          <w:tcPr>
            <w:tcW w:w="0" w:type="dxa"/>
            <w:vAlign w:val="bottom"/>
          </w:tcPr>
          <w:p>
            <w:pPr>
              <w:spacing w:after="0"/>
              <w:rPr>
                <w:sz w:val="1"/>
                <w:szCs w:val="1"/>
                <w:color w:val="auto"/>
              </w:rPr>
            </w:pPr>
          </w:p>
        </w:tc>
      </w:tr>
      <w:tr>
        <w:trPr>
          <w:trHeight w:val="176"/>
        </w:trPr>
        <w:tc>
          <w:tcPr>
            <w:tcW w:w="40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Repurchase of common stock, ASR Plan</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(2,994 )</w:t>
            </w:r>
          </w:p>
        </w:tc>
        <w:tc>
          <w:tcPr>
            <w:tcW w:w="120" w:type="dxa"/>
            <w:vAlign w:val="bottom"/>
          </w:tcPr>
          <w:p>
            <w:pPr>
              <w:spacing w:after="0"/>
              <w:rPr>
                <w:sz w:val="15"/>
                <w:szCs w:val="15"/>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(70,000 )</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(70,000 )</w:t>
            </w:r>
          </w:p>
        </w:tc>
        <w:tc>
          <w:tcPr>
            <w:tcW w:w="0" w:type="dxa"/>
            <w:vAlign w:val="bottom"/>
          </w:tcPr>
          <w:p>
            <w:pPr>
              <w:spacing w:after="0"/>
              <w:rPr>
                <w:sz w:val="1"/>
                <w:szCs w:val="1"/>
                <w:color w:val="auto"/>
              </w:rPr>
            </w:pPr>
          </w:p>
        </w:tc>
      </w:tr>
      <w:tr>
        <w:trPr>
          <w:trHeight w:val="175"/>
        </w:trPr>
        <w:tc>
          <w:tcPr>
            <w:tcW w:w="40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1,305</w:t>
            </w: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000" w:type="dxa"/>
            <w:vAlign w:val="bottom"/>
          </w:tcPr>
          <w:p>
            <w:pPr>
              <w:ind w:left="300"/>
              <w:spacing w:after="0" w:line="139" w:lineRule="exact"/>
              <w:rPr>
                <w:sz w:val="20"/>
                <w:szCs w:val="20"/>
                <w:color w:val="auto"/>
              </w:rPr>
            </w:pPr>
            <w:r>
              <w:rPr>
                <w:rFonts w:ascii="Times New Roman" w:cs="Times New Roman" w:eastAsia="Times New Roman" w:hAnsi="Times New Roman"/>
                <w:sz w:val="14"/>
                <w:szCs w:val="14"/>
                <w:color w:val="auto"/>
              </w:rPr>
              <w:t>Shares issued pursuant to stock-based</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5,638</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compensation plan</w:t>
            </w:r>
          </w:p>
        </w:tc>
        <w:tc>
          <w:tcPr>
            <w:tcW w:w="10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000" w:type="dxa"/>
            <w:vAlign w:val="bottom"/>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Cash dividends declared on common stock</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(80,151 )</w:t>
            </w:r>
          </w:p>
        </w:tc>
        <w:tc>
          <w:tcPr>
            <w:tcW w:w="100" w:type="dxa"/>
            <w:vAlign w:val="bottom"/>
            <w:shd w:val="clear" w:color="auto" w:fill="CFF0FC"/>
          </w:tcPr>
          <w:p>
            <w:pPr>
              <w:spacing w:after="0"/>
              <w:rPr>
                <w:sz w:val="12"/>
                <w:szCs w:val="12"/>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(80,151 )</w:t>
            </w:r>
          </w:p>
        </w:tc>
        <w:tc>
          <w:tcPr>
            <w:tcW w:w="0" w:type="dxa"/>
            <w:vAlign w:val="bottom"/>
          </w:tcPr>
          <w:p>
            <w:pPr>
              <w:spacing w:after="0"/>
              <w:rPr>
                <w:sz w:val="1"/>
                <w:szCs w:val="1"/>
                <w:color w:val="auto"/>
              </w:rPr>
            </w:pPr>
          </w:p>
        </w:tc>
      </w:tr>
      <w:tr>
        <w:trPr>
          <w:trHeight w:val="185"/>
        </w:trPr>
        <w:tc>
          <w:tcPr>
            <w:tcW w:w="40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($0.57 per share)</w:t>
            </w:r>
          </w:p>
        </w:tc>
        <w:tc>
          <w:tcPr>
            <w:tcW w:w="102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1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earnings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169,257</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(379,529 )</w:t>
            </w:r>
          </w:p>
        </w:tc>
        <w:tc>
          <w:tcPr>
            <w:tcW w:w="2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(379,529 )</w:t>
            </w:r>
          </w:p>
        </w:tc>
        <w:tc>
          <w:tcPr>
            <w:tcW w:w="0" w:type="dxa"/>
            <w:vAlign w:val="bottom"/>
          </w:tcPr>
          <w:p>
            <w:pPr>
              <w:spacing w:after="0"/>
              <w:rPr>
                <w:sz w:val="1"/>
                <w:szCs w:val="1"/>
                <w:color w:val="auto"/>
              </w:rPr>
            </w:pPr>
          </w:p>
        </w:tc>
      </w:tr>
      <w:tr>
        <w:trPr>
          <w:trHeight w:val="20"/>
        </w:trPr>
        <w:tc>
          <w:tcPr>
            <w:tcW w:w="40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0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 September 30, 2022</w:t>
            </w:r>
          </w:p>
        </w:tc>
        <w:tc>
          <w:tcPr>
            <w:tcW w:w="10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139,805</w:t>
            </w:r>
          </w:p>
        </w:tc>
        <w:tc>
          <w:tcPr>
            <w:tcW w:w="300" w:type="dxa"/>
            <w:vAlign w:val="bottom"/>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1,297,709</w:t>
            </w:r>
          </w:p>
        </w:tc>
        <w:tc>
          <w:tcPr>
            <w:tcW w:w="300" w:type="dxa"/>
            <w:vAlign w:val="bottom"/>
          </w:tcPr>
          <w:p>
            <w:pPr>
              <w:spacing w:after="0"/>
              <w:rPr>
                <w:sz w:val="14"/>
                <w:szCs w:val="14"/>
                <w:color w:val="auto"/>
              </w:rPr>
            </w:pPr>
          </w:p>
        </w:tc>
        <w:tc>
          <w:tcPr>
            <w:tcW w:w="400" w:type="dxa"/>
            <w:vAlign w:val="bottom"/>
          </w:tcPr>
          <w:p>
            <w:pPr>
              <w:jc w:val="right"/>
              <w:ind w:right="2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964,674</w:t>
            </w:r>
          </w:p>
        </w:tc>
        <w:tc>
          <w:tcPr>
            <w:tcW w:w="280" w:type="dxa"/>
            <w:vAlign w:val="bottom"/>
          </w:tcPr>
          <w:p>
            <w:pPr>
              <w:spacing w:after="0"/>
              <w:rPr>
                <w:sz w:val="14"/>
                <w:szCs w:val="14"/>
                <w:color w:val="auto"/>
              </w:rPr>
            </w:pPr>
          </w:p>
        </w:tc>
        <w:tc>
          <w:tcPr>
            <w:tcW w:w="1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rPr>
              <w:t>(383,497 )</w:t>
            </w:r>
          </w:p>
        </w:tc>
        <w:tc>
          <w:tcPr>
            <w:tcW w:w="26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1,878,886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1, 2021</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135,601</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1,211,780</w:t>
            </w: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760,861</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35,349</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2,007,990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(430 )</w:t>
            </w:r>
          </w:p>
        </w:tc>
        <w:tc>
          <w:tcPr>
            <w:tcW w:w="120" w:type="dxa"/>
            <w:vAlign w:val="bottom"/>
          </w:tcPr>
          <w:p>
            <w:pPr>
              <w:spacing w:after="0"/>
              <w:rPr>
                <w:sz w:val="15"/>
                <w:szCs w:val="15"/>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(8,246 )</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(8,246 )</w:t>
            </w:r>
          </w:p>
        </w:tc>
        <w:tc>
          <w:tcPr>
            <w:tcW w:w="0" w:type="dxa"/>
            <w:vAlign w:val="bottom"/>
          </w:tcPr>
          <w:p>
            <w:pPr>
              <w:spacing w:after="0"/>
              <w:rPr>
                <w:sz w:val="1"/>
                <w:szCs w:val="1"/>
                <w:color w:val="auto"/>
              </w:rPr>
            </w:pPr>
          </w:p>
        </w:tc>
      </w:tr>
      <w:tr>
        <w:trPr>
          <w:trHeight w:val="175"/>
        </w:trPr>
        <w:tc>
          <w:tcPr>
            <w:tcW w:w="40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000" w:type="dxa"/>
            <w:vAlign w:val="bottom"/>
          </w:tcPr>
          <w:p>
            <w:pPr>
              <w:ind w:left="300"/>
              <w:spacing w:after="0" w:line="139" w:lineRule="exact"/>
              <w:rPr>
                <w:sz w:val="20"/>
                <w:szCs w:val="20"/>
                <w:color w:val="auto"/>
              </w:rPr>
            </w:pPr>
            <w:r>
              <w:rPr>
                <w:rFonts w:ascii="Times New Roman" w:cs="Times New Roman" w:eastAsia="Times New Roman" w:hAnsi="Times New Roman"/>
                <w:sz w:val="14"/>
                <w:szCs w:val="14"/>
                <w:color w:val="auto"/>
              </w:rPr>
              <w:t>Shares issued pursuant to stock-based</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4,049</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compensation plan</w:t>
            </w:r>
          </w:p>
        </w:tc>
        <w:tc>
          <w:tcPr>
            <w:tcW w:w="10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000" w:type="dxa"/>
            <w:vAlign w:val="bottom"/>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Cash dividends declared on common stock</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(73,413 )</w:t>
            </w:r>
          </w:p>
        </w:tc>
        <w:tc>
          <w:tcPr>
            <w:tcW w:w="100" w:type="dxa"/>
            <w:vAlign w:val="bottom"/>
            <w:shd w:val="clear" w:color="auto" w:fill="CFF0FC"/>
          </w:tcPr>
          <w:p>
            <w:pPr>
              <w:spacing w:after="0"/>
              <w:rPr>
                <w:sz w:val="12"/>
                <w:szCs w:val="12"/>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(73,413 )</w:t>
            </w:r>
          </w:p>
        </w:tc>
        <w:tc>
          <w:tcPr>
            <w:tcW w:w="0" w:type="dxa"/>
            <w:vAlign w:val="bottom"/>
          </w:tcPr>
          <w:p>
            <w:pPr>
              <w:spacing w:after="0"/>
              <w:rPr>
                <w:sz w:val="1"/>
                <w:szCs w:val="1"/>
                <w:color w:val="auto"/>
              </w:rPr>
            </w:pPr>
          </w:p>
        </w:tc>
      </w:tr>
      <w:tr>
        <w:trPr>
          <w:trHeight w:val="185"/>
        </w:trPr>
        <w:tc>
          <w:tcPr>
            <w:tcW w:w="40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($0.54 per share)</w:t>
            </w:r>
          </w:p>
        </w:tc>
        <w:tc>
          <w:tcPr>
            <w:tcW w:w="102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1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earnings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164,825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164,825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(32,271 )</w:t>
            </w:r>
          </w:p>
        </w:tc>
        <w:tc>
          <w:tcPr>
            <w:tcW w:w="2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(32,271 )</w:t>
            </w:r>
          </w:p>
        </w:tc>
        <w:tc>
          <w:tcPr>
            <w:tcW w:w="0" w:type="dxa"/>
            <w:vAlign w:val="bottom"/>
          </w:tcPr>
          <w:p>
            <w:pPr>
              <w:spacing w:after="0"/>
              <w:rPr>
                <w:sz w:val="1"/>
                <w:szCs w:val="1"/>
                <w:color w:val="auto"/>
              </w:rPr>
            </w:pPr>
          </w:p>
        </w:tc>
      </w:tr>
      <w:tr>
        <w:trPr>
          <w:trHeight w:val="169"/>
        </w:trPr>
        <w:tc>
          <w:tcPr>
            <w:tcW w:w="4000" w:type="dxa"/>
            <w:vAlign w:val="bottom"/>
            <w:tcBorders>
              <w:top w:val="single" w:sz="8" w:color="CFF0FC"/>
            </w:tcBorders>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 September 30, 2021</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135,517</w:t>
            </w:r>
          </w:p>
        </w:tc>
        <w:tc>
          <w:tcPr>
            <w:tcW w:w="300" w:type="dxa"/>
            <w:vAlign w:val="bottom"/>
            <w:tcBorders>
              <w:top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1,208,569</w:t>
            </w:r>
          </w:p>
        </w:tc>
        <w:tc>
          <w:tcPr>
            <w:tcW w:w="300" w:type="dxa"/>
            <w:vAlign w:val="bottom"/>
            <w:tcBorders>
              <w:top w:val="single" w:sz="8" w:color="CFF0FC"/>
            </w:tcBorders>
          </w:tcPr>
          <w:p>
            <w:pPr>
              <w:spacing w:after="0"/>
              <w:rPr>
                <w:sz w:val="14"/>
                <w:szCs w:val="14"/>
                <w:color w:val="auto"/>
              </w:rPr>
            </w:pPr>
          </w:p>
        </w:tc>
        <w:tc>
          <w:tcPr>
            <w:tcW w:w="40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852,273</w:t>
            </w:r>
          </w:p>
        </w:tc>
        <w:tc>
          <w:tcPr>
            <w:tcW w:w="280" w:type="dxa"/>
            <w:vAlign w:val="bottom"/>
            <w:tcBorders>
              <w:top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3,078</w:t>
            </w:r>
          </w:p>
        </w:tc>
        <w:tc>
          <w:tcPr>
            <w:tcW w:w="280" w:type="dxa"/>
            <w:vAlign w:val="bottom"/>
            <w:tcBorders>
              <w:top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2,063,920</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-1370965</wp:posOffset>
            </wp:positionV>
            <wp:extent cx="76835" cy="2571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-1370965</wp:posOffset>
            </wp:positionV>
            <wp:extent cx="77470" cy="2571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25717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-1370965</wp:posOffset>
            </wp:positionV>
            <wp:extent cx="68580" cy="2571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-1370965</wp:posOffset>
            </wp:positionV>
            <wp:extent cx="68580" cy="2571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2571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-145415</wp:posOffset>
            </wp:positionV>
            <wp:extent cx="76835"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-145415</wp:posOffset>
            </wp:positionV>
            <wp:extent cx="7747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-145415</wp:posOffset>
            </wp:positionV>
            <wp:extent cx="6858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-145415</wp:posOffset>
            </wp:positionV>
            <wp:extent cx="6858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8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8"/>
                <w:szCs w:val="18"/>
                <w:color w:val="auto"/>
              </w:rPr>
            </w:pPr>
          </w:p>
        </w:tc>
      </w:tr>
      <w:tr>
        <w:trPr>
          <w:trHeight w:val="209"/>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 and dividends received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308,061</w:t>
            </w:r>
          </w:p>
        </w:tc>
        <w:tc>
          <w:tcPr>
            <w:tcW w:w="100" w:type="dxa"/>
            <w:vAlign w:val="bottom"/>
          </w:tcPr>
          <w:p>
            <w:pPr>
              <w:spacing w:after="0"/>
              <w:rPr>
                <w:sz w:val="18"/>
                <w:szCs w:val="18"/>
                <w:color w:val="auto"/>
              </w:rPr>
            </w:pPr>
          </w:p>
        </w:tc>
      </w:tr>
      <w:tr>
        <w:trPr>
          <w:trHeight w:val="216"/>
        </w:trPr>
        <w:tc>
          <w:tcPr>
            <w:tcW w:w="8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Service charges and other fees received</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32,968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27,427</w:t>
            </w:r>
          </w:p>
        </w:tc>
        <w:tc>
          <w:tcPr>
            <w:tcW w:w="100" w:type="dxa"/>
            <w:vAlign w:val="bottom"/>
            <w:shd w:val="clear" w:color="auto" w:fill="CFF0FC"/>
          </w:tcPr>
          <w:p>
            <w:pPr>
              <w:spacing w:after="0"/>
              <w:rPr>
                <w:sz w:val="18"/>
                <w:szCs w:val="18"/>
                <w:color w:val="auto"/>
              </w:rPr>
            </w:pPr>
          </w:p>
        </w:tc>
      </w:tr>
      <w:tr>
        <w:trPr>
          <w:trHeight w:val="216"/>
        </w:trPr>
        <w:tc>
          <w:tcPr>
            <w:tcW w:w="8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 paid</w:t>
            </w:r>
          </w:p>
        </w:tc>
        <w:tc>
          <w:tcPr>
            <w:tcW w:w="2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(4,131 )</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(4,866 )</w:t>
            </w:r>
          </w:p>
        </w:tc>
      </w:tr>
      <w:tr>
        <w:trPr>
          <w:trHeight w:val="216"/>
        </w:trPr>
        <w:tc>
          <w:tcPr>
            <w:tcW w:w="8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paid to vendors, employees and others</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(147,314 )</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(135,640 )</w:t>
            </w:r>
          </w:p>
        </w:tc>
      </w:tr>
      <w:tr>
        <w:trPr>
          <w:trHeight w:val="216"/>
        </w:trPr>
        <w:tc>
          <w:tcPr>
            <w:tcW w:w="8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(53,252 )</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(58,402 )</w:t>
            </w:r>
          </w:p>
        </w:tc>
      </w:tr>
      <w:tr>
        <w:trPr>
          <w:trHeight w:val="210"/>
        </w:trPr>
        <w:tc>
          <w:tcPr>
            <w:tcW w:w="8240" w:type="dxa"/>
            <w:vAlign w:val="bottom"/>
            <w:tcBorders>
              <w:top w:val="single" w:sz="8" w:color="CFF0FC"/>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202,846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136,580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Proceeds from redemption of FHLB stock</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8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change in interest-earning balances from depository institutions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16,303</w:t>
            </w:r>
          </w:p>
        </w:tc>
        <w:tc>
          <w:tcPr>
            <w:tcW w:w="100" w:type="dxa"/>
            <w:vAlign w:val="bottom"/>
          </w:tcPr>
          <w:p>
            <w:pPr>
              <w:spacing w:after="0"/>
              <w:rPr>
                <w:sz w:val="18"/>
                <w:szCs w:val="18"/>
                <w:color w:val="auto"/>
              </w:rPr>
            </w:pPr>
          </w:p>
        </w:tc>
      </w:tr>
      <w:tr>
        <w:trPr>
          <w:trHeight w:val="216"/>
        </w:trPr>
        <w:tc>
          <w:tcPr>
            <w:tcW w:w="8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Proceeds from repayment of investment securities available-for-sale</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403,184</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599,139</w:t>
            </w:r>
          </w:p>
        </w:tc>
        <w:tc>
          <w:tcPr>
            <w:tcW w:w="100" w:type="dxa"/>
            <w:vAlign w:val="bottom"/>
            <w:shd w:val="clear" w:color="auto" w:fill="CFF0FC"/>
          </w:tcPr>
          <w:p>
            <w:pPr>
              <w:spacing w:after="0"/>
              <w:rPr>
                <w:sz w:val="18"/>
                <w:szCs w:val="18"/>
                <w:color w:val="auto"/>
              </w:rPr>
            </w:pPr>
          </w:p>
        </w:tc>
      </w:tr>
      <w:tr>
        <w:trPr>
          <w:trHeight w:val="216"/>
        </w:trPr>
        <w:tc>
          <w:tcPr>
            <w:tcW w:w="8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Proceeds from maturity of investment securities available-for-sale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8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Purchases of investment securities available-for-sale</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(1,142,441 )</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(1,247,286 )</w:t>
            </w:r>
          </w:p>
        </w:tc>
      </w:tr>
      <w:tr>
        <w:trPr>
          <w:trHeight w:val="216"/>
        </w:trPr>
        <w:tc>
          <w:tcPr>
            <w:tcW w:w="8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Proceeds from repayment and maturity of investment securities held-to-maturity</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113,134</w:t>
            </w:r>
          </w:p>
        </w:tc>
        <w:tc>
          <w:tcPr>
            <w:tcW w:w="100" w:type="dxa"/>
            <w:vAlign w:val="bottom"/>
          </w:tcPr>
          <w:p>
            <w:pPr>
              <w:spacing w:after="0"/>
              <w:rPr>
                <w:sz w:val="18"/>
                <w:szCs w:val="18"/>
                <w:color w:val="auto"/>
              </w:rPr>
            </w:pPr>
          </w:p>
        </w:tc>
      </w:tr>
      <w:tr>
        <w:trPr>
          <w:trHeight w:val="216"/>
        </w:trPr>
        <w:tc>
          <w:tcPr>
            <w:tcW w:w="8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Purchases of investment securities held-to-maturity</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(622,499 )</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(830,886 )</w:t>
            </w:r>
          </w:p>
        </w:tc>
      </w:tr>
      <w:tr>
        <w:trPr>
          <w:trHeight w:val="216"/>
        </w:trPr>
        <w:tc>
          <w:tcPr>
            <w:tcW w:w="8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decrease (increase) in equity investments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(4,934 )</w:t>
            </w:r>
          </w:p>
        </w:tc>
      </w:tr>
      <w:tr>
        <w:trPr>
          <w:trHeight w:val="216"/>
        </w:trPr>
        <w:tc>
          <w:tcPr>
            <w:tcW w:w="8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(increase) decrease in loan and lease finance receivables</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(97,801 )</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529,771</w:t>
            </w:r>
          </w:p>
        </w:tc>
        <w:tc>
          <w:tcPr>
            <w:tcW w:w="100" w:type="dxa"/>
            <w:vAlign w:val="bottom"/>
            <w:shd w:val="clear" w:color="auto" w:fill="CFF0FC"/>
          </w:tcPr>
          <w:p>
            <w:pPr>
              <w:spacing w:after="0"/>
              <w:rPr>
                <w:sz w:val="18"/>
                <w:szCs w:val="18"/>
                <w:color w:val="auto"/>
              </w:rPr>
            </w:pPr>
          </w:p>
        </w:tc>
      </w:tr>
      <w:tr>
        <w:trPr>
          <w:trHeight w:val="216"/>
        </w:trPr>
        <w:tc>
          <w:tcPr>
            <w:tcW w:w="8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Proceeds from sale of building, net of selling costs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tcPr>
          <w:p>
            <w:pPr>
              <w:spacing w:after="0"/>
              <w:rPr>
                <w:sz w:val="18"/>
                <w:szCs w:val="18"/>
                <w:color w:val="auto"/>
              </w:rPr>
            </w:pPr>
          </w:p>
        </w:tc>
      </w:tr>
      <w:tr>
        <w:trPr>
          <w:trHeight w:val="216"/>
        </w:trPr>
        <w:tc>
          <w:tcPr>
            <w:tcW w:w="8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Purchase of premises and equipment</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(4,057 )</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(2,278 )</w:t>
            </w:r>
          </w:p>
        </w:tc>
      </w:tr>
      <w:tr>
        <w:trPr>
          <w:trHeight w:val="216"/>
        </w:trPr>
        <w:tc>
          <w:tcPr>
            <w:tcW w:w="8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Purchase of BOLI</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(25,000 )</w:t>
            </w:r>
          </w:p>
        </w:tc>
      </w:tr>
      <w:tr>
        <w:trPr>
          <w:trHeight w:val="216"/>
        </w:trPr>
        <w:tc>
          <w:tcPr>
            <w:tcW w:w="8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Proceeds from BOLI death benefit</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8,691</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11,121</w:t>
            </w:r>
          </w:p>
        </w:tc>
        <w:tc>
          <w:tcPr>
            <w:tcW w:w="100" w:type="dxa"/>
            <w:vAlign w:val="bottom"/>
            <w:shd w:val="clear" w:color="auto" w:fill="CFF0FC"/>
          </w:tcPr>
          <w:p>
            <w:pPr>
              <w:spacing w:after="0"/>
              <w:rPr>
                <w:sz w:val="18"/>
                <w:szCs w:val="18"/>
                <w:color w:val="auto"/>
              </w:rPr>
            </w:pPr>
          </w:p>
        </w:tc>
      </w:tr>
      <w:tr>
        <w:trPr>
          <w:trHeight w:val="216"/>
        </w:trPr>
        <w:tc>
          <w:tcPr>
            <w:tcW w:w="8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Proceeds from sales of other real estate owned</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100" w:type="dxa"/>
            <w:vAlign w:val="bottom"/>
          </w:tcPr>
          <w:p>
            <w:pPr>
              <w:spacing w:after="0"/>
              <w:rPr>
                <w:sz w:val="18"/>
                <w:szCs w:val="18"/>
                <w:color w:val="auto"/>
              </w:rPr>
            </w:pPr>
          </w:p>
        </w:tc>
      </w:tr>
      <w:tr>
        <w:trPr>
          <w:trHeight w:val="216"/>
        </w:trPr>
        <w:tc>
          <w:tcPr>
            <w:tcW w:w="82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Cash acquired from acquisition, net of cash paid</w:t>
            </w: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329,001</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(962,037 )</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(835,890 )</w:t>
            </w:r>
          </w:p>
        </w:tc>
      </w:tr>
      <w:tr>
        <w:trPr>
          <w:trHeight w:val="210"/>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(decrease) increase in other deposits</w:t>
            </w:r>
          </w:p>
        </w:tc>
        <w:tc>
          <w:tcPr>
            <w:tcW w:w="2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(253,021 )</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1,250,970</w:t>
            </w:r>
          </w:p>
        </w:tc>
        <w:tc>
          <w:tcPr>
            <w:tcW w:w="100" w:type="dxa"/>
            <w:vAlign w:val="bottom"/>
          </w:tcPr>
          <w:p>
            <w:pPr>
              <w:spacing w:after="0"/>
              <w:rPr>
                <w:sz w:val="18"/>
                <w:szCs w:val="18"/>
                <w:color w:val="auto"/>
              </w:rPr>
            </w:pPr>
          </w:p>
        </w:tc>
      </w:tr>
      <w:tr>
        <w:trPr>
          <w:trHeight w:val="216"/>
        </w:trPr>
        <w:tc>
          <w:tcPr>
            <w:tcW w:w="8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decrease in time deposits</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(33,593 )</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(57,255 )</w:t>
            </w:r>
          </w:p>
        </w:tc>
      </w:tr>
      <w:tr>
        <w:trPr>
          <w:trHeight w:val="216"/>
        </w:trPr>
        <w:tc>
          <w:tcPr>
            <w:tcW w:w="8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decrease in other borrowings</w:t>
            </w:r>
          </w:p>
        </w:tc>
        <w:tc>
          <w:tcPr>
            <w:tcW w:w="2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(2,281 )</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(5,000 )</w:t>
            </w:r>
          </w:p>
        </w:tc>
      </w:tr>
      <w:tr>
        <w:trPr>
          <w:trHeight w:val="216"/>
        </w:trPr>
        <w:tc>
          <w:tcPr>
            <w:tcW w:w="8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(decrease) increase in customer repurchase agreements</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(174,544 )</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220,173</w:t>
            </w:r>
          </w:p>
        </w:tc>
        <w:tc>
          <w:tcPr>
            <w:tcW w:w="100" w:type="dxa"/>
            <w:vAlign w:val="bottom"/>
            <w:shd w:val="clear" w:color="auto" w:fill="CFF0FC"/>
          </w:tcPr>
          <w:p>
            <w:pPr>
              <w:spacing w:after="0"/>
              <w:rPr>
                <w:sz w:val="18"/>
                <w:szCs w:val="18"/>
                <w:color w:val="auto"/>
              </w:rPr>
            </w:pPr>
          </w:p>
        </w:tc>
      </w:tr>
      <w:tr>
        <w:trPr>
          <w:trHeight w:val="216"/>
        </w:trPr>
        <w:tc>
          <w:tcPr>
            <w:tcW w:w="8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Repayment of junior subordinated debentures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(25,774 )</w:t>
            </w:r>
          </w:p>
        </w:tc>
      </w:tr>
      <w:tr>
        <w:trPr>
          <w:trHeight w:val="216"/>
        </w:trPr>
        <w:tc>
          <w:tcPr>
            <w:tcW w:w="8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Cash dividends on common stock</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(76,478 )</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(73,341 )</w:t>
            </w:r>
          </w:p>
        </w:tc>
      </w:tr>
      <w:tr>
        <w:trPr>
          <w:trHeight w:val="216"/>
        </w:trPr>
        <w:tc>
          <w:tcPr>
            <w:tcW w:w="8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(46,206 )</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(8,246 )</w:t>
            </w:r>
          </w:p>
        </w:tc>
      </w:tr>
      <w:tr>
        <w:trPr>
          <w:trHeight w:val="216"/>
        </w:trPr>
        <w:tc>
          <w:tcPr>
            <w:tcW w:w="8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Repurchase of common stock, ASR Plan</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(70,000 )</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8240" w:type="dxa"/>
            <w:vAlign w:val="bottom"/>
            <w:tcBorders>
              <w:bottom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Borders>
              <w:bottom w:val="single" w:sz="8" w:color="CFF0FC"/>
            </w:tcBorders>
          </w:tcPr>
          <w:p>
            <w:pPr>
              <w:spacing w:after="0"/>
              <w:rPr>
                <w:sz w:val="18"/>
                <w:szCs w:val="18"/>
                <w:color w:val="auto"/>
              </w:rPr>
            </w:pPr>
          </w:p>
        </w:tc>
      </w:tr>
      <w:tr>
        <w:trPr>
          <w:trHeight w:val="210"/>
        </w:trPr>
        <w:tc>
          <w:tcPr>
            <w:tcW w:w="82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(654,818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1,302,513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32"/>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2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(1,414,009 )</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603,203</w:t>
            </w:r>
          </w:p>
        </w:tc>
        <w:tc>
          <w:tcPr>
            <w:tcW w:w="100" w:type="dxa"/>
            <w:vAlign w:val="bottom"/>
          </w:tcPr>
          <w:p>
            <w:pPr>
              <w:spacing w:after="0"/>
              <w:rPr>
                <w:sz w:val="20"/>
                <w:szCs w:val="20"/>
                <w:color w:val="auto"/>
              </w:rPr>
            </w:pPr>
          </w:p>
        </w:tc>
      </w:tr>
      <w:tr>
        <w:trPr>
          <w:trHeight w:val="194"/>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1,732,548</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1,958,160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2,561,363</w:t>
            </w:r>
          </w:p>
        </w:tc>
        <w:tc>
          <w:tcPr>
            <w:tcW w:w="100" w:type="dxa"/>
            <w:vAlign w:val="bottom"/>
          </w:tcPr>
          <w:p>
            <w:pPr>
              <w:spacing w:after="0"/>
              <w:rPr>
                <w:sz w:val="18"/>
                <w:szCs w:val="18"/>
                <w:color w:val="auto"/>
              </w:rPr>
            </w:pPr>
          </w:p>
        </w:tc>
      </w:tr>
      <w:tr>
        <w:trPr>
          <w:trHeight w:val="20"/>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-4624070</wp:posOffset>
            </wp:positionV>
            <wp:extent cx="7145020" cy="3041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5020" cy="30416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-2262505</wp:posOffset>
            </wp:positionV>
            <wp:extent cx="6858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-749300</wp:posOffset>
            </wp:positionV>
            <wp:extent cx="7145020" cy="4413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5020" cy="44132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8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8"/>
                <w:szCs w:val="18"/>
                <w:color w:val="auto"/>
              </w:rPr>
            </w:pPr>
          </w:p>
        </w:tc>
      </w:tr>
      <w:tr>
        <w:trPr>
          <w:trHeight w:val="209"/>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Net Earnings to Net Cash Provided by Operating Activities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169,257</w:t>
            </w:r>
          </w:p>
        </w:tc>
        <w:tc>
          <w:tcPr>
            <w:tcW w:w="3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164,825</w:t>
            </w:r>
          </w:p>
        </w:tc>
        <w:tc>
          <w:tcPr>
            <w:tcW w:w="100" w:type="dxa"/>
            <w:vAlign w:val="bottom"/>
          </w:tcPr>
          <w:p>
            <w:pPr>
              <w:spacing w:after="0"/>
              <w:rPr>
                <w:sz w:val="18"/>
                <w:szCs w:val="18"/>
                <w:color w:val="auto"/>
              </w:rPr>
            </w:pPr>
          </w:p>
        </w:tc>
      </w:tr>
      <w:tr>
        <w:trPr>
          <w:trHeight w:val="216"/>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on sale of building, net</w:t>
            </w: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(2,717 )</w:t>
            </w:r>
          </w:p>
        </w:tc>
        <w:tc>
          <w:tcPr>
            <w:tcW w:w="4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(189 )</w:t>
            </w:r>
          </w:p>
        </w:tc>
      </w:tr>
      <w:tr>
        <w:trPr>
          <w:trHeight w:val="216"/>
        </w:trPr>
        <w:tc>
          <w:tcPr>
            <w:tcW w:w="8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Gain on sale of other real estate owned</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(477 )</w:t>
            </w:r>
          </w:p>
        </w:tc>
      </w:tr>
      <w:tr>
        <w:trPr>
          <w:trHeight w:val="216"/>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Increase in BOLI</w:t>
            </w: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(3,939 )</w:t>
            </w:r>
          </w:p>
        </w:tc>
        <w:tc>
          <w:tcPr>
            <w:tcW w:w="4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(7,093 )</w:t>
            </w:r>
          </w:p>
        </w:tc>
      </w:tr>
      <w:tr>
        <w:trPr>
          <w:trHeight w:val="216"/>
        </w:trPr>
        <w:tc>
          <w:tcPr>
            <w:tcW w:w="8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amortization of premiums and discounts on investment securities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21,794</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23,221</w:t>
            </w:r>
          </w:p>
        </w:tc>
        <w:tc>
          <w:tcPr>
            <w:tcW w:w="100" w:type="dxa"/>
            <w:vAlign w:val="bottom"/>
            <w:shd w:val="clear" w:color="auto" w:fill="CFF0FC"/>
          </w:tcPr>
          <w:p>
            <w:pPr>
              <w:spacing w:after="0"/>
              <w:rPr>
                <w:sz w:val="18"/>
                <w:szCs w:val="18"/>
                <w:color w:val="auto"/>
              </w:rPr>
            </w:pPr>
          </w:p>
        </w:tc>
      </w:tr>
      <w:tr>
        <w:trPr>
          <w:trHeight w:val="216"/>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Accretion of discount for acquired loans, net</w:t>
            </w: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(6,115 )</w:t>
            </w:r>
          </w:p>
        </w:tc>
        <w:tc>
          <w:tcPr>
            <w:tcW w:w="4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(10,158 )</w:t>
            </w:r>
          </w:p>
        </w:tc>
      </w:tr>
      <w:tr>
        <w:trPr>
          <w:trHeight w:val="216"/>
        </w:trPr>
        <w:tc>
          <w:tcPr>
            <w:tcW w:w="8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for (recapture of) credit losses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(25,500 )</w:t>
            </w:r>
          </w:p>
        </w:tc>
      </w:tr>
      <w:tr>
        <w:trPr>
          <w:trHeight w:val="216"/>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(Recapture of) provision for unfunded loan commitments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r>
      <w:tr>
        <w:trPr>
          <w:trHeight w:val="216"/>
        </w:trPr>
        <w:tc>
          <w:tcPr>
            <w:tcW w:w="8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5,638</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00" w:type="dxa"/>
            <w:vAlign w:val="bottom"/>
            <w:shd w:val="clear" w:color="auto" w:fill="CFF0FC"/>
          </w:tcPr>
          <w:p>
            <w:pPr>
              <w:spacing w:after="0"/>
              <w:rPr>
                <w:sz w:val="18"/>
                <w:szCs w:val="18"/>
                <w:color w:val="auto"/>
              </w:rPr>
            </w:pPr>
          </w:p>
        </w:tc>
      </w:tr>
      <w:tr>
        <w:trPr>
          <w:trHeight w:val="216"/>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 net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9,426</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(7,143 )</w:t>
            </w:r>
          </w:p>
        </w:tc>
      </w:tr>
      <w:tr>
        <w:trPr>
          <w:trHeight w:val="216"/>
        </w:trPr>
        <w:tc>
          <w:tcPr>
            <w:tcW w:w="8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 in other assets and liabilities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(3,955 )</w:t>
            </w:r>
          </w:p>
        </w:tc>
      </w:tr>
      <w:tr>
        <w:trPr>
          <w:trHeight w:val="20"/>
        </w:trPr>
        <w:tc>
          <w:tcPr>
            <w:tcW w:w="8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8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adjustments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33,589</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(28,245 )</w:t>
            </w:r>
          </w:p>
        </w:tc>
      </w:tr>
      <w:tr>
        <w:trPr>
          <w:trHeight w:val="249"/>
        </w:trPr>
        <w:tc>
          <w:tcPr>
            <w:tcW w:w="82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202,846</w:t>
            </w:r>
          </w:p>
        </w:tc>
        <w:tc>
          <w:tcPr>
            <w:tcW w:w="3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Activities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Securities purchased and not settled</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8,697</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421,751</w:t>
            </w:r>
          </w:p>
        </w:tc>
        <w:tc>
          <w:tcPr>
            <w:tcW w:w="100" w:type="dxa"/>
            <w:vAlign w:val="bottom"/>
            <w:shd w:val="clear" w:color="auto" w:fill="CFF0FC"/>
          </w:tcPr>
          <w:p>
            <w:pPr>
              <w:spacing w:after="0"/>
              <w:rPr>
                <w:sz w:val="18"/>
                <w:szCs w:val="18"/>
                <w:color w:val="auto"/>
              </w:rPr>
            </w:pPr>
          </w:p>
        </w:tc>
      </w:tr>
      <w:tr>
        <w:trPr>
          <w:trHeight w:val="234"/>
        </w:trPr>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common stock for acquisition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197,069</w:t>
            </w:r>
          </w:p>
        </w:tc>
        <w:tc>
          <w:tcPr>
            <w:tcW w:w="30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-876935</wp:posOffset>
            </wp:positionV>
            <wp:extent cx="6858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-876935</wp:posOffset>
            </wp:positionV>
            <wp:extent cx="6858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-585470</wp:posOffset>
            </wp:positionV>
            <wp:extent cx="1080135" cy="3003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80135" cy="300355"/>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 w:name="page10"/>
    <w:bookmarkEnd w:id="9"/>
    <w:p>
      <w:pPr>
        <w:ind w:left="3740"/>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2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9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BUSINESS</w:t>
      </w:r>
    </w:p>
    <w:p>
      <w:pPr>
        <w:spacing w:after="0" w:line="216" w:lineRule="exact"/>
        <w:rPr>
          <w:sz w:val="20"/>
          <w:szCs w:val="20"/>
          <w:color w:val="auto"/>
        </w:rPr>
      </w:pPr>
    </w:p>
    <w:p>
      <w:pPr>
        <w:ind w:firstLine="469"/>
        <w:spacing w:after="0" w:line="250" w:lineRule="auto"/>
        <w:rPr>
          <w:sz w:val="20"/>
          <w:szCs w:val="20"/>
          <w:color w:val="auto"/>
        </w:rPr>
      </w:pPr>
      <w:r>
        <w:rPr>
          <w:rFonts w:ascii="Times New Roman" w:cs="Times New Roman" w:eastAsia="Times New Roman" w:hAnsi="Times New Roman"/>
          <w:sz w:val="18"/>
          <w:szCs w:val="18"/>
          <w:color w:val="auto"/>
        </w:rPr>
        <w:t>The condensed consolidated financial statements include CVB Financial Corp. (referred to herein on an unconsolidated basis as “CVB” and on a consolidated basis as “we”, “our” or the “Company”) and its wholly owned subsidiary: Citizens Business Bank (the “Bank” or “CBB”), after elimination of all intercompany transactions and balances. The Company has one inactive subsidiary, Chino Valley Bancorp.</w:t>
      </w:r>
    </w:p>
    <w:p>
      <w:pPr>
        <w:spacing w:after="0" w:line="177" w:lineRule="exact"/>
        <w:rPr>
          <w:sz w:val="20"/>
          <w:szCs w:val="20"/>
          <w:color w:val="auto"/>
        </w:rPr>
      </w:pPr>
    </w:p>
    <w:p>
      <w:pPr>
        <w:ind w:right="20" w:firstLine="469"/>
        <w:spacing w:after="0" w:line="246" w:lineRule="auto"/>
        <w:rPr>
          <w:sz w:val="20"/>
          <w:szCs w:val="20"/>
          <w:color w:val="auto"/>
        </w:rPr>
      </w:pPr>
      <w:r>
        <w:rPr>
          <w:rFonts w:ascii="Times New Roman" w:cs="Times New Roman" w:eastAsia="Times New Roman" w:hAnsi="Times New Roman"/>
          <w:sz w:val="18"/>
          <w:szCs w:val="18"/>
          <w:color w:val="auto"/>
        </w:rPr>
        <w:t>The Company’s primary operations are related to traditional banking activities. This includes the acceptance of deposits and the lending and investing of money through the operations of the Bank. The Bank also provides trust and investment-related services to customers through its CitizensTrust Division. The Bank’s customers consist primarily of small to mid-sized businesses and individuals located in the Inland Empire, Los Angeles County, Orange County, San Diego County, Ventura County, Santa Barbara County, and the Central Valley area of California. As of September 30, 2022, the Bank operated 63 banking centers and four trust office locations. The Company is headquartered in the city of Ontario, California.</w:t>
      </w:r>
    </w:p>
    <w:p>
      <w:pPr>
        <w:spacing w:after="0" w:line="181" w:lineRule="exact"/>
        <w:rPr>
          <w:sz w:val="20"/>
          <w:szCs w:val="20"/>
          <w:color w:val="auto"/>
        </w:rPr>
      </w:pPr>
    </w:p>
    <w:p>
      <w:pPr>
        <w:ind w:right="60" w:firstLine="315"/>
        <w:spacing w:after="0" w:line="244" w:lineRule="auto"/>
        <w:rPr>
          <w:sz w:val="20"/>
          <w:szCs w:val="20"/>
          <w:color w:val="auto"/>
        </w:rPr>
      </w:pPr>
      <w:r>
        <w:rPr>
          <w:rFonts w:ascii="Times New Roman" w:cs="Times New Roman" w:eastAsia="Times New Roman" w:hAnsi="Times New Roman"/>
          <w:sz w:val="18"/>
          <w:szCs w:val="18"/>
          <w:color w:val="auto"/>
        </w:rPr>
        <w:t>On January 7, 2022, we completed the acquisition of Suncrest Bank ("Suncrest") with approximately $1.4 billion in total assets, acquired at fair value, and seven banking centers. Total assets at September 30, 2022 included $765.9 million of acquired net loans at fair value, $131.1 million of investment securities, and $9 million in Bank-Owned Life Insurance ("BOLI"). The acquisition resulted in $102.1 million of goodwill and $3.9 million in core deposit premium. Net cash proceeds were used to fund the $39.6 million in cash paid to the former shareholders of Suncrest as part of the merger consideration. Refer to Note 4 – Business Combinations of the notes to the unaudited condensed consolidated financial statements of this report for additional information.</w:t>
      </w:r>
    </w:p>
    <w:p>
      <w:pPr>
        <w:spacing w:after="0" w:line="17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202" w:lineRule="exact"/>
        <w:rPr>
          <w:sz w:val="20"/>
          <w:szCs w:val="20"/>
          <w:color w:val="auto"/>
        </w:rPr>
      </w:pPr>
    </w:p>
    <w:p>
      <w:pPr>
        <w:ind w:firstLine="469"/>
        <w:spacing w:after="0" w:line="24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notes thereto have been prepared in accordance with the rules and regulations of the Securities and Exchange Commission (“SEC”) for Form 10-Q and conform to practices within the banking industry and include all of the information and disclosures required by accounting principles generally accepted in the United States of America (“GAAP”) for interim financial reporting. The accompanying unaudited condensed consolidated financial statements reflect all adjustments (consisting only of normal recurring adjustments), which are necessary for a fair presentation of financial results for the interim periods presented. The results of operations for the three and nine months ended September 30, 2022 are not necessarily indicative of the results for the full year. Certain information and note disclosures normally included in annual financial statements prepared in accordance with GAAP have been condensed or omitted. These unaudited condensed consolidated financial statements should be read in conjunction with the consolidated financial statements, accounting policies and financial notes thereto included in the Company’s Annual Report on Form 10-K for the fiscal year ended December 31, 2021, filed with the SEC. A summary of the significant accounting policies consistently applied in the preparation of the accompanying unaudited condensed consolidated financial statements follows.</w:t>
      </w:r>
    </w:p>
    <w:p>
      <w:pPr>
        <w:spacing w:after="0" w:line="182" w:lineRule="exact"/>
        <w:rPr>
          <w:sz w:val="20"/>
          <w:szCs w:val="20"/>
          <w:color w:val="auto"/>
        </w:rPr>
      </w:pPr>
    </w:p>
    <w:p>
      <w:pPr>
        <w:ind w:right="320" w:firstLine="46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Reclassification </w:t>
      </w:r>
      <w:r>
        <w:rPr>
          <w:rFonts w:ascii="Times New Roman" w:cs="Times New Roman" w:eastAsia="Times New Roman" w:hAnsi="Times New Roman"/>
          <w:sz w:val="18"/>
          <w:szCs w:val="18"/>
          <w:color w:val="auto"/>
        </w:rPr>
        <w:t>— Certain amounts in the prior periods’ unaudited condensed consolidated financial statements and related footnote disclosures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been reclassified to conform to the current presentation with no impact on previously reported net income or stockholders’ equity.</w:t>
      </w:r>
    </w:p>
    <w:p>
      <w:pPr>
        <w:spacing w:after="0" w:line="15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00" w:lineRule="exact"/>
        <w:rPr>
          <w:sz w:val="20"/>
          <w:szCs w:val="20"/>
          <w:color w:val="auto"/>
        </w:rPr>
      </w:pPr>
    </w:p>
    <w:p>
      <w:pPr>
        <w:ind w:right="260" w:firstLine="469"/>
        <w:spacing w:after="0" w:line="259" w:lineRule="auto"/>
        <w:rPr>
          <w:sz w:val="20"/>
          <w:szCs w:val="20"/>
          <w:color w:val="auto"/>
        </w:rPr>
      </w:pPr>
      <w:r>
        <w:rPr>
          <w:rFonts w:ascii="Times New Roman" w:cs="Times New Roman" w:eastAsia="Times New Roman" w:hAnsi="Times New Roman"/>
          <w:sz w:val="18"/>
          <w:szCs w:val="18"/>
          <w:color w:val="auto"/>
        </w:rPr>
        <w:t xml:space="preserve">Except as discussed below, our accounting policies are described in Note 3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our audited consolidated financial statements included in our Annual Report on Form 10-K for the year ended December 31, 2021 as filed with the SEC (“Form 10-K”).</w:t>
      </w:r>
    </w:p>
    <w:p>
      <w:pPr>
        <w:spacing w:after="0" w:line="165" w:lineRule="exact"/>
        <w:rPr>
          <w:sz w:val="20"/>
          <w:szCs w:val="20"/>
          <w:color w:val="auto"/>
        </w:rPr>
      </w:pPr>
    </w:p>
    <w:p>
      <w:pPr>
        <w:ind w:firstLine="469"/>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in the Preparation of Financial Statements </w:t>
      </w:r>
      <w:r>
        <w:rPr>
          <w:rFonts w:ascii="Times New Roman" w:cs="Times New Roman" w:eastAsia="Times New Roman" w:hAnsi="Times New Roman"/>
          <w:sz w:val="18"/>
          <w:szCs w:val="18"/>
          <w:color w:val="auto"/>
        </w:rPr>
        <w:t>— The preparation of financial statements in conformity with GAAP requires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A material estimate that is particularly susceptible to significant change in the near term relates to the determination of the allowance for credit losses.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10" w:name="page11"/>
    <w:bookmarkEnd w:id="10"/>
    <w:p>
      <w:pPr>
        <w:spacing w:after="0" w:line="282" w:lineRule="auto"/>
        <w:rPr>
          <w:sz w:val="20"/>
          <w:szCs w:val="20"/>
          <w:color w:val="auto"/>
        </w:rPr>
      </w:pPr>
      <w:r>
        <w:rPr>
          <w:rFonts w:ascii="Times New Roman" w:cs="Times New Roman" w:eastAsia="Times New Roman" w:hAnsi="Times New Roman"/>
          <w:sz w:val="18"/>
          <w:szCs w:val="18"/>
          <w:color w:val="auto"/>
        </w:rPr>
        <w:t>Other significant estimates, which may be subject to change, include fair value determinations and disclosures, impairment of investments, goodwill, loans, as well as valuation of deferred tax assets.</w:t>
      </w:r>
    </w:p>
    <w:p>
      <w:pPr>
        <w:spacing w:after="0" w:line="13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BUSINESS COMBINATIONS</w:t>
      </w:r>
    </w:p>
    <w:p>
      <w:pPr>
        <w:spacing w:after="0" w:line="216" w:lineRule="exact"/>
        <w:rPr>
          <w:sz w:val="20"/>
          <w:szCs w:val="20"/>
          <w:color w:val="auto"/>
        </w:rPr>
      </w:pPr>
    </w:p>
    <w:p>
      <w:pPr>
        <w:ind w:right="40" w:firstLine="360"/>
        <w:spacing w:after="0" w:line="244" w:lineRule="auto"/>
        <w:rPr>
          <w:sz w:val="20"/>
          <w:szCs w:val="20"/>
          <w:color w:val="auto"/>
        </w:rPr>
      </w:pPr>
      <w:r>
        <w:rPr>
          <w:rFonts w:ascii="Times New Roman" w:cs="Times New Roman" w:eastAsia="Times New Roman" w:hAnsi="Times New Roman"/>
          <w:sz w:val="18"/>
          <w:szCs w:val="18"/>
          <w:color w:val="auto"/>
        </w:rPr>
        <w:t>On January 7, 2022, the Company completed the acquisition of Suncrest, headquartered in Visalia, California. The Company acquired all of the assets and assumed all of the liabilities of Suncrest in a stock and cash transaction for $39.6 million in cash and $197.1 million in stock. As a result, Suncrest merged with and into the Bank, the principal subsidiary of CVB. The Company believes this transaction serves to further extend and strengthen its geographic presence in California’s Central Valley and the Sacramento metro area. At close, Suncrest had seven branch locations and two loan production offices, which re-opened as CBB locations on January 10, 2022. As a result of the consolidation of two branches during the second quarter of 2022, five branch locations remain from this acquisition.</w:t>
      </w:r>
    </w:p>
    <w:p>
      <w:pPr>
        <w:spacing w:after="0" w:line="182" w:lineRule="exact"/>
        <w:rPr>
          <w:sz w:val="20"/>
          <w:szCs w:val="20"/>
          <w:color w:val="auto"/>
        </w:rPr>
      </w:pPr>
    </w:p>
    <w:p>
      <w:pPr>
        <w:ind w:right="20" w:firstLine="360"/>
        <w:spacing w:after="0" w:line="243" w:lineRule="auto"/>
        <w:rPr>
          <w:sz w:val="20"/>
          <w:szCs w:val="20"/>
          <w:color w:val="auto"/>
        </w:rPr>
      </w:pPr>
      <w:r>
        <w:rPr>
          <w:rFonts w:ascii="Times New Roman" w:cs="Times New Roman" w:eastAsia="Times New Roman" w:hAnsi="Times New Roman"/>
          <w:sz w:val="18"/>
          <w:szCs w:val="18"/>
          <w:color w:val="auto"/>
        </w:rPr>
        <w:t>The total fair value of assets acquired approximated $1.38 billion in total assets, including $329.0 million of cash and cash equivalents, net of cash paid, $131.1 million of investment securities, $765.9 million in net loans, $6.1 million in premises and equipment, $9.0 million in BOLI, and $33.7 million in other assets. The purchased credit deteriorated (“PCD”) loans were recorded at a fair value of $224.7 million, which was net of a discount of $13.1 million including a credit discount of $8.6 million. The assets acquired also include a core deposit intangible of $3.9 million and non-tax deductible goodwill of $102.1 million. Goodwill from the acquisition represents the excess of the purchase price over the fair value of the net tangible and intangible assets acquired. The total fair value of liabilities assumed was $1.19 billion, which included $512.8 million of noninterest-bearing deposits and $669.8 million of interest-bearing deposits, and $6.2 million in other liabilities. The assets and liabilities, both tangible and intangible, were recorded at their estimated fair values as of January 7, 2022. The assets acquired and liabilities assumed have been accounted for under the acquisition method of accounting. These fair values are estimates and are subject to adjustment for up to one year after the acquisition date or when additional information relative to the closing date fair values becomes available and such information is considered final, whichever is earlier. For the assets acquired and liabilities assumed, the Company considers the fair value of the net loans and the related deferred tax asset to be provisional, specifically the PCD loans, while the Company obtains additional information relevant to the fair value.</w:t>
      </w:r>
    </w:p>
    <w:p>
      <w:pPr>
        <w:spacing w:after="0" w:line="172" w:lineRule="exact"/>
        <w:rPr>
          <w:sz w:val="20"/>
          <w:szCs w:val="20"/>
          <w:color w:val="auto"/>
        </w:rPr>
      </w:pPr>
    </w:p>
    <w:p>
      <w:pPr>
        <w:ind w:right="220" w:firstLine="360"/>
        <w:spacing w:after="0" w:line="258" w:lineRule="auto"/>
        <w:rPr>
          <w:sz w:val="20"/>
          <w:szCs w:val="20"/>
          <w:color w:val="auto"/>
        </w:rPr>
      </w:pPr>
      <w:r>
        <w:rPr>
          <w:rFonts w:ascii="Times New Roman" w:cs="Times New Roman" w:eastAsia="Times New Roman" w:hAnsi="Times New Roman"/>
          <w:sz w:val="18"/>
          <w:szCs w:val="18"/>
          <w:color w:val="auto"/>
        </w:rPr>
        <w:t>We have included the financial results of the business combination in the condensed consolidated statement of earnings and comprehensive income beginning on the acquisition date. Supplementary pro forma financial information related to the acquisition is not included because the impact to the Company's consolidated statements of income is not material.</w:t>
      </w:r>
    </w:p>
    <w:p>
      <w:pPr>
        <w:spacing w:after="0" w:line="156" w:lineRule="exact"/>
        <w:rPr>
          <w:sz w:val="20"/>
          <w:szCs w:val="20"/>
          <w:color w:val="auto"/>
        </w:rPr>
      </w:pPr>
    </w:p>
    <w:p>
      <w:pPr>
        <w:ind w:right="40" w:firstLine="315"/>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2022, the Company incurred non-recurring merger related expenses associated with the Suncrest acquisition of $6.0 million.</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11" w:name="page12"/>
    <w:bookmarkEnd w:id="11"/>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INVESTMENT SECURITIES</w:t>
      </w:r>
    </w:p>
    <w:p>
      <w:pPr>
        <w:spacing w:after="0" w:line="216" w:lineRule="exact"/>
        <w:rPr>
          <w:sz w:val="20"/>
          <w:szCs w:val="20"/>
          <w:color w:val="auto"/>
        </w:rPr>
      </w:pPr>
    </w:p>
    <w:p>
      <w:pPr>
        <w:ind w:right="260" w:firstLine="469"/>
        <w:spacing w:after="0" w:line="246" w:lineRule="auto"/>
        <w:rPr>
          <w:sz w:val="20"/>
          <w:szCs w:val="20"/>
          <w:color w:val="auto"/>
        </w:rPr>
      </w:pPr>
      <w:r>
        <w:rPr>
          <w:rFonts w:ascii="Times New Roman" w:cs="Times New Roman" w:eastAsia="Times New Roman" w:hAnsi="Times New Roman"/>
          <w:sz w:val="18"/>
          <w:szCs w:val="18"/>
          <w:color w:val="auto"/>
        </w:rPr>
        <w:t>The amortized cost and estimated fair value of investment securities are summarized below. Investment securities are classified as either available-for-sale securities or held-to-maturity securities. The fair value is based on quoted prices for similar assets in active markets or quoted prices for identical assets in markets that are not active. Estimated fair values were obtained from an independent pricing service based upon market quotes. Rising interest rates over the last nine months have resulted in declines in fair value for the majority of our investment securities, as reflected in the total unrealized holding loss in the following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3940" w:type="dxa"/>
            <w:vAlign w:val="bottom"/>
          </w:tcPr>
          <w:p>
            <w:pPr>
              <w:spacing w:after="0"/>
              <w:rPr>
                <w:sz w:val="13"/>
                <w:szCs w:val="13"/>
                <w:color w:val="auto"/>
              </w:rPr>
            </w:pPr>
          </w:p>
        </w:tc>
        <w:tc>
          <w:tcPr>
            <w:tcW w:w="14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4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940" w:type="dxa"/>
            <w:vAlign w:val="bottom"/>
          </w:tcPr>
          <w:p>
            <w:pPr>
              <w:spacing w:after="0"/>
              <w:rPr>
                <w:sz w:val="16"/>
                <w:szCs w:val="16"/>
                <w:color w:val="auto"/>
              </w:rPr>
            </w:pPr>
          </w:p>
        </w:tc>
        <w:tc>
          <w:tcPr>
            <w:tcW w:w="1440" w:type="dxa"/>
            <w:vAlign w:val="bottom"/>
            <w:gridSpan w:val="4"/>
            <w:vMerge w:val="continue"/>
          </w:tcPr>
          <w:p>
            <w:pPr>
              <w:spacing w:after="0"/>
              <w:rPr>
                <w:sz w:val="16"/>
                <w:szCs w:val="16"/>
                <w:color w:val="auto"/>
              </w:rPr>
            </w:pPr>
          </w:p>
        </w:tc>
        <w:tc>
          <w:tcPr>
            <w:tcW w:w="1420" w:type="dxa"/>
            <w:vAlign w:val="bottom"/>
            <w:gridSpan w:val="4"/>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4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9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320" w:type="dxa"/>
            <w:vAlign w:val="bottom"/>
            <w:vMerge w:val="restart"/>
          </w:tcPr>
          <w:p>
            <w:pPr>
              <w:spacing w:after="0"/>
              <w:rPr>
                <w:sz w:val="16"/>
                <w:szCs w:val="16"/>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Percent</w:t>
            </w:r>
          </w:p>
        </w:tc>
        <w:tc>
          <w:tcPr>
            <w:tcW w:w="160" w:type="dxa"/>
            <w:vAlign w:val="bottom"/>
            <w:gridSpan w:val="2"/>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40" w:type="dxa"/>
            <w:vAlign w:val="bottom"/>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Holding Gain</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Holding Loss</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40" w:type="dxa"/>
            <w:vAlign w:val="bottom"/>
            <w:tcBorders>
              <w:left w:val="single" w:sz="8" w:color="CFF0FC"/>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tcBorders>
              <w:left w:val="single" w:sz="8" w:color="CFF0FC"/>
              <w:right w:val="single" w:sz="8" w:color="CFF0FC"/>
            </w:tcBorders>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3,288,484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(448,585 )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2,839,929</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85.49 %</w:t>
            </w: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545,638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(89,248 )</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456,390</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13.74 %</w:t>
            </w: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(2,636 )</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24,551</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0.74 %</w:t>
            </w: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securities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0" w:type="dxa"/>
            <w:vAlign w:val="bottom"/>
          </w:tcPr>
          <w:p>
            <w:pPr>
              <w:spacing w:after="0"/>
              <w:rPr>
                <w:sz w:val="1"/>
                <w:szCs w:val="1"/>
                <w:color w:val="auto"/>
              </w:rPr>
            </w:pPr>
          </w:p>
        </w:tc>
      </w:tr>
      <w:tr>
        <w:trPr>
          <w:trHeight w:val="20"/>
        </w:trPr>
        <w:tc>
          <w:tcPr>
            <w:tcW w:w="39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3,862,216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40" w:type="dxa"/>
            <w:vAlign w:val="bottom"/>
            <w:gridSpan w:val="2"/>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(540,469 )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3,321,824</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100.00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tcBorders>
              <w:right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Investment securities held-to-maturity:</w:t>
            </w: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8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4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20" w:type="dxa"/>
            <w:vAlign w:val="bottom"/>
            <w:tcBorders>
              <w:left w:val="single" w:sz="8" w:color="CFF0FC"/>
              <w:right w:val="single" w:sz="8" w:color="CFF0FC"/>
            </w:tcBorders>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agency/GSE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555,777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(113,547 )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442,230</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21.73 %</w:t>
            </w: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718,908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(111,359 )</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607,549</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28.10 %</w:t>
            </w: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839,971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(117,948 )</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722,023</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32.84 %</w:t>
            </w: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(64,088 )</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379,186</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17.33 %</w:t>
            </w:r>
          </w:p>
        </w:tc>
        <w:tc>
          <w:tcPr>
            <w:tcW w:w="0" w:type="dxa"/>
            <w:vAlign w:val="bottom"/>
          </w:tcPr>
          <w:p>
            <w:pPr>
              <w:spacing w:after="0"/>
              <w:rPr>
                <w:sz w:val="1"/>
                <w:szCs w:val="1"/>
                <w:color w:val="auto"/>
              </w:rPr>
            </w:pPr>
          </w:p>
        </w:tc>
      </w:tr>
      <w:tr>
        <w:trPr>
          <w:trHeight w:val="20"/>
        </w:trPr>
        <w:tc>
          <w:tcPr>
            <w:tcW w:w="39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held-to-maturity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2,557,922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gridSpan w:val="2"/>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(406,942 )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2,150,988</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100.00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30"/>
              <w:spacing w:after="0" w:line="160" w:lineRule="exact"/>
              <w:rPr>
                <w:sz w:val="20"/>
                <w:szCs w:val="20"/>
                <w:color w:val="auto"/>
              </w:rPr>
            </w:pPr>
            <w:r>
              <w:rPr>
                <w:rFonts w:ascii="Times New Roman" w:cs="Times New Roman" w:eastAsia="Times New Roman" w:hAnsi="Times New Roman"/>
                <w:sz w:val="18"/>
                <w:szCs w:val="18"/>
                <w:b w:val="1"/>
                <w:bCs w:val="1"/>
                <w:color w:val="auto"/>
              </w:rPr>
              <w:t>Gross</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right"/>
              <w:ind w:right="760"/>
              <w:spacing w:after="0" w:line="160" w:lineRule="exact"/>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3"/>
          </w:tcPr>
          <w:p>
            <w:pPr>
              <w:jc w:val="right"/>
              <w:ind w:right="560"/>
              <w:spacing w:after="0" w:line="189"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20" w:type="dxa"/>
            <w:vAlign w:val="bottom"/>
          </w:tcPr>
          <w:p>
            <w:pPr>
              <w:spacing w:after="0"/>
              <w:rPr>
                <w:sz w:val="16"/>
                <w:szCs w:val="16"/>
                <w:color w:val="auto"/>
              </w:rPr>
            </w:pPr>
          </w:p>
        </w:tc>
        <w:tc>
          <w:tcPr>
            <w:tcW w:w="9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320" w:type="dxa"/>
            <w:vAlign w:val="bottom"/>
            <w:vMerge w:val="restart"/>
          </w:tcPr>
          <w:p>
            <w:pPr>
              <w:spacing w:after="0"/>
              <w:rPr>
                <w:sz w:val="16"/>
                <w:szCs w:val="16"/>
                <w:color w:val="auto"/>
              </w:rPr>
            </w:pP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Total Percent</w:t>
            </w:r>
          </w:p>
        </w:tc>
        <w:tc>
          <w:tcPr>
            <w:tcW w:w="160" w:type="dxa"/>
            <w:vAlign w:val="bottom"/>
            <w:gridSpan w:val="2"/>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Holding Gain</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Holding Loss</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40" w:type="dxa"/>
            <w:vAlign w:val="bottom"/>
            <w:tcBorders>
              <w:left w:val="single" w:sz="8" w:color="CFF0FC"/>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tcBorders>
              <w:left w:val="single" w:sz="8" w:color="CFF0FC"/>
              <w:right w:val="single" w:sz="8" w:color="CFF0FC"/>
            </w:tcBorders>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2,553,246</w:t>
            </w:r>
          </w:p>
        </w:tc>
        <w:tc>
          <w:tcPr>
            <w:tcW w:w="260" w:type="dxa"/>
            <w:vAlign w:val="bottom"/>
          </w:tcPr>
          <w:p>
            <w:pPr>
              <w:spacing w:after="0"/>
              <w:rPr>
                <w:sz w:val="18"/>
                <w:szCs w:val="18"/>
                <w:color w:val="auto"/>
              </w:rPr>
            </w:pP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25,873</w:t>
            </w:r>
          </w:p>
        </w:tc>
        <w:tc>
          <w:tcPr>
            <w:tcW w:w="80" w:type="dxa"/>
            <w:vAlign w:val="bottom"/>
          </w:tcPr>
          <w:p>
            <w:pPr>
              <w:spacing w:after="0"/>
              <w:rPr>
                <w:sz w:val="18"/>
                <w:szCs w:val="18"/>
                <w:color w:val="auto"/>
              </w:rPr>
            </w:pPr>
          </w:p>
        </w:tc>
        <w:tc>
          <w:tcPr>
            <w:tcW w:w="4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(15,905 )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2,563,214</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80.50 %</w:t>
            </w: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602,555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(13,983 )</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590,158</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18.53 %</w:t>
            </w: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28,365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29,468</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0.93 %</w:t>
            </w: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securities</w:t>
            </w: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0.04 %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3,185,249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(29,888 )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3,183,923</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100.00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tcBorders>
              <w:right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Investment securities held-to-maturity:</w:t>
            </w: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8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4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20" w:type="dxa"/>
            <w:vAlign w:val="bottom"/>
            <w:tcBorders>
              <w:left w:val="single" w:sz="8" w:color="CFF0FC"/>
              <w:right w:val="single" w:sz="8" w:color="CFF0FC"/>
            </w:tcBorders>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agency/GSE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576,899</w:t>
            </w:r>
          </w:p>
        </w:tc>
        <w:tc>
          <w:tcPr>
            <w:tcW w:w="260" w:type="dxa"/>
            <w:vAlign w:val="bottom"/>
          </w:tcPr>
          <w:p>
            <w:pPr>
              <w:spacing w:after="0"/>
              <w:rPr>
                <w:sz w:val="18"/>
                <w:szCs w:val="18"/>
                <w:color w:val="auto"/>
              </w:rPr>
            </w:pP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80" w:type="dxa"/>
            <w:vAlign w:val="bottom"/>
          </w:tcPr>
          <w:p>
            <w:pPr>
              <w:spacing w:after="0"/>
              <w:rPr>
                <w:sz w:val="18"/>
                <w:szCs w:val="18"/>
                <w:color w:val="auto"/>
              </w:rPr>
            </w:pPr>
          </w:p>
        </w:tc>
        <w:tc>
          <w:tcPr>
            <w:tcW w:w="4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(7,312 )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575,494</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29.95 %</w:t>
            </w: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647,390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(6,106 )</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645,393</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33.61 %</w:t>
            </w: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490,670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(5,030 )</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486,236</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25.48 %</w:t>
            </w: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211,011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(1,155 )</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214,570</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10.96 %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held-to-maturity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1,925,970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(19,603 )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1,921,693</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100.00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-3950970</wp:posOffset>
            </wp:positionV>
            <wp:extent cx="71323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-3676650</wp:posOffset>
            </wp:positionV>
            <wp:extent cx="7132320" cy="3086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-3093720</wp:posOffset>
            </wp:positionV>
            <wp:extent cx="71323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-2819400</wp:posOffset>
            </wp:positionV>
            <wp:extent cx="7132320" cy="3086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-1439545</wp:posOffset>
            </wp:positionV>
            <wp:extent cx="71323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-1165225</wp:posOffset>
            </wp:positionV>
            <wp:extent cx="7132320" cy="3086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3086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20" w:right="279" w:bottom="1440" w:gutter="0" w:footer="0" w:header="0"/>
        </w:sectPr>
      </w:pPr>
    </w:p>
    <w:bookmarkStart w:id="12" w:name="page13"/>
    <w:bookmarkEnd w:id="12"/>
    <w:p>
      <w:pPr>
        <w:ind w:right="28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amount of interest income earned on investment securities which is fully taxable and which is exempt from federal income tax.</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4"/>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Pr>
          <w:p>
            <w:pPr>
              <w:spacing w:after="0"/>
              <w:rPr>
                <w:sz w:val="18"/>
                <w:szCs w:val="18"/>
                <w:color w:val="auto"/>
              </w:rPr>
            </w:pPr>
          </w:p>
        </w:tc>
      </w:tr>
      <w:tr>
        <w:trPr>
          <w:trHeight w:val="238"/>
        </w:trPr>
        <w:tc>
          <w:tcPr>
            <w:tcW w:w="5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r>
      <w:tr>
        <w:trPr>
          <w:trHeight w:val="209"/>
        </w:trPr>
        <w:tc>
          <w:tcPr>
            <w:tcW w:w="5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8"/>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1380" w:type="dxa"/>
            <w:vAlign w:val="bottom"/>
            <w:gridSpan w:val="3"/>
          </w:tcPr>
          <w:p>
            <w:pPr>
              <w:jc w:val="right"/>
              <w:ind w:right="410"/>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18,371</w:t>
            </w:r>
          </w:p>
        </w:tc>
        <w:tc>
          <w:tcPr>
            <w:tcW w:w="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9,630</w:t>
            </w: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47,883</w:t>
            </w:r>
          </w:p>
        </w:tc>
        <w:tc>
          <w:tcPr>
            <w:tcW w:w="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27,824</w:t>
            </w:r>
          </w:p>
        </w:tc>
        <w:tc>
          <w:tcPr>
            <w:tcW w:w="100" w:type="dxa"/>
            <w:vAlign w:val="bottom"/>
          </w:tcPr>
          <w:p>
            <w:pPr>
              <w:spacing w:after="0"/>
              <w:rPr>
                <w:sz w:val="18"/>
                <w:szCs w:val="18"/>
                <w:color w:val="auto"/>
              </w:rPr>
            </w:pPr>
          </w:p>
        </w:tc>
      </w:tr>
      <w:tr>
        <w:trPr>
          <w:trHeight w:val="216"/>
        </w:trPr>
        <w:tc>
          <w:tcPr>
            <w:tcW w:w="5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Tax-advantaged</w:t>
            </w: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interest income from available-for-sale securities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18,543</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9,813</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48,417</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28,382</w:t>
            </w:r>
          </w:p>
        </w:tc>
        <w:tc>
          <w:tcPr>
            <w:tcW w:w="100" w:type="dxa"/>
            <w:vAlign w:val="bottom"/>
          </w:tcPr>
          <w:p>
            <w:pPr>
              <w:spacing w:after="0"/>
              <w:rPr>
                <w:sz w:val="18"/>
                <w:szCs w:val="18"/>
                <w:color w:val="auto"/>
              </w:rPr>
            </w:pPr>
          </w:p>
        </w:tc>
      </w:tr>
      <w:tr>
        <w:trPr>
          <w:trHeight w:val="209"/>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Taxable</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10,917</w:t>
            </w:r>
          </w:p>
        </w:tc>
        <w:tc>
          <w:tcPr>
            <w:tcW w:w="100" w:type="dxa"/>
            <w:vAlign w:val="bottom"/>
          </w:tcPr>
          <w:p>
            <w:pPr>
              <w:spacing w:after="0"/>
              <w:rPr>
                <w:sz w:val="18"/>
                <w:szCs w:val="18"/>
                <w:color w:val="auto"/>
              </w:rPr>
            </w:pPr>
          </w:p>
        </w:tc>
      </w:tr>
      <w:tr>
        <w:trPr>
          <w:trHeight w:val="216"/>
        </w:trPr>
        <w:tc>
          <w:tcPr>
            <w:tcW w:w="5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Tax-advantaged</w:t>
            </w: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interest income from held-to-maturity securities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12,834</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35,211</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14,258</w:t>
            </w:r>
          </w:p>
        </w:tc>
        <w:tc>
          <w:tcPr>
            <w:tcW w:w="100" w:type="dxa"/>
            <w:vAlign w:val="bottom"/>
          </w:tcPr>
          <w:p>
            <w:pPr>
              <w:spacing w:after="0"/>
              <w:rPr>
                <w:sz w:val="18"/>
                <w:szCs w:val="18"/>
                <w:color w:val="auto"/>
              </w:rPr>
            </w:pPr>
          </w:p>
        </w:tc>
      </w:tr>
      <w:tr>
        <w:trPr>
          <w:trHeight w:val="249"/>
        </w:trPr>
        <w:tc>
          <w:tcPr>
            <w:tcW w:w="562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interest income from investment securities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31,377</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3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83,628</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42,640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-882650</wp:posOffset>
            </wp:positionV>
            <wp:extent cx="76835"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-882650</wp:posOffset>
            </wp:positionV>
            <wp:extent cx="76835"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-882650</wp:posOffset>
            </wp:positionV>
            <wp:extent cx="6858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-882650</wp:posOffset>
            </wp:positionV>
            <wp:extent cx="6858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-316865</wp:posOffset>
            </wp:positionV>
            <wp:extent cx="76835"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-316865</wp:posOffset>
            </wp:positionV>
            <wp:extent cx="76835"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-316865</wp:posOffset>
            </wp:positionV>
            <wp:extent cx="6858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-25400</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-8255</wp:posOffset>
            </wp:positionV>
            <wp:extent cx="768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-8255</wp:posOffset>
            </wp:positionV>
            <wp:extent cx="768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-25400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60" w:firstLine="469"/>
        <w:spacing w:after="0" w:line="250" w:lineRule="auto"/>
        <w:rPr>
          <w:sz w:val="20"/>
          <w:szCs w:val="20"/>
          <w:color w:val="auto"/>
        </w:rPr>
      </w:pPr>
      <w:r>
        <w:rPr>
          <w:rFonts w:ascii="Times New Roman" w:cs="Times New Roman" w:eastAsia="Times New Roman" w:hAnsi="Times New Roman"/>
          <w:sz w:val="18"/>
          <w:szCs w:val="18"/>
          <w:color w:val="auto"/>
        </w:rPr>
        <w:t>Approximately 92% of the total investment securities portfolio at September 30, 2022 represents securities issued by the U.S. government or U.S. government-sponsored enterprises, with the implied guarantee of payment of principal and interest. The remaining securities are predominately AA or better general-obligation municipal bonds. The allowance for credit losses for held-to-maturity investment securities under the CECL model was zero at September 30, 2022 and December 31, 2021.</w:t>
      </w:r>
    </w:p>
    <w:p>
      <w:pPr>
        <w:spacing w:after="0" w:line="164" w:lineRule="exact"/>
        <w:rPr>
          <w:sz w:val="20"/>
          <w:szCs w:val="20"/>
          <w:color w:val="auto"/>
        </w:rPr>
      </w:pPr>
    </w:p>
    <w:p>
      <w:pPr>
        <w:ind w:right="80" w:firstLine="469"/>
        <w:spacing w:after="0" w:line="258" w:lineRule="auto"/>
        <w:rPr>
          <w:sz w:val="20"/>
          <w:szCs w:val="20"/>
          <w:color w:val="auto"/>
        </w:rPr>
      </w:pPr>
      <w:r>
        <w:rPr>
          <w:rFonts w:ascii="Times New Roman" w:cs="Times New Roman" w:eastAsia="Times New Roman" w:hAnsi="Times New Roman"/>
          <w:sz w:val="18"/>
          <w:szCs w:val="18"/>
          <w:color w:val="auto"/>
        </w:rPr>
        <w:t>We adopted ASU 2016-13 on January 1, 2020, on a modified retrospective basis. Under this ASU, once it is determined that a credit loss has occurred, an allowance for credit losses is established on our available-for-sale ("AFS") and held-to-maturity ("HTM") securities. Management determined that there were no credit losses for securities in an unrealized loss position as of September 30, 2022 and December 31, 2021.</w:t>
      </w:r>
    </w:p>
    <w:p>
      <w:pPr>
        <w:spacing w:after="0" w:line="156" w:lineRule="exact"/>
        <w:rPr>
          <w:sz w:val="20"/>
          <w:szCs w:val="20"/>
          <w:color w:val="auto"/>
        </w:rPr>
      </w:pPr>
    </w:p>
    <w:p>
      <w:pPr>
        <w:ind w:right="10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investment securities, by investment category, in an unrealized loss position for which an allowance for credit losses has not been recorded as of September 30, 2022 and December 31, 2021.</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5"/>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20" w:type="dxa"/>
            <w:vAlign w:val="bottom"/>
          </w:tcPr>
          <w:p>
            <w:pPr>
              <w:spacing w:after="0"/>
              <w:rPr>
                <w:sz w:val="17"/>
                <w:szCs w:val="17"/>
                <w:color w:val="auto"/>
              </w:rPr>
            </w:pPr>
          </w:p>
        </w:tc>
        <w:tc>
          <w:tcPr>
            <w:tcW w:w="2480" w:type="dxa"/>
            <w:vAlign w:val="bottom"/>
            <w:gridSpan w:val="5"/>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12 Months or Longer</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5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79"/>
              <w:spacing w:after="0" w:line="153"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39"/>
              <w:spacing w:after="0" w:line="153"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59"/>
              <w:spacing w:after="0" w:line="153"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79"/>
              <w:spacing w:after="0" w:line="17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319"/>
              <w:spacing w:after="0" w:line="175"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79"/>
              <w:spacing w:after="0" w:line="17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164"/>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99"/>
              <w:spacing w:after="0" w:line="165" w:lineRule="exact"/>
              <w:rPr>
                <w:sz w:val="20"/>
                <w:szCs w:val="20"/>
                <w:color w:val="auto"/>
              </w:rPr>
            </w:pPr>
            <w:r>
              <w:rPr>
                <w:rFonts w:ascii="Times New Roman" w:cs="Times New Roman" w:eastAsia="Times New Roman" w:hAnsi="Times New Roman"/>
                <w:sz w:val="16"/>
                <w:szCs w:val="16"/>
                <w:b w:val="1"/>
                <w:bCs w:val="1"/>
                <w:color w:val="auto"/>
              </w:rPr>
              <w:t>Holding</w:t>
            </w:r>
          </w:p>
        </w:tc>
        <w:tc>
          <w:tcPr>
            <w:tcW w:w="120" w:type="dxa"/>
            <w:vAlign w:val="bottom"/>
          </w:tcPr>
          <w:p>
            <w:pPr>
              <w:spacing w:after="0"/>
              <w:rPr>
                <w:sz w:val="14"/>
                <w:szCs w:val="14"/>
                <w:color w:val="auto"/>
              </w:rPr>
            </w:pPr>
          </w:p>
        </w:tc>
        <w:tc>
          <w:tcPr>
            <w:tcW w:w="9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19"/>
              <w:spacing w:after="0" w:line="165" w:lineRule="exact"/>
              <w:rPr>
                <w:sz w:val="20"/>
                <w:szCs w:val="20"/>
                <w:color w:val="auto"/>
              </w:rPr>
            </w:pPr>
            <w:r>
              <w:rPr>
                <w:rFonts w:ascii="Times New Roman" w:cs="Times New Roman" w:eastAsia="Times New Roman" w:hAnsi="Times New Roman"/>
                <w:sz w:val="16"/>
                <w:szCs w:val="16"/>
                <w:b w:val="1"/>
                <w:bCs w:val="1"/>
                <w:color w:val="auto"/>
              </w:rPr>
              <w:t>Holding</w:t>
            </w:r>
          </w:p>
        </w:tc>
        <w:tc>
          <w:tcPr>
            <w:tcW w:w="120" w:type="dxa"/>
            <w:vAlign w:val="bottom"/>
          </w:tcPr>
          <w:p>
            <w:pPr>
              <w:spacing w:after="0"/>
              <w:rPr>
                <w:sz w:val="14"/>
                <w:szCs w:val="14"/>
                <w:color w:val="auto"/>
              </w:rPr>
            </w:pPr>
          </w:p>
        </w:tc>
        <w:tc>
          <w:tcPr>
            <w:tcW w:w="8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59"/>
              <w:spacing w:after="0" w:line="165" w:lineRule="exact"/>
              <w:rPr>
                <w:sz w:val="20"/>
                <w:szCs w:val="20"/>
                <w:color w:val="auto"/>
              </w:rPr>
            </w:pPr>
            <w:r>
              <w:rPr>
                <w:rFonts w:ascii="Times New Roman" w:cs="Times New Roman" w:eastAsia="Times New Roman" w:hAnsi="Times New Roman"/>
                <w:sz w:val="16"/>
                <w:szCs w:val="16"/>
                <w:b w:val="1"/>
                <w:bCs w:val="1"/>
                <w:color w:val="auto"/>
              </w:rPr>
              <w:t>Holding</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5"/>
          </w:tcPr>
          <w:p>
            <w:pPr>
              <w:jc w:val="right"/>
              <w:ind w:right="659"/>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1,889,658</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(248,476 )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948,800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(200,109 )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2,838,458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(448,585 )</w:t>
            </w:r>
          </w:p>
        </w:tc>
        <w:tc>
          <w:tcPr>
            <w:tcW w:w="0" w:type="dxa"/>
            <w:vAlign w:val="bottom"/>
          </w:tcPr>
          <w:p>
            <w:pPr>
              <w:spacing w:after="0"/>
              <w:rPr>
                <w:sz w:val="1"/>
                <w:szCs w:val="1"/>
                <w:color w:val="auto"/>
              </w:rPr>
            </w:pPr>
          </w:p>
        </w:tc>
      </w:tr>
      <w:tr>
        <w:trPr>
          <w:trHeight w:val="203"/>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CMO/REMIC</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59,884</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(4,693 )</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396,503</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(84,555 )</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456,387</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(89,248 )</w:t>
            </w:r>
          </w:p>
        </w:tc>
        <w:tc>
          <w:tcPr>
            <w:tcW w:w="0" w:type="dxa"/>
            <w:vAlign w:val="bottom"/>
          </w:tcPr>
          <w:p>
            <w:pPr>
              <w:spacing w:after="0"/>
              <w:rPr>
                <w:sz w:val="1"/>
                <w:szCs w:val="1"/>
                <w:color w:val="auto"/>
              </w:rPr>
            </w:pPr>
          </w:p>
        </w:tc>
      </w:tr>
      <w:tr>
        <w:trPr>
          <w:trHeight w:val="203"/>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Municipal bonds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23,057</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(2,636 )</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23,057</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(2,636 )</w:t>
            </w:r>
          </w:p>
        </w:tc>
        <w:tc>
          <w:tcPr>
            <w:tcW w:w="0" w:type="dxa"/>
            <w:vAlign w:val="bottom"/>
          </w:tcPr>
          <w:p>
            <w:pPr>
              <w:spacing w:after="0"/>
              <w:rPr>
                <w:sz w:val="1"/>
                <w:szCs w:val="1"/>
                <w:color w:val="auto"/>
              </w:rPr>
            </w:pPr>
          </w:p>
        </w:tc>
      </w:tr>
      <w:tr>
        <w:trPr>
          <w:trHeight w:val="236"/>
        </w:trPr>
        <w:tc>
          <w:tcPr>
            <w:tcW w:w="3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1,972,599</w:t>
            </w: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(255,805</w:t>
            </w:r>
          </w:p>
        </w:tc>
        <w:tc>
          <w:tcPr>
            <w:tcW w:w="320" w:type="dxa"/>
            <w:vAlign w:val="bottom"/>
            <w:tcBorders>
              <w:bottom w:val="single" w:sz="8" w:color="CFF0FC"/>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1,345,303</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(284,664</w:t>
            </w:r>
          </w:p>
        </w:tc>
        <w:tc>
          <w:tcPr>
            <w:tcW w:w="280" w:type="dxa"/>
            <w:vAlign w:val="bottom"/>
            <w:tcBorders>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3,317,902</w:t>
            </w:r>
          </w:p>
        </w:tc>
        <w:tc>
          <w:tcPr>
            <w:tcW w:w="3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(540,469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3"/>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Government agency/GSE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187,453</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(39,548 )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254,777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(73,999 )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442,230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(113,547 )</w:t>
            </w:r>
          </w:p>
        </w:tc>
        <w:tc>
          <w:tcPr>
            <w:tcW w:w="0" w:type="dxa"/>
            <w:vAlign w:val="bottom"/>
          </w:tcPr>
          <w:p>
            <w:pPr>
              <w:spacing w:after="0"/>
              <w:rPr>
                <w:sz w:val="1"/>
                <w:szCs w:val="1"/>
                <w:color w:val="auto"/>
              </w:rPr>
            </w:pPr>
          </w:p>
        </w:tc>
      </w:tr>
      <w:tr>
        <w:trPr>
          <w:trHeight w:val="203"/>
        </w:trPr>
        <w:tc>
          <w:tcPr>
            <w:tcW w:w="3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505,153</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(86,409 )</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102,395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(24,950 )</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607,548</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(111,359 )</w:t>
            </w:r>
          </w:p>
        </w:tc>
        <w:tc>
          <w:tcPr>
            <w:tcW w:w="0" w:type="dxa"/>
            <w:vAlign w:val="bottom"/>
          </w:tcPr>
          <w:p>
            <w:pPr>
              <w:spacing w:after="0"/>
              <w:rPr>
                <w:sz w:val="1"/>
                <w:szCs w:val="1"/>
                <w:color w:val="auto"/>
              </w:rPr>
            </w:pPr>
          </w:p>
        </w:tc>
      </w:tr>
      <w:tr>
        <w:trPr>
          <w:trHeight w:val="202"/>
        </w:trPr>
        <w:tc>
          <w:tcPr>
            <w:tcW w:w="3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CMO/REMIC</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624,470</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(97,023 )</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97,553</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(20,925 )</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722,023</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(117,948 )</w:t>
            </w:r>
          </w:p>
        </w:tc>
        <w:tc>
          <w:tcPr>
            <w:tcW w:w="0" w:type="dxa"/>
            <w:vAlign w:val="bottom"/>
          </w:tcPr>
          <w:p>
            <w:pPr>
              <w:spacing w:after="0"/>
              <w:rPr>
                <w:sz w:val="1"/>
                <w:szCs w:val="1"/>
                <w:color w:val="auto"/>
              </w:rPr>
            </w:pPr>
          </w:p>
        </w:tc>
      </w:tr>
      <w:tr>
        <w:trPr>
          <w:trHeight w:val="203"/>
        </w:trPr>
        <w:tc>
          <w:tcPr>
            <w:tcW w:w="3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Municipal bonds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314,186</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(49,463 )</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51,016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(14,625 )</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365,202</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(64,088 )</w:t>
            </w:r>
          </w:p>
        </w:tc>
        <w:tc>
          <w:tcPr>
            <w:tcW w:w="0" w:type="dxa"/>
            <w:vAlign w:val="bottom"/>
          </w:tcPr>
          <w:p>
            <w:pPr>
              <w:spacing w:after="0"/>
              <w:rPr>
                <w:sz w:val="1"/>
                <w:szCs w:val="1"/>
                <w:color w:val="auto"/>
              </w:rPr>
            </w:pPr>
          </w:p>
        </w:tc>
      </w:tr>
      <w:tr>
        <w:trPr>
          <w:trHeight w:val="236"/>
        </w:trPr>
        <w:tc>
          <w:tcPr>
            <w:tcW w:w="354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held-to-maturity securities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1,631,262</w:t>
            </w: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(272,443</w:t>
            </w:r>
          </w:p>
        </w:tc>
        <w:tc>
          <w:tcPr>
            <w:tcW w:w="320" w:type="dxa"/>
            <w:vAlign w:val="bottom"/>
            <w:tcBorders>
              <w:bottom w:val="single" w:sz="8" w:color="CFF0FC"/>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505,741</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(134,499</w:t>
            </w:r>
          </w:p>
        </w:tc>
        <w:tc>
          <w:tcPr>
            <w:tcW w:w="280" w:type="dxa"/>
            <w:vAlign w:val="bottom"/>
            <w:tcBorders>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2,137,003</w:t>
            </w:r>
          </w:p>
        </w:tc>
        <w:tc>
          <w:tcPr>
            <w:tcW w:w="3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(406,942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-831215</wp:posOffset>
            </wp:positionV>
            <wp:extent cx="424307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243070" cy="15430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-24765</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-7620</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-24765</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-24765</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-7620</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5"/>
        </w:trPr>
        <w:tc>
          <w:tcPr>
            <w:tcW w:w="3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5"/>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80" w:type="dxa"/>
            <w:vAlign w:val="bottom"/>
          </w:tcPr>
          <w:p>
            <w:pPr>
              <w:spacing w:after="0"/>
              <w:rPr>
                <w:sz w:val="17"/>
                <w:szCs w:val="17"/>
                <w:color w:val="auto"/>
              </w:rPr>
            </w:pPr>
          </w:p>
        </w:tc>
        <w:tc>
          <w:tcPr>
            <w:tcW w:w="2500" w:type="dxa"/>
            <w:vAlign w:val="bottom"/>
            <w:gridSpan w:val="5"/>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12 Months or Longer</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42"/>
        </w:trPr>
        <w:tc>
          <w:tcPr>
            <w:tcW w:w="3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6"/>
                <w:szCs w:val="16"/>
                <w:b w:val="1"/>
                <w:bCs w:val="1"/>
                <w:color w:val="auto"/>
              </w:rPr>
              <w:t>Gross</w:t>
            </w: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6"/>
                <w:szCs w:val="16"/>
                <w:b w:val="1"/>
                <w:bCs w:val="1"/>
                <w:color w:val="auto"/>
              </w:rPr>
              <w:t>Gross</w:t>
            </w:r>
          </w:p>
        </w:tc>
        <w:tc>
          <w:tcPr>
            <w:tcW w:w="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6"/>
                <w:szCs w:val="16"/>
                <w:b w:val="1"/>
                <w:bCs w:val="1"/>
                <w:color w:val="auto"/>
              </w:rPr>
              <w:t>Gross</w:t>
            </w:r>
          </w:p>
        </w:tc>
        <w:tc>
          <w:tcPr>
            <w:tcW w:w="100" w:type="dxa"/>
            <w:vAlign w:val="bottom"/>
          </w:tcPr>
          <w:p>
            <w:pPr>
              <w:spacing w:after="0"/>
              <w:rPr>
                <w:sz w:val="12"/>
                <w:szCs w:val="12"/>
                <w:color w:val="auto"/>
              </w:rPr>
            </w:pPr>
          </w:p>
        </w:tc>
      </w:tr>
      <w:tr>
        <w:trPr>
          <w:trHeight w:val="173"/>
        </w:trPr>
        <w:tc>
          <w:tcPr>
            <w:tcW w:w="3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439"/>
              <w:spacing w:after="0" w:line="173"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399"/>
              <w:spacing w:after="0" w:line="173"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219"/>
              <w:spacing w:after="0" w:line="173" w:lineRule="exact"/>
              <w:rPr>
                <w:sz w:val="20"/>
                <w:szCs w:val="20"/>
                <w:color w:val="auto"/>
              </w:rPr>
            </w:pPr>
            <w:r>
              <w:rPr>
                <w:rFonts w:ascii="Times New Roman" w:cs="Times New Roman" w:eastAsia="Times New Roman" w:hAnsi="Times New Roman"/>
                <w:sz w:val="16"/>
                <w:szCs w:val="16"/>
                <w:b w:val="1"/>
                <w:bCs w:val="1"/>
                <w:color w:val="auto"/>
              </w:rPr>
              <w:t>Unrealized</w:t>
            </w:r>
          </w:p>
        </w:tc>
      </w:tr>
      <w:tr>
        <w:trPr>
          <w:trHeight w:val="212"/>
        </w:trPr>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32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Holding Losses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30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Holding Losses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00" w:type="dxa"/>
            <w:vAlign w:val="bottom"/>
          </w:tcPr>
          <w:p>
            <w:pPr>
              <w:spacing w:after="0"/>
              <w:rPr>
                <w:sz w:val="18"/>
                <w:szCs w:val="18"/>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Holding Losses</w:t>
            </w:r>
          </w:p>
        </w:tc>
      </w:tr>
      <w:tr>
        <w:trPr>
          <w:trHeight w:val="202"/>
        </w:trPr>
        <w:tc>
          <w:tcPr>
            <w:tcW w:w="35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30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in</w:t>
            </w:r>
          </w:p>
        </w:tc>
        <w:tc>
          <w:tcPr>
            <w:tcW w:w="1080" w:type="dxa"/>
            <w:vAlign w:val="bottom"/>
            <w:tcBorders>
              <w:top w:val="single" w:sz="8" w:color="auto"/>
            </w:tcBorders>
            <w:gridSpan w:val="2"/>
          </w:tcPr>
          <w:p>
            <w:pPr>
              <w:jc w:val="right"/>
              <w:ind w:right="359"/>
              <w:spacing w:after="0"/>
              <w:rPr>
                <w:sz w:val="20"/>
                <w:szCs w:val="20"/>
                <w:color w:val="auto"/>
              </w:rPr>
            </w:pPr>
            <w:r>
              <w:rPr>
                <w:rFonts w:ascii="Times New Roman" w:cs="Times New Roman" w:eastAsia="Times New Roman" w:hAnsi="Times New Roman"/>
                <w:sz w:val="16"/>
                <w:szCs w:val="16"/>
                <w:i w:val="1"/>
                <w:iCs w:val="1"/>
                <w:color w:val="auto"/>
                <w:w w:val="88"/>
              </w:rPr>
              <w:t>thousands)</w:t>
            </w: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1,465,647</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(15,099 )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44,244</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(806 )</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1,509,891</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(15,905 )</w:t>
            </w:r>
          </w:p>
        </w:tc>
      </w:tr>
      <w:tr>
        <w:trPr>
          <w:trHeight w:val="203"/>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CMO/REMIC</w:t>
            </w: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450,393</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(11,515 )</w:t>
            </w: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53,745</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(2,468 )</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504,138</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(13,983 )</w:t>
            </w:r>
          </w:p>
        </w:tc>
      </w:tr>
      <w:tr>
        <w:trPr>
          <w:trHeight w:val="203"/>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Municipal bonds</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36"/>
        </w:trPr>
        <w:tc>
          <w:tcPr>
            <w:tcW w:w="3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1,916,040</w:t>
            </w:r>
          </w:p>
        </w:tc>
        <w:tc>
          <w:tcPr>
            <w:tcW w:w="3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(26,614</w:t>
            </w:r>
          </w:p>
        </w:tc>
        <w:tc>
          <w:tcPr>
            <w:tcW w:w="340" w:type="dxa"/>
            <w:vAlign w:val="bottom"/>
            <w:tcBorders>
              <w:bottom w:val="single" w:sz="8" w:color="CFF0FC"/>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97,989</w:t>
            </w: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(3,274</w:t>
            </w:r>
          </w:p>
        </w:tc>
        <w:tc>
          <w:tcPr>
            <w:tcW w:w="300" w:type="dxa"/>
            <w:vAlign w:val="bottom"/>
            <w:tcBorders>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2,014,029</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(29,888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-25400</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-7620</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-25400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-25400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-25400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440" w:firstLine="469"/>
        <w:spacing w:after="0" w:line="266" w:lineRule="auto"/>
        <w:rPr>
          <w:sz w:val="20"/>
          <w:szCs w:val="20"/>
          <w:color w:val="auto"/>
        </w:rPr>
      </w:pPr>
      <w:r>
        <w:rPr>
          <w:rFonts w:ascii="Times New Roman" w:cs="Times New Roman" w:eastAsia="Times New Roman" w:hAnsi="Times New Roman"/>
          <w:sz w:val="18"/>
          <w:szCs w:val="18"/>
          <w:color w:val="auto"/>
        </w:rPr>
        <w:t>At September 30, 2022 and December 31, 2021, investment securities having a carrying value of approximately $2.31 billion and $2.18 billion, respectively, were pledged to secure public deposits, short and long-term borrowings, and for other purposes as required or permitted by law.</w:t>
      </w:r>
    </w:p>
    <w:p>
      <w:pPr>
        <w:spacing w:after="0" w:line="162" w:lineRule="exact"/>
        <w:rPr>
          <w:sz w:val="20"/>
          <w:szCs w:val="20"/>
          <w:color w:val="auto"/>
        </w:rPr>
      </w:pPr>
    </w:p>
    <w:p>
      <w:pPr>
        <w:ind w:right="60" w:firstLine="464"/>
        <w:spacing w:after="0" w:line="250" w:lineRule="auto"/>
        <w:rPr>
          <w:sz w:val="20"/>
          <w:szCs w:val="20"/>
          <w:color w:val="auto"/>
        </w:rPr>
      </w:pPr>
      <w:r>
        <w:rPr>
          <w:rFonts w:ascii="Times New Roman" w:cs="Times New Roman" w:eastAsia="Times New Roman" w:hAnsi="Times New Roman"/>
          <w:sz w:val="18"/>
          <w:szCs w:val="18"/>
          <w:color w:val="auto"/>
        </w:rPr>
        <w:t>The amortized cost and fair value of debt securities at September 30, 2022, by contractual maturity, are shown in the table below. Although mortgage-backed and CMO/REMIC securities have weighted average remaining contractual maturities of approximately 23 years, expected maturities will differ from contractual maturities because borrowers may have the right to prepay such obligations without penalty. Mortgage-backed and CMO/REMIC securities are included in maturity categories based upon estimated average lives which incorporate estimated prepayment speeds.</w:t>
      </w:r>
    </w:p>
    <w:p>
      <w:pPr>
        <w:sectPr>
          <w:pgSz w:w="11900" w:h="16838" w:orient="portrait"/>
          <w:cols w:equalWidth="0" w:num="1">
            <w:col w:w="11240"/>
          </w:cols>
          <w:pgMar w:left="320" w:top="54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Due in one year or less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Due after one year through five years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Due after five years through ten years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Due after ten years</w:t>
      </w:r>
    </w:p>
    <w:p>
      <w:pPr>
        <w:spacing w:after="0" w:line="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Total investment securities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0" w:type="dxa"/>
            <w:vAlign w:val="bottom"/>
            <w:tcBorders>
              <w:top w:val="single" w:sz="8" w:color="auto"/>
              <w:bottom w:val="single" w:sz="8" w:color="auto"/>
            </w:tcBorders>
          </w:tcPr>
          <w:p>
            <w:pPr>
              <w:spacing w:after="0"/>
              <w:rPr>
                <w:sz w:val="14"/>
                <w:szCs w:val="14"/>
                <w:color w:val="auto"/>
              </w:rPr>
            </w:pPr>
          </w:p>
        </w:tc>
        <w:tc>
          <w:tcPr>
            <w:tcW w:w="2660" w:type="dxa"/>
            <w:vAlign w:val="bottom"/>
            <w:tcBorders>
              <w:top w:val="single" w:sz="8" w:color="auto"/>
              <w:bottom w:val="single" w:sz="8" w:color="auto"/>
            </w:tcBorders>
            <w:gridSpan w:val="4"/>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30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660" w:type="dxa"/>
            <w:vAlign w:val="bottom"/>
            <w:tcBorders>
              <w:top w:val="single" w:sz="8" w:color="auto"/>
              <w:bottom w:val="single" w:sz="8" w:color="auto"/>
            </w:tcBorders>
            <w:gridSpan w:val="4"/>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Held-to-maturity</w:t>
            </w:r>
          </w:p>
        </w:tc>
      </w:tr>
      <w:tr>
        <w:trPr>
          <w:trHeight w:val="169"/>
        </w:trPr>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60"/>
        </w:trPr>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i w:val="1"/>
                <w:iCs w:val="1"/>
                <w:color w:val="auto"/>
              </w:rPr>
              <w:t>(Dollars</w:t>
            </w:r>
          </w:p>
        </w:tc>
        <w:tc>
          <w:tcPr>
            <w:tcW w:w="300" w:type="dxa"/>
            <w:vAlign w:val="bottom"/>
          </w:tcPr>
          <w:p>
            <w:pPr>
              <w:ind w:left="40"/>
              <w:spacing w:after="0" w:line="160" w:lineRule="exact"/>
              <w:rPr>
                <w:sz w:val="20"/>
                <w:szCs w:val="20"/>
                <w:color w:val="auto"/>
              </w:rPr>
            </w:pPr>
            <w:r>
              <w:rPr>
                <w:rFonts w:ascii="Times New Roman" w:cs="Times New Roman" w:eastAsia="Times New Roman" w:hAnsi="Times New Roman"/>
                <w:sz w:val="14"/>
                <w:szCs w:val="14"/>
                <w:i w:val="1"/>
                <w:iCs w:val="1"/>
                <w:color w:val="auto"/>
              </w:rPr>
              <w:t>in</w:t>
            </w:r>
          </w:p>
        </w:tc>
        <w:tc>
          <w:tcPr>
            <w:tcW w:w="12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6"/>
        </w:trPr>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19,914</w:t>
            </w:r>
          </w:p>
        </w:tc>
        <w:tc>
          <w:tcPr>
            <w:tcW w:w="5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19,404</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2,842</w:t>
            </w:r>
          </w:p>
        </w:tc>
        <w:tc>
          <w:tcPr>
            <w:tcW w:w="5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2,823</w:t>
            </w:r>
          </w:p>
        </w:tc>
      </w:tr>
      <w:tr>
        <w:trPr>
          <w:trHeight w:val="175"/>
        </w:trPr>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892,491</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809,644</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645,420</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568,453</w:t>
            </w:r>
          </w:p>
        </w:tc>
      </w:tr>
      <w:tr>
        <w:trPr>
          <w:trHeight w:val="176"/>
        </w:trPr>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2,610,587</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2,213,671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694,667</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595,729</w:t>
            </w:r>
          </w:p>
        </w:tc>
      </w:tr>
      <w:tr>
        <w:trPr>
          <w:trHeight w:val="185"/>
        </w:trPr>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339,224</w:t>
            </w: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279,105</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1,214,993</w:t>
            </w: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983,983</w:t>
            </w:r>
          </w:p>
        </w:tc>
      </w:tr>
      <w:tr>
        <w:trPr>
          <w:trHeight w:val="169"/>
        </w:trPr>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3,862,216</w:t>
            </w:r>
          </w:p>
        </w:tc>
        <w:tc>
          <w:tcPr>
            <w:tcW w:w="34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3,321,824</w:t>
            </w:r>
          </w:p>
        </w:tc>
        <w:tc>
          <w:tcPr>
            <w:tcW w:w="300" w:type="dxa"/>
            <w:vAlign w:val="bottom"/>
          </w:tcPr>
          <w:p>
            <w:pPr>
              <w:spacing w:after="0"/>
              <w:rPr>
                <w:sz w:val="14"/>
                <w:szCs w:val="14"/>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2,557,922</w:t>
            </w:r>
          </w:p>
        </w:tc>
        <w:tc>
          <w:tcPr>
            <w:tcW w:w="320" w:type="dxa"/>
            <w:vAlign w:val="bottom"/>
          </w:tcPr>
          <w:p>
            <w:pPr>
              <w:spacing w:after="0"/>
              <w:rPr>
                <w:sz w:val="14"/>
                <w:szCs w:val="14"/>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2,150,988</w:t>
            </w: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-591185</wp:posOffset>
            </wp:positionV>
            <wp:extent cx="7132320" cy="1117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-368300</wp:posOffset>
            </wp:positionV>
            <wp:extent cx="7132320" cy="1117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-136525</wp:posOffset>
            </wp:positionV>
            <wp:extent cx="713232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600" w:space="720"/>
            <w:col w:w="5920"/>
          </w:cols>
          <w:pgMar w:left="320" w:top="542" w:right="339" w:bottom="1440" w:gutter="0" w:footer="0" w:header="0"/>
          <w:type w:val="continuous"/>
        </w:sectPr>
      </w:pPr>
    </w:p>
    <w:p>
      <w:pPr>
        <w:ind w:right="400" w:firstLine="469"/>
        <w:spacing w:after="0" w:line="266" w:lineRule="auto"/>
        <w:rPr>
          <w:sz w:val="20"/>
          <w:szCs w:val="20"/>
          <w:color w:val="auto"/>
        </w:rPr>
      </w:pPr>
      <w:r>
        <w:rPr>
          <w:rFonts w:ascii="Times New Roman" w:cs="Times New Roman" w:eastAsia="Times New Roman" w:hAnsi="Times New Roman"/>
          <w:sz w:val="18"/>
          <w:szCs w:val="18"/>
          <w:color w:val="auto"/>
        </w:rPr>
        <w:t>The investment in FHLB stock is periodically evaluated for impairment based on, among other things, the capital adequacy of the FHLB and its overall financial condition. No impairment losses have been recorded through September 30, 2022.</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type w:val="continuous"/>
        </w:sectPr>
      </w:pPr>
    </w:p>
    <w:bookmarkStart w:id="14" w:name="page15"/>
    <w:bookmarkEnd w:id="14"/>
    <w:p>
      <w:pPr>
        <w:ind w:left="480" w:right="3500" w:hanging="472"/>
        <w:spacing w:after="0" w:line="505" w:lineRule="auto"/>
        <w:tabs>
          <w:tab w:leader="none" w:pos="331"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LOANS AND LEASE FINANCE RECEIVABLES AND ALLOWANCE FOR CREDIT LOSSES </w:t>
      </w:r>
      <w:r>
        <w:rPr>
          <w:rFonts w:ascii="Times New Roman" w:cs="Times New Roman" w:eastAsia="Times New Roman" w:hAnsi="Times New Roman"/>
          <w:sz w:val="17"/>
          <w:szCs w:val="17"/>
          <w:color w:val="auto"/>
        </w:rPr>
        <w:t>The following table provides a summary of total loans and lease finance receivables by type.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Pr>
          <w:p>
            <w:pPr>
              <w:spacing w:after="0"/>
              <w:rPr>
                <w:sz w:val="20"/>
                <w:szCs w:val="20"/>
                <w:color w:val="auto"/>
              </w:rPr>
            </w:pPr>
          </w:p>
        </w:tc>
      </w:tr>
      <w:tr>
        <w:trPr>
          <w:trHeight w:val="206"/>
        </w:trPr>
        <w:tc>
          <w:tcPr>
            <w:tcW w:w="6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2300" w:type="dxa"/>
            <w:vAlign w:val="bottom"/>
            <w:gridSpan w:val="3"/>
          </w:tcPr>
          <w:p>
            <w:pPr>
              <w:jc w:val="center"/>
              <w:ind w:right="129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7"/>
                <w:szCs w:val="17"/>
                <w:color w:val="auto"/>
              </w:rPr>
            </w:pPr>
          </w:p>
        </w:tc>
      </w:tr>
      <w:tr>
        <w:trPr>
          <w:trHeight w:val="220"/>
        </w:trPr>
        <w:tc>
          <w:tcPr>
            <w:tcW w:w="6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6,685,245</w:t>
            </w: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5,789,730</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76,495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62,264</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1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296,664</w:t>
            </w: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288,600</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SBA - Paycheck Protection Program (PPP)</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186,585</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952,231</w:t>
            </w: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813,063</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323,105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386,219</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Municipal lease finance receivables</w:t>
            </w:r>
          </w:p>
        </w:tc>
        <w:tc>
          <w:tcPr>
            <w:tcW w:w="1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76,656</w:t>
            </w: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45,933</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SFR mortgage</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263,646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240,654</w:t>
            </w:r>
          </w:p>
        </w:tc>
        <w:tc>
          <w:tcPr>
            <w:tcW w:w="100" w:type="dxa"/>
            <w:vAlign w:val="bottom"/>
          </w:tcPr>
          <w:p>
            <w:pPr>
              <w:spacing w:after="0"/>
              <w:rPr>
                <w:sz w:val="18"/>
                <w:szCs w:val="18"/>
                <w:color w:val="auto"/>
              </w:rPr>
            </w:pPr>
          </w:p>
        </w:tc>
      </w:tr>
      <w:tr>
        <w:trPr>
          <w:trHeight w:val="216"/>
        </w:trPr>
        <w:tc>
          <w:tcPr>
            <w:tcW w:w="6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and other loans</w:t>
            </w:r>
          </w:p>
        </w:tc>
        <w:tc>
          <w:tcPr>
            <w:tcW w:w="16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82,746</w:t>
            </w:r>
          </w:p>
        </w:tc>
        <w:tc>
          <w:tcPr>
            <w:tcW w:w="4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loans, at amortized cost</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8,774,136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7,887,713</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right"/>
              <w:ind w:right="239"/>
              <w:spacing w:after="0"/>
              <w:rPr>
                <w:sz w:val="20"/>
                <w:szCs w:val="20"/>
                <w:color w:val="auto"/>
              </w:rPr>
            </w:pPr>
            <w:r>
              <w:rPr>
                <w:rFonts w:ascii="Times New Roman" w:cs="Times New Roman" w:eastAsia="Times New Roman" w:hAnsi="Times New Roman"/>
                <w:sz w:val="18"/>
                <w:szCs w:val="18"/>
                <w:color w:val="auto"/>
              </w:rPr>
              <w:t>(82,601 )</w:t>
            </w:r>
          </w:p>
        </w:tc>
        <w:tc>
          <w:tcPr>
            <w:tcW w:w="1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(65,019 )</w:t>
            </w:r>
          </w:p>
        </w:tc>
      </w:tr>
      <w:tr>
        <w:trPr>
          <w:trHeight w:val="210"/>
        </w:trPr>
        <w:tc>
          <w:tcPr>
            <w:tcW w:w="690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Total loans and lease finance receivables, net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8,691,535</w:t>
            </w:r>
          </w:p>
        </w:tc>
        <w:tc>
          <w:tcPr>
            <w:tcW w:w="40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7,822,694</w:t>
            </w:r>
          </w:p>
        </w:tc>
        <w:tc>
          <w:tcPr>
            <w:tcW w:w="100" w:type="dxa"/>
            <w:vAlign w:val="bottom"/>
            <w:tcBorders>
              <w:top w:val="single" w:sz="8" w:color="CFF0FC"/>
            </w:tcBorders>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-453390</wp:posOffset>
            </wp:positionV>
            <wp:extent cx="77470" cy="1454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1454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-170815</wp:posOffset>
            </wp:positionV>
            <wp:extent cx="7747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4" w:lineRule="exact"/>
        <w:rPr>
          <w:sz w:val="20"/>
          <w:szCs w:val="20"/>
          <w:color w:val="auto"/>
        </w:rPr>
      </w:pPr>
    </w:p>
    <w:p>
      <w:pPr>
        <w:ind w:right="80" w:firstLine="469"/>
        <w:spacing w:after="0" w:line="243" w:lineRule="auto"/>
        <w:rPr>
          <w:sz w:val="20"/>
          <w:szCs w:val="20"/>
          <w:color w:val="auto"/>
        </w:rPr>
      </w:pPr>
      <w:r>
        <w:rPr>
          <w:rFonts w:ascii="Times New Roman" w:cs="Times New Roman" w:eastAsia="Times New Roman" w:hAnsi="Times New Roman"/>
          <w:sz w:val="18"/>
          <w:szCs w:val="18"/>
          <w:color w:val="auto"/>
        </w:rPr>
        <w:t>As of September 30, 2022, 80.07% of the Company’s total loan portfolio consisted of real estate loans, with commercial real estate loans representing 76.19% of total loans. The Company’s real estate loans and construction loans are secured by real properties primarily located in California. As of September 30, 2022, $486.4 million, or 7.28% of the total commercial real estate loans included loans secured by farmland, compared to $364.4 million, or 6.29%, at December 31, 2021. The loans secured by farmland included $136.9 million for loans secured by dairy &amp; livestock land and $349.5 million for loans secured by agricultural land at September 30, 2022, compared to $134.9 million for loans secured by dairy &amp; livestock land and $229.5 million for loans secured by agricultural land at December 31, 2021. As of September 30, 2022, dairy &amp; livestock and agribusiness loans of $323.1 million were comprised of $264.7 million for dairy &amp; livestock loans and $58.4 million for agribusiness loans. This compares to $34.5 of agribusiness loans included in the $386.2 million dairy &amp; livestock and agribusiness loans as of December 31, 2021.</w:t>
      </w:r>
    </w:p>
    <w:p>
      <w:pPr>
        <w:spacing w:after="0" w:line="186" w:lineRule="exact"/>
        <w:rPr>
          <w:sz w:val="20"/>
          <w:szCs w:val="20"/>
          <w:color w:val="auto"/>
        </w:rPr>
      </w:pPr>
    </w:p>
    <w:p>
      <w:pPr>
        <w:ind w:right="60" w:firstLine="469"/>
        <w:spacing w:after="0" w:line="266" w:lineRule="auto"/>
        <w:rPr>
          <w:sz w:val="20"/>
          <w:szCs w:val="20"/>
          <w:color w:val="auto"/>
        </w:rPr>
      </w:pPr>
      <w:r>
        <w:rPr>
          <w:rFonts w:ascii="Times New Roman" w:cs="Times New Roman" w:eastAsia="Times New Roman" w:hAnsi="Times New Roman"/>
          <w:sz w:val="18"/>
          <w:szCs w:val="18"/>
          <w:color w:val="auto"/>
        </w:rPr>
        <w:t>At September 30, 2022 and December 31, 2021, loans totaling $4.33 billion and $3.96 billion, respectively, were pledged to secure available lines of credit from the FHLB and the Federal Reserve Bank.</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There were no outstanding loans held-for-sale as of September 30, 2022 and December 31, 2021.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w:t>
      </w:r>
    </w:p>
    <w:p>
      <w:pPr>
        <w:spacing w:after="0" w:line="202" w:lineRule="exact"/>
        <w:rPr>
          <w:sz w:val="20"/>
          <w:szCs w:val="20"/>
          <w:color w:val="auto"/>
        </w:rPr>
      </w:pPr>
    </w:p>
    <w:p>
      <w:pPr>
        <w:ind w:right="80" w:firstLine="469"/>
        <w:spacing w:after="0" w:line="282" w:lineRule="auto"/>
        <w:rPr>
          <w:sz w:val="20"/>
          <w:szCs w:val="20"/>
          <w:color w:val="auto"/>
        </w:rPr>
      </w:pPr>
      <w:r>
        <w:rPr>
          <w:rFonts w:ascii="Times New Roman" w:cs="Times New Roman" w:eastAsia="Times New Roman" w:hAnsi="Times New Roman"/>
          <w:sz w:val="18"/>
          <w:szCs w:val="18"/>
          <w:color w:val="auto"/>
        </w:rPr>
        <w:t>We monitor credit quality by evaluating various risk attributes and utilize such information in our evaluation of the appropriateness of the allowance for credit losses. Internal credit risk ratings, within our loan risk rating system, are the credit quality indicators that we most closely monitor.</w:t>
      </w:r>
    </w:p>
    <w:p>
      <w:pPr>
        <w:spacing w:after="0" w:line="135" w:lineRule="exact"/>
        <w:rPr>
          <w:sz w:val="20"/>
          <w:szCs w:val="20"/>
          <w:color w:val="auto"/>
        </w:rPr>
      </w:pPr>
    </w:p>
    <w:p>
      <w:pPr>
        <w:jc w:val="both"/>
        <w:ind w:right="180" w:firstLine="469"/>
        <w:spacing w:after="0" w:line="246" w:lineRule="auto"/>
        <w:rPr>
          <w:sz w:val="20"/>
          <w:szCs w:val="20"/>
          <w:color w:val="auto"/>
        </w:rPr>
      </w:pPr>
      <w:r>
        <w:rPr>
          <w:rFonts w:ascii="Times New Roman" w:cs="Times New Roman" w:eastAsia="Times New Roman" w:hAnsi="Times New Roman"/>
          <w:sz w:val="18"/>
          <w:szCs w:val="18"/>
          <w:color w:val="auto"/>
        </w:rPr>
        <w:t>An important element of our approach to credit risk management is our loan risk rating system. The originating officer assigns each loan an initial risk rating, which is reviewed and confirmed or changed, as appropriate, by credit management. Approvals are made based upon the amount of inherent credit risk specific to the transaction and are reviewed for appropriateness by senior line and credit management personnel. Credits are monitored by line and credit management personnel for deterioration or improvement in a borrower’s financial condition, which would impact the ability of the borrower to perform under the contract. Risk ratings are adjusted as necessary.</w:t>
      </w:r>
    </w:p>
    <w:p>
      <w:pPr>
        <w:spacing w:after="0" w:line="181" w:lineRule="exact"/>
        <w:rPr>
          <w:sz w:val="20"/>
          <w:szCs w:val="20"/>
          <w:color w:val="auto"/>
        </w:rPr>
      </w:pPr>
    </w:p>
    <w:p>
      <w:pPr>
        <w:ind w:right="200" w:firstLine="469"/>
        <w:spacing w:after="0" w:line="266" w:lineRule="auto"/>
        <w:rPr>
          <w:sz w:val="20"/>
          <w:szCs w:val="20"/>
          <w:color w:val="auto"/>
        </w:rPr>
      </w:pPr>
      <w:r>
        <w:rPr>
          <w:rFonts w:ascii="Times New Roman" w:cs="Times New Roman" w:eastAsia="Times New Roman" w:hAnsi="Times New Roman"/>
          <w:sz w:val="18"/>
          <w:szCs w:val="18"/>
          <w:color w:val="auto"/>
        </w:rPr>
        <w:t>Loans are risk rated into the following categories: Pass, Special Mention, Substandard, Doubtful and Loss. Each of these groups is assessed for the proper amount to be used in determining the adequacy of our allowance for losses. These categories can be described as follows:</w:t>
      </w:r>
    </w:p>
    <w:p>
      <w:pPr>
        <w:spacing w:after="0" w:line="162" w:lineRule="exact"/>
        <w:rPr>
          <w:sz w:val="20"/>
          <w:szCs w:val="20"/>
          <w:color w:val="auto"/>
        </w:rPr>
      </w:pPr>
    </w:p>
    <w:p>
      <w:pPr>
        <w:ind w:right="80" w:firstLine="469"/>
        <w:spacing w:after="0" w:line="250" w:lineRule="auto"/>
        <w:rPr>
          <w:sz w:val="20"/>
          <w:szCs w:val="20"/>
          <w:color w:val="auto"/>
        </w:rPr>
      </w:pPr>
      <w:r>
        <w:rPr>
          <w:rFonts w:ascii="Times New Roman" w:cs="Times New Roman" w:eastAsia="Times New Roman" w:hAnsi="Times New Roman"/>
          <w:sz w:val="18"/>
          <w:szCs w:val="18"/>
          <w:color w:val="auto"/>
        </w:rPr>
        <w:t>Pass — These loans, including loans on the Bank’s internal watch list, range from minimal credit risk to lower than average, but still acceptable, credit risk. Watch list loans usually require more than normal management attention. Loans on the watch list may involve borrowers with adverse financial trends, higher debt/equity ratios, or weaker liquidity positions, but not to the degree of being considered a defined weakness or problem loan where risk of loss may be apparent.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5" w:name="page16"/>
    <w:bookmarkEnd w:id="15"/>
    <w:p>
      <w:pPr>
        <w:jc w:val="both"/>
        <w:ind w:right="160" w:firstLine="469"/>
        <w:spacing w:after="0" w:line="258" w:lineRule="auto"/>
        <w:rPr>
          <w:sz w:val="20"/>
          <w:szCs w:val="20"/>
          <w:color w:val="auto"/>
        </w:rPr>
      </w:pPr>
      <w:r>
        <w:rPr>
          <w:rFonts w:ascii="Times New Roman" w:cs="Times New Roman" w:eastAsia="Times New Roman" w:hAnsi="Times New Roman"/>
          <w:sz w:val="18"/>
          <w:szCs w:val="18"/>
          <w:color w:val="auto"/>
        </w:rPr>
        <w:t>Special Mention — Loans assigned to this category have potential weaknesses that deserve management’s close attention. If left uncorrected, these potential weaknesses may result in the deterioration of the repayment prospects for the asset or the Company’s credit position at some future date. Special mention assets are not adversely classified and do not expose the Company to sufficient risk to warrant adverse classification.</w:t>
      </w:r>
    </w:p>
    <w:p>
      <w:pPr>
        <w:spacing w:after="0" w:line="169" w:lineRule="exact"/>
        <w:rPr>
          <w:sz w:val="20"/>
          <w:szCs w:val="20"/>
          <w:color w:val="auto"/>
        </w:rPr>
      </w:pPr>
    </w:p>
    <w:p>
      <w:pPr>
        <w:jc w:val="both"/>
        <w:ind w:right="220" w:firstLine="469"/>
        <w:spacing w:after="0" w:line="250" w:lineRule="auto"/>
        <w:rPr>
          <w:sz w:val="20"/>
          <w:szCs w:val="20"/>
          <w:color w:val="auto"/>
        </w:rPr>
      </w:pPr>
      <w:r>
        <w:rPr>
          <w:rFonts w:ascii="Times New Roman" w:cs="Times New Roman" w:eastAsia="Times New Roman" w:hAnsi="Times New Roman"/>
          <w:sz w:val="18"/>
          <w:szCs w:val="18"/>
          <w:color w:val="auto"/>
        </w:rPr>
        <w:t>Substandard — Loans classified as substandard are inadequately protected by the current sound worth and paying capacity of the obligor or of the collateral pledged, if any. Assets so classified must have a well-defined weakness, or weaknesses, that jeopardize the liquidation of the debt. Substandard loans are characterized by the distinct possibility that the Company will sustain some loss if deficiencies are not corrected.</w:t>
      </w:r>
    </w:p>
    <w:p>
      <w:pPr>
        <w:spacing w:after="0" w:line="177" w:lineRule="exact"/>
        <w:rPr>
          <w:sz w:val="20"/>
          <w:szCs w:val="20"/>
          <w:color w:val="auto"/>
        </w:rPr>
      </w:pPr>
    </w:p>
    <w:p>
      <w:pPr>
        <w:ind w:right="240" w:firstLine="469"/>
        <w:spacing w:after="0" w:line="266" w:lineRule="auto"/>
        <w:rPr>
          <w:sz w:val="20"/>
          <w:szCs w:val="20"/>
          <w:color w:val="auto"/>
        </w:rPr>
      </w:pPr>
      <w:r>
        <w:rPr>
          <w:rFonts w:ascii="Times New Roman" w:cs="Times New Roman" w:eastAsia="Times New Roman" w:hAnsi="Times New Roman"/>
          <w:sz w:val="18"/>
          <w:szCs w:val="18"/>
          <w:color w:val="auto"/>
        </w:rPr>
        <w:t>Doubtful — Loans classified as doubtful have all the weaknesses inherent in those classified substandard with the added characteristic that the weaknesses make collection or the liquidation in full, on the basis of currently existing facts, conditions and values, highly questionable and improbable.</w:t>
      </w:r>
    </w:p>
    <w:p>
      <w:pPr>
        <w:spacing w:after="0" w:line="162" w:lineRule="exact"/>
        <w:rPr>
          <w:sz w:val="20"/>
          <w:szCs w:val="20"/>
          <w:color w:val="auto"/>
        </w:rPr>
      </w:pPr>
    </w:p>
    <w:p>
      <w:pPr>
        <w:jc w:val="both"/>
        <w:ind w:right="120" w:firstLine="469"/>
        <w:spacing w:after="0" w:line="250" w:lineRule="auto"/>
        <w:rPr>
          <w:sz w:val="20"/>
          <w:szCs w:val="20"/>
          <w:color w:val="auto"/>
        </w:rPr>
      </w:pPr>
      <w:r>
        <w:rPr>
          <w:rFonts w:ascii="Times New Roman" w:cs="Times New Roman" w:eastAsia="Times New Roman" w:hAnsi="Times New Roman"/>
          <w:sz w:val="18"/>
          <w:szCs w:val="18"/>
          <w:color w:val="auto"/>
        </w:rPr>
        <w:t>Loss — Loans classified as loss are considered uncollectible and of such little value that their continuance as bankable assets is not warranted. This classification does not mean that the loan has absolutely no recovery or salvage value, but rather that it is not practical or desirable to defer writing off this asset with insignificant value even though partial recovery may be affected in the future.</w:t>
      </w:r>
    </w:p>
    <w:p>
      <w:pPr>
        <w:spacing w:after="0" w:line="177" w:lineRule="exact"/>
        <w:rPr>
          <w:sz w:val="20"/>
          <w:szCs w:val="20"/>
          <w:color w:val="auto"/>
        </w:rPr>
      </w:pPr>
    </w:p>
    <w:p>
      <w:pPr>
        <w:ind w:right="440"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loans by type and origination year, including acquired Suncrest loans in the year of origination, according to our internal risk ratings as of the dates presented.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Revolving loans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Origination Year</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77"/>
              <w:spacing w:after="0" w:line="124"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amortized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5"/>
              </w:rPr>
              <w:t>converted to</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40" w:type="dxa"/>
            <w:vAlign w:val="bottom"/>
            <w:tcBorders>
              <w:bottom w:val="single" w:sz="8" w:color="auto"/>
            </w:tcBorders>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September 30, 2022</w:t>
            </w: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2"/>
              </w:rPr>
              <w:t>2019</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2018</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17"/>
              <w:spacing w:after="0" w:line="146" w:lineRule="exact"/>
              <w:rPr>
                <w:sz w:val="20"/>
                <w:szCs w:val="20"/>
                <w:color w:val="auto"/>
              </w:rPr>
            </w:pPr>
            <w:r>
              <w:rPr>
                <w:rFonts w:ascii="Times New Roman" w:cs="Times New Roman" w:eastAsia="Times New Roman" w:hAnsi="Times New Roman"/>
                <w:sz w:val="13"/>
                <w:szCs w:val="13"/>
                <w:b w:val="1"/>
                <w:bCs w:val="1"/>
                <w:color w:val="auto"/>
              </w:rPr>
              <w:t>cost basis</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97"/>
              <w:spacing w:after="0" w:line="146" w:lineRule="exact"/>
              <w:rPr>
                <w:sz w:val="20"/>
                <w:szCs w:val="20"/>
                <w:color w:val="auto"/>
              </w:rPr>
            </w:pPr>
            <w:r>
              <w:rPr>
                <w:rFonts w:ascii="Times New Roman" w:cs="Times New Roman" w:eastAsia="Times New Roman" w:hAnsi="Times New Roman"/>
                <w:sz w:val="13"/>
                <w:szCs w:val="13"/>
                <w:b w:val="1"/>
                <w:bCs w:val="1"/>
                <w:color w:val="auto"/>
              </w:rPr>
              <w:t>term loans</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7"/>
              <w:spacing w:after="0" w:line="146" w:lineRule="exact"/>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6"/>
          </w:tcPr>
          <w:p>
            <w:pPr>
              <w:jc w:val="right"/>
              <w:spacing w:after="0"/>
              <w:rPr>
                <w:sz w:val="20"/>
                <w:szCs w:val="20"/>
                <w:color w:val="auto"/>
              </w:rPr>
            </w:pPr>
            <w:r>
              <w:rPr>
                <w:rFonts w:ascii="Times New Roman" w:cs="Times New Roman" w:eastAsia="Times New Roman" w:hAnsi="Times New Roman"/>
                <w:sz w:val="13"/>
                <w:szCs w:val="13"/>
                <w:i w:val="1"/>
                <w:iCs w:val="1"/>
                <w:color w:val="auto"/>
                <w:w w:val="98"/>
              </w:rPr>
              <w:t>(Dollars in thousands)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4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Commercial real estate</w:t>
            </w:r>
          </w:p>
        </w:tc>
        <w:tc>
          <w:tcPr>
            <w:tcW w:w="1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1,036,048</w:t>
            </w:r>
          </w:p>
        </w:tc>
        <w:tc>
          <w:tcPr>
            <w:tcW w:w="44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1,211,127</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972,387</w:t>
            </w:r>
          </w:p>
        </w:tc>
        <w:tc>
          <w:tcPr>
            <w:tcW w:w="44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581,832</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522,728</w:t>
            </w:r>
          </w:p>
        </w:tc>
        <w:tc>
          <w:tcPr>
            <w:tcW w:w="460" w:type="dxa"/>
            <w:vAlign w:val="bottom"/>
            <w:gridSpan w:val="3"/>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1,963,428</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177,910</w:t>
            </w:r>
          </w:p>
        </w:tc>
        <w:tc>
          <w:tcPr>
            <w:tcW w:w="32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39,961</w:t>
            </w:r>
          </w:p>
        </w:tc>
        <w:tc>
          <w:tcPr>
            <w:tcW w:w="42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6,505,421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11,066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10,234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19,905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24,272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77,113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144,413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3,521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15,811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429</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15,554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35,411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40" w:type="dxa"/>
            <w:vAlign w:val="bottom"/>
            <w:shd w:val="clear" w:color="auto" w:fill="CFF0FC"/>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Total Commercial real</w:t>
            </w:r>
          </w:p>
        </w:tc>
        <w:tc>
          <w:tcPr>
            <w:tcW w:w="1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1,036,553</w:t>
            </w:r>
          </w:p>
        </w:tc>
        <w:tc>
          <w:tcPr>
            <w:tcW w:w="440" w:type="dxa"/>
            <w:vAlign w:val="bottom"/>
            <w:gridSpan w:val="3"/>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1,225,714</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998,432</w:t>
            </w:r>
          </w:p>
        </w:tc>
        <w:tc>
          <w:tcPr>
            <w:tcW w:w="440" w:type="dxa"/>
            <w:vAlign w:val="bottom"/>
            <w:gridSpan w:val="3"/>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602,166</w:t>
            </w:r>
          </w:p>
        </w:tc>
        <w:tc>
          <w:tcPr>
            <w:tcW w:w="38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547,096</w:t>
            </w:r>
          </w:p>
        </w:tc>
        <w:tc>
          <w:tcPr>
            <w:tcW w:w="460" w:type="dxa"/>
            <w:vAlign w:val="bottom"/>
            <w:gridSpan w:val="3"/>
            <w:vMerge w:val="restart"/>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2,056,095</w:t>
            </w:r>
          </w:p>
        </w:tc>
        <w:tc>
          <w:tcPr>
            <w:tcW w:w="3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179,228</w:t>
            </w:r>
          </w:p>
        </w:tc>
        <w:tc>
          <w:tcPr>
            <w:tcW w:w="320" w:type="dxa"/>
            <w:vAlign w:val="bottom"/>
            <w:gridSpan w:val="3"/>
            <w:vMerge w:val="restart"/>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39,961</w:t>
            </w:r>
          </w:p>
        </w:tc>
        <w:tc>
          <w:tcPr>
            <w:tcW w:w="420" w:type="dxa"/>
            <w:vAlign w:val="bottom"/>
            <w:gridSpan w:val="3"/>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6,685,245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estate loans:</w:t>
            </w:r>
          </w:p>
        </w:tc>
        <w:tc>
          <w:tcPr>
            <w:tcW w:w="160" w:type="dxa"/>
            <w:vAlign w:val="bottom"/>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440" w:type="dxa"/>
            <w:vAlign w:val="bottom"/>
            <w:gridSpan w:val="3"/>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420" w:type="dxa"/>
            <w:vAlign w:val="bottom"/>
            <w:gridSpan w:val="3"/>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440" w:type="dxa"/>
            <w:vAlign w:val="bottom"/>
            <w:gridSpan w:val="3"/>
            <w:vMerge w:val="continue"/>
            <w:shd w:val="clear" w:color="auto" w:fill="CFF0FC"/>
          </w:tcPr>
          <w:p>
            <w:pPr>
              <w:spacing w:after="0"/>
              <w:rPr>
                <w:sz w:val="14"/>
                <w:szCs w:val="14"/>
                <w:color w:val="auto"/>
              </w:rPr>
            </w:pPr>
          </w:p>
        </w:tc>
        <w:tc>
          <w:tcPr>
            <w:tcW w:w="48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460" w:type="dxa"/>
            <w:vAlign w:val="bottom"/>
            <w:gridSpan w:val="3"/>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320" w:type="dxa"/>
            <w:vAlign w:val="bottom"/>
            <w:gridSpan w:val="3"/>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320" w:type="dxa"/>
            <w:vAlign w:val="bottom"/>
            <w:gridSpan w:val="3"/>
            <w:vMerge w:val="continue"/>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420" w:type="dxa"/>
            <w:vAlign w:val="bottom"/>
            <w:gridSpan w:val="3"/>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2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Construction loans:</w:t>
            </w: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17,931</w:t>
            </w:r>
          </w:p>
        </w:tc>
        <w:tc>
          <w:tcPr>
            <w:tcW w:w="440" w:type="dxa"/>
            <w:vAlign w:val="bottom"/>
            <w:gridSpan w:val="3"/>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21,612</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14,409</w:t>
            </w:r>
          </w:p>
        </w:tc>
        <w:tc>
          <w:tcPr>
            <w:tcW w:w="44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3"/>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17,749</w:t>
            </w:r>
          </w:p>
        </w:tc>
        <w:tc>
          <w:tcPr>
            <w:tcW w:w="32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4,794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4,794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40" w:type="dxa"/>
            <w:vAlign w:val="bottom"/>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Total Construction</w:t>
            </w:r>
          </w:p>
        </w:tc>
        <w:tc>
          <w:tcPr>
            <w:tcW w:w="160" w:type="dxa"/>
            <w:vAlign w:val="bottom"/>
            <w:vMerge w:val="restart"/>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17,931</w:t>
            </w:r>
          </w:p>
        </w:tc>
        <w:tc>
          <w:tcPr>
            <w:tcW w:w="440" w:type="dxa"/>
            <w:vAlign w:val="bottom"/>
            <w:gridSpan w:val="3"/>
            <w:vMerge w:val="restart"/>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21,612</w:t>
            </w:r>
          </w:p>
        </w:tc>
        <w:tc>
          <w:tcPr>
            <w:tcW w:w="42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14,409</w:t>
            </w:r>
          </w:p>
        </w:tc>
        <w:tc>
          <w:tcPr>
            <w:tcW w:w="440" w:type="dxa"/>
            <w:vAlign w:val="bottom"/>
            <w:gridSpan w:val="3"/>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4,794</w:t>
            </w:r>
          </w:p>
        </w:tc>
        <w:tc>
          <w:tcPr>
            <w:tcW w:w="460" w:type="dxa"/>
            <w:vAlign w:val="bottom"/>
            <w:gridSpan w:val="3"/>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17,749</w:t>
            </w:r>
          </w:p>
        </w:tc>
        <w:tc>
          <w:tcPr>
            <w:tcW w:w="3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76,495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SBA loans:</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52,986</w:t>
            </w:r>
          </w:p>
        </w:tc>
        <w:tc>
          <w:tcPr>
            <w:tcW w:w="44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56,165</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35,527</w:t>
            </w:r>
          </w:p>
        </w:tc>
        <w:tc>
          <w:tcPr>
            <w:tcW w:w="44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11,580</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29,886</w:t>
            </w:r>
          </w:p>
        </w:tc>
        <w:tc>
          <w:tcPr>
            <w:tcW w:w="460" w:type="dxa"/>
            <w:vAlign w:val="bottom"/>
            <w:gridSpan w:val="3"/>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100,265</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32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286,463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4,514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5,085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SBA loans:</w:t>
            </w:r>
          </w:p>
        </w:tc>
        <w:tc>
          <w:tcPr>
            <w:tcW w:w="1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52,986</w:t>
            </w:r>
          </w:p>
        </w:tc>
        <w:tc>
          <w:tcPr>
            <w:tcW w:w="260" w:type="dxa"/>
            <w:vAlign w:val="bottom"/>
            <w:tcBorders>
              <w:bottom w:val="single" w:sz="8" w:color="CFF0FC"/>
            </w:tcBorders>
            <w:gridSpan w:val="2"/>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56,165</w:t>
            </w:r>
          </w:p>
        </w:tc>
        <w:tc>
          <w:tcPr>
            <w:tcW w:w="240" w:type="dxa"/>
            <w:vAlign w:val="bottom"/>
            <w:tcBorders>
              <w:bottom w:val="single" w:sz="8" w:color="CFF0FC"/>
            </w:tcBorders>
            <w:gridSpan w:val="2"/>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35,623</w:t>
            </w:r>
          </w:p>
        </w:tc>
        <w:tc>
          <w:tcPr>
            <w:tcW w:w="240" w:type="dxa"/>
            <w:vAlign w:val="bottom"/>
            <w:tcBorders>
              <w:bottom w:val="single" w:sz="8" w:color="CFF0FC"/>
            </w:tcBorders>
            <w:gridSpan w:val="2"/>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12,905</w:t>
            </w:r>
          </w:p>
        </w:tc>
        <w:tc>
          <w:tcPr>
            <w:tcW w:w="240" w:type="dxa"/>
            <w:vAlign w:val="bottom"/>
            <w:tcBorders>
              <w:bottom w:val="single" w:sz="8" w:color="CFF0FC"/>
            </w:tcBorders>
            <w:gridSpan w:val="2"/>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31,798</w:t>
            </w:r>
          </w:p>
        </w:tc>
        <w:tc>
          <w:tcPr>
            <w:tcW w:w="220" w:type="dxa"/>
            <w:vAlign w:val="bottom"/>
            <w:tcBorders>
              <w:bottom w:val="single" w:sz="8" w:color="CFF0FC"/>
            </w:tcBorders>
            <w:gridSpan w:val="2"/>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107,133</w:t>
            </w:r>
          </w:p>
        </w:tc>
        <w:tc>
          <w:tcPr>
            <w:tcW w:w="200" w:type="dxa"/>
            <w:vAlign w:val="bottom"/>
            <w:tcBorders>
              <w:bottom w:val="single" w:sz="8" w:color="CFF0FC"/>
            </w:tcBorders>
            <w:gridSpan w:val="2"/>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220" w:type="dxa"/>
            <w:vAlign w:val="bottom"/>
            <w:tcBorders>
              <w:bottom w:val="single" w:sz="8" w:color="CFF0FC"/>
            </w:tcBorders>
            <w:gridSpan w:val="2"/>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gridSpan w:val="2"/>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296,664</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SBA - PPP loans:</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13,284</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4,064</w:t>
            </w:r>
          </w:p>
        </w:tc>
        <w:tc>
          <w:tcPr>
            <w:tcW w:w="44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3"/>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SBA - PPP loans:</w:t>
            </w: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13,284</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4,064</w:t>
            </w:r>
          </w:p>
        </w:tc>
        <w:tc>
          <w:tcPr>
            <w:tcW w:w="44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3"/>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17,348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4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Commercial and</w:t>
            </w:r>
          </w:p>
        </w:tc>
        <w:tc>
          <w:tcPr>
            <w:tcW w:w="1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industrial loans:</w:t>
            </w: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117,792</w:t>
            </w:r>
          </w:p>
        </w:tc>
        <w:tc>
          <w:tcPr>
            <w:tcW w:w="44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147,378</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87,201</w:t>
            </w:r>
          </w:p>
        </w:tc>
        <w:tc>
          <w:tcPr>
            <w:tcW w:w="44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103,322</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47,588</w:t>
            </w:r>
          </w:p>
        </w:tc>
        <w:tc>
          <w:tcPr>
            <w:tcW w:w="460" w:type="dxa"/>
            <w:vAlign w:val="bottom"/>
            <w:gridSpan w:val="3"/>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94,924</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315,146</w:t>
            </w:r>
          </w:p>
        </w:tc>
        <w:tc>
          <w:tcPr>
            <w:tcW w:w="32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8,217</w:t>
            </w:r>
          </w:p>
        </w:tc>
        <w:tc>
          <w:tcPr>
            <w:tcW w:w="42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921,568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12,548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553</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4,109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9,005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40" w:type="dxa"/>
            <w:vAlign w:val="bottom"/>
            <w:shd w:val="clear" w:color="auto" w:fill="CFF0FC"/>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Total Commercial and</w:t>
            </w:r>
          </w:p>
        </w:tc>
        <w:tc>
          <w:tcPr>
            <w:tcW w:w="1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121,267</w:t>
            </w:r>
          </w:p>
        </w:tc>
        <w:tc>
          <w:tcPr>
            <w:tcW w:w="260" w:type="dxa"/>
            <w:vAlign w:val="bottom"/>
            <w:gridSpan w:val="2"/>
            <w:vMerge w:val="restart"/>
            <w:shd w:val="clear" w:color="auto" w:fill="CFF0FC"/>
          </w:tcPr>
          <w:p>
            <w:pPr>
              <w:spacing w:after="0"/>
              <w:rPr>
                <w:sz w:val="9"/>
                <w:szCs w:val="9"/>
                <w:color w:val="auto"/>
              </w:rPr>
            </w:pP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148,123</w:t>
            </w:r>
          </w:p>
        </w:tc>
        <w:tc>
          <w:tcPr>
            <w:tcW w:w="240" w:type="dxa"/>
            <w:vAlign w:val="bottom"/>
            <w:gridSpan w:val="2"/>
            <w:vMerge w:val="restart"/>
            <w:shd w:val="clear" w:color="auto" w:fill="CFF0FC"/>
          </w:tcPr>
          <w:p>
            <w:pPr>
              <w:spacing w:after="0"/>
              <w:rPr>
                <w:sz w:val="9"/>
                <w:szCs w:val="9"/>
                <w:color w:val="auto"/>
              </w:rPr>
            </w:pP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88,519</w:t>
            </w:r>
          </w:p>
        </w:tc>
        <w:tc>
          <w:tcPr>
            <w:tcW w:w="240" w:type="dxa"/>
            <w:vAlign w:val="bottom"/>
            <w:gridSpan w:val="2"/>
            <w:vMerge w:val="restart"/>
            <w:shd w:val="clear" w:color="auto" w:fill="CFF0FC"/>
          </w:tcPr>
          <w:p>
            <w:pPr>
              <w:spacing w:after="0"/>
              <w:rPr>
                <w:sz w:val="9"/>
                <w:szCs w:val="9"/>
                <w:color w:val="auto"/>
              </w:rPr>
            </w:pPr>
          </w:p>
        </w:tc>
        <w:tc>
          <w:tcPr>
            <w:tcW w:w="20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105,860</w:t>
            </w:r>
          </w:p>
        </w:tc>
        <w:tc>
          <w:tcPr>
            <w:tcW w:w="240" w:type="dxa"/>
            <w:vAlign w:val="bottom"/>
            <w:gridSpan w:val="2"/>
            <w:vMerge w:val="restart"/>
            <w:shd w:val="clear" w:color="auto" w:fill="CFF0FC"/>
          </w:tcPr>
          <w:p>
            <w:pPr>
              <w:spacing w:after="0"/>
              <w:rPr>
                <w:sz w:val="9"/>
                <w:szCs w:val="9"/>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52,183</w:t>
            </w:r>
          </w:p>
        </w:tc>
        <w:tc>
          <w:tcPr>
            <w:tcW w:w="220" w:type="dxa"/>
            <w:vAlign w:val="bottom"/>
            <w:gridSpan w:val="2"/>
            <w:vMerge w:val="restart"/>
            <w:shd w:val="clear" w:color="auto" w:fill="CFF0FC"/>
          </w:tcPr>
          <w:p>
            <w:pPr>
              <w:spacing w:after="0"/>
              <w:rPr>
                <w:sz w:val="9"/>
                <w:szCs w:val="9"/>
                <w:color w:val="auto"/>
              </w:rPr>
            </w:pPr>
          </w:p>
        </w:tc>
        <w:tc>
          <w:tcPr>
            <w:tcW w:w="240" w:type="dxa"/>
            <w:vAlign w:val="bottom"/>
            <w:vMerge w:val="restart"/>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95,247</w:t>
            </w:r>
          </w:p>
        </w:tc>
        <w:tc>
          <w:tcPr>
            <w:tcW w:w="200" w:type="dxa"/>
            <w:vAlign w:val="bottom"/>
            <w:gridSpan w:val="2"/>
            <w:vMerge w:val="restart"/>
            <w:shd w:val="clear" w:color="auto" w:fill="CFF0FC"/>
          </w:tcPr>
          <w:p>
            <w:pPr>
              <w:spacing w:after="0"/>
              <w:rPr>
                <w:sz w:val="9"/>
                <w:szCs w:val="9"/>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329,627</w:t>
            </w:r>
          </w:p>
        </w:tc>
        <w:tc>
          <w:tcPr>
            <w:tcW w:w="220" w:type="dxa"/>
            <w:vAlign w:val="bottom"/>
            <w:gridSpan w:val="2"/>
            <w:vMerge w:val="restart"/>
            <w:shd w:val="clear" w:color="auto" w:fill="CFF0FC"/>
          </w:tcPr>
          <w:p>
            <w:pPr>
              <w:spacing w:after="0"/>
              <w:rPr>
                <w:sz w:val="9"/>
                <w:szCs w:val="9"/>
                <w:color w:val="auto"/>
              </w:rPr>
            </w:pP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11,405</w:t>
            </w:r>
          </w:p>
        </w:tc>
        <w:tc>
          <w:tcPr>
            <w:tcW w:w="220" w:type="dxa"/>
            <w:vAlign w:val="bottom"/>
            <w:gridSpan w:val="2"/>
            <w:vMerge w:val="restart"/>
            <w:shd w:val="clear" w:color="auto" w:fill="CFF0FC"/>
          </w:tcPr>
          <w:p>
            <w:pPr>
              <w:spacing w:after="0"/>
              <w:rPr>
                <w:sz w:val="9"/>
                <w:szCs w:val="9"/>
                <w:color w:val="auto"/>
              </w:rPr>
            </w:pPr>
          </w:p>
        </w:tc>
        <w:tc>
          <w:tcPr>
            <w:tcW w:w="20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952,231</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industrial loans:</w:t>
            </w:r>
          </w:p>
        </w:tc>
        <w:tc>
          <w:tcPr>
            <w:tcW w:w="160" w:type="dxa"/>
            <w:vAlign w:val="bottom"/>
            <w:tcBorders>
              <w:bottom w:val="single" w:sz="8" w:color="auto"/>
            </w:tcBorders>
            <w:vMerge w:val="continue"/>
            <w:shd w:val="clear" w:color="auto" w:fill="CFF0FC"/>
          </w:tcPr>
          <w:p>
            <w:pPr>
              <w:spacing w:after="0"/>
              <w:rPr>
                <w:sz w:val="14"/>
                <w:szCs w:val="14"/>
                <w:color w:val="auto"/>
              </w:rPr>
            </w:pPr>
          </w:p>
        </w:tc>
        <w:tc>
          <w:tcPr>
            <w:tcW w:w="62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gridSpan w:val="2"/>
            <w:vMerge w:val="continue"/>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62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gridSpan w:val="2"/>
            <w:vMerge w:val="continue"/>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64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gridSpan w:val="2"/>
            <w:vMerge w:val="continue"/>
            <w:shd w:val="clear" w:color="auto" w:fill="CFF0FC"/>
          </w:tcPr>
          <w:p>
            <w:pPr>
              <w:spacing w:after="0"/>
              <w:rPr>
                <w:sz w:val="14"/>
                <w:szCs w:val="14"/>
                <w:color w:val="auto"/>
              </w:rPr>
            </w:pPr>
          </w:p>
        </w:tc>
        <w:tc>
          <w:tcPr>
            <w:tcW w:w="200" w:type="dxa"/>
            <w:vAlign w:val="bottom"/>
            <w:tcBorders>
              <w:bottom w:val="single" w:sz="8" w:color="auto"/>
            </w:tcBorders>
            <w:vMerge w:val="continue"/>
            <w:shd w:val="clear" w:color="auto" w:fill="CFF0FC"/>
          </w:tcPr>
          <w:p>
            <w:pPr>
              <w:spacing w:after="0"/>
              <w:rPr>
                <w:sz w:val="14"/>
                <w:szCs w:val="14"/>
                <w:color w:val="auto"/>
              </w:rPr>
            </w:pPr>
          </w:p>
        </w:tc>
        <w:tc>
          <w:tcPr>
            <w:tcW w:w="48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gridSpan w:val="2"/>
            <w:vMerge w:val="continue"/>
            <w:shd w:val="clear" w:color="auto" w:fill="CFF0FC"/>
          </w:tcPr>
          <w:p>
            <w:pPr>
              <w:spacing w:after="0"/>
              <w:rPr>
                <w:sz w:val="14"/>
                <w:szCs w:val="14"/>
                <w:color w:val="auto"/>
              </w:rPr>
            </w:pPr>
          </w:p>
        </w:tc>
        <w:tc>
          <w:tcPr>
            <w:tcW w:w="140" w:type="dxa"/>
            <w:vAlign w:val="bottom"/>
            <w:tcBorders>
              <w:bottom w:val="single" w:sz="8" w:color="auto"/>
            </w:tcBorders>
            <w:vMerge w:val="continue"/>
            <w:shd w:val="clear" w:color="auto" w:fill="CFF0FC"/>
          </w:tcPr>
          <w:p>
            <w:pPr>
              <w:spacing w:after="0"/>
              <w:rPr>
                <w:sz w:val="14"/>
                <w:szCs w:val="14"/>
                <w:color w:val="auto"/>
              </w:rPr>
            </w:pPr>
          </w:p>
        </w:tc>
        <w:tc>
          <w:tcPr>
            <w:tcW w:w="50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gridSpan w:val="2"/>
            <w:vMerge w:val="continue"/>
            <w:shd w:val="clear" w:color="auto" w:fill="CFF0FC"/>
          </w:tcPr>
          <w:p>
            <w:pPr>
              <w:spacing w:after="0"/>
              <w:rPr>
                <w:sz w:val="14"/>
                <w:szCs w:val="14"/>
                <w:color w:val="auto"/>
              </w:rPr>
            </w:pPr>
          </w:p>
        </w:tc>
        <w:tc>
          <w:tcPr>
            <w:tcW w:w="240" w:type="dxa"/>
            <w:vAlign w:val="bottom"/>
            <w:tcBorders>
              <w:bottom w:val="single" w:sz="8" w:color="auto"/>
            </w:tcBorders>
            <w:vMerge w:val="continue"/>
            <w:shd w:val="clear" w:color="auto" w:fill="CFF0FC"/>
          </w:tcPr>
          <w:p>
            <w:pPr>
              <w:spacing w:after="0"/>
              <w:rPr>
                <w:sz w:val="14"/>
                <w:szCs w:val="14"/>
                <w:color w:val="auto"/>
              </w:rPr>
            </w:pPr>
          </w:p>
        </w:tc>
        <w:tc>
          <w:tcPr>
            <w:tcW w:w="62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gridSpan w:val="2"/>
            <w:vMerge w:val="continue"/>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gridSpan w:val="2"/>
            <w:vMerge w:val="continue"/>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80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gridSpan w:val="2"/>
            <w:vMerge w:val="continue"/>
            <w:shd w:val="clear" w:color="auto" w:fill="CFF0FC"/>
          </w:tcPr>
          <w:p>
            <w:pPr>
              <w:spacing w:after="0"/>
              <w:rPr>
                <w:sz w:val="14"/>
                <w:szCs w:val="14"/>
                <w:color w:val="auto"/>
              </w:rPr>
            </w:pPr>
          </w:p>
        </w:tc>
        <w:tc>
          <w:tcPr>
            <w:tcW w:w="200" w:type="dxa"/>
            <w:vAlign w:val="bottom"/>
            <w:tcBorders>
              <w:bottom w:val="single" w:sz="8" w:color="auto"/>
            </w:tcBorders>
            <w:vMerge w:val="continue"/>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-3608070</wp:posOffset>
            </wp:positionV>
            <wp:extent cx="77470" cy="2146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21463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-3608070</wp:posOffset>
            </wp:positionV>
            <wp:extent cx="77470" cy="2146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21463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-3608070</wp:posOffset>
            </wp:positionV>
            <wp:extent cx="77470" cy="2146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21463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-3608070</wp:posOffset>
            </wp:positionV>
            <wp:extent cx="77470" cy="2146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21463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-3608070</wp:posOffset>
            </wp:positionV>
            <wp:extent cx="68580" cy="2146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-3608070</wp:posOffset>
            </wp:positionV>
            <wp:extent cx="68580" cy="2146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-3608070</wp:posOffset>
            </wp:positionV>
            <wp:extent cx="68580" cy="2146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-3608070</wp:posOffset>
            </wp:positionV>
            <wp:extent cx="68580" cy="2146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-3608070</wp:posOffset>
            </wp:positionV>
            <wp:extent cx="68580" cy="2146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-2879725</wp:posOffset>
            </wp:positionV>
            <wp:extent cx="77470" cy="3003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-2879725</wp:posOffset>
            </wp:positionV>
            <wp:extent cx="77470" cy="3003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-2879725</wp:posOffset>
            </wp:positionV>
            <wp:extent cx="77470" cy="3003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-2879725</wp:posOffset>
            </wp:positionV>
            <wp:extent cx="77470" cy="3003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-2879725</wp:posOffset>
            </wp:positionV>
            <wp:extent cx="68580" cy="3003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-2879725</wp:posOffset>
            </wp:positionV>
            <wp:extent cx="68580" cy="3003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-2879725</wp:posOffset>
            </wp:positionV>
            <wp:extent cx="68580" cy="3003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-2879725</wp:posOffset>
            </wp:positionV>
            <wp:extent cx="68580" cy="3003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-2879725</wp:posOffset>
            </wp:positionV>
            <wp:extent cx="68580" cy="3003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-1851025</wp:posOffset>
            </wp:positionV>
            <wp:extent cx="77470" cy="2146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21463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-1851025</wp:posOffset>
            </wp:positionV>
            <wp:extent cx="77470" cy="2146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21463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-1851025</wp:posOffset>
            </wp:positionV>
            <wp:extent cx="77470" cy="2146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21463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-1851025</wp:posOffset>
            </wp:positionV>
            <wp:extent cx="77470" cy="2146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21463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-1851025</wp:posOffset>
            </wp:positionV>
            <wp:extent cx="68580" cy="2146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-1851025</wp:posOffset>
            </wp:positionV>
            <wp:extent cx="68580" cy="2146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-1851025</wp:posOffset>
            </wp:positionV>
            <wp:extent cx="68580" cy="2146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-1851025</wp:posOffset>
            </wp:positionV>
            <wp:extent cx="68580" cy="2146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2146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-1122045</wp:posOffset>
            </wp:positionV>
            <wp:extent cx="77470" cy="2228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22288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-1122045</wp:posOffset>
            </wp:positionV>
            <wp:extent cx="77470" cy="2228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22288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-1122045</wp:posOffset>
            </wp:positionV>
            <wp:extent cx="77470" cy="2228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22288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-1122045</wp:posOffset>
            </wp:positionV>
            <wp:extent cx="77470" cy="2228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22288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-1122045</wp:posOffset>
            </wp:positionV>
            <wp:extent cx="68580" cy="2228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-1122045</wp:posOffset>
            </wp:positionV>
            <wp:extent cx="68580" cy="2228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-1122045</wp:posOffset>
            </wp:positionV>
            <wp:extent cx="68580" cy="2228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-1122045</wp:posOffset>
            </wp:positionV>
            <wp:extent cx="68580" cy="2228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2228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-7620</wp:posOffset>
            </wp:positionV>
            <wp:extent cx="77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-7620</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-7620</wp:posOffset>
            </wp:positionV>
            <wp:extent cx="77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-7620</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Revolving loans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77"/>
              <w:spacing w:after="0" w:line="122"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Origination Year</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amortized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5"/>
              </w:rPr>
              <w:t>converted to</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40" w:type="dxa"/>
            <w:vAlign w:val="bottom"/>
            <w:tcBorders>
              <w:bottom w:val="single" w:sz="8" w:color="auto"/>
            </w:tcBorders>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September 30, 2022</w:t>
            </w: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2"/>
              </w:rPr>
              <w:t>2019</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2018</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17"/>
              <w:spacing w:after="0" w:line="146" w:lineRule="exact"/>
              <w:rPr>
                <w:sz w:val="20"/>
                <w:szCs w:val="20"/>
                <w:color w:val="auto"/>
              </w:rPr>
            </w:pPr>
            <w:r>
              <w:rPr>
                <w:rFonts w:ascii="Times New Roman" w:cs="Times New Roman" w:eastAsia="Times New Roman" w:hAnsi="Times New Roman"/>
                <w:sz w:val="13"/>
                <w:szCs w:val="13"/>
                <w:b w:val="1"/>
                <w:bCs w:val="1"/>
                <w:color w:val="auto"/>
              </w:rPr>
              <w:t>cost basis</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97"/>
              <w:spacing w:after="0" w:line="146" w:lineRule="exact"/>
              <w:rPr>
                <w:sz w:val="20"/>
                <w:szCs w:val="20"/>
                <w:color w:val="auto"/>
              </w:rPr>
            </w:pPr>
            <w:r>
              <w:rPr>
                <w:rFonts w:ascii="Times New Roman" w:cs="Times New Roman" w:eastAsia="Times New Roman" w:hAnsi="Times New Roman"/>
                <w:sz w:val="13"/>
                <w:szCs w:val="13"/>
                <w:b w:val="1"/>
                <w:bCs w:val="1"/>
                <w:color w:val="auto"/>
              </w:rPr>
              <w:t>term loans</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7"/>
              <w:spacing w:after="0" w:line="146" w:lineRule="exact"/>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6"/>
          </w:tcPr>
          <w:p>
            <w:pPr>
              <w:jc w:val="right"/>
              <w:spacing w:after="0"/>
              <w:rPr>
                <w:sz w:val="20"/>
                <w:szCs w:val="20"/>
                <w:color w:val="auto"/>
              </w:rPr>
            </w:pPr>
            <w:r>
              <w:rPr>
                <w:rFonts w:ascii="Times New Roman" w:cs="Times New Roman" w:eastAsia="Times New Roman" w:hAnsi="Times New Roman"/>
                <w:sz w:val="13"/>
                <w:szCs w:val="13"/>
                <w:i w:val="1"/>
                <w:iCs w:val="1"/>
                <w:color w:val="auto"/>
                <w:w w:val="98"/>
              </w:rPr>
              <w:t>(Dollars in thousands)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4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Dairy &amp; livestock and</w:t>
            </w:r>
          </w:p>
        </w:tc>
        <w:tc>
          <w:tcPr>
            <w:tcW w:w="1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agribusiness loans:</w:t>
            </w:r>
          </w:p>
        </w:tc>
        <w:tc>
          <w:tcPr>
            <w:tcW w:w="16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4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1,869</w:t>
            </w:r>
          </w:p>
        </w:tc>
        <w:tc>
          <w:tcPr>
            <w:tcW w:w="44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6,902</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1,713</w:t>
            </w:r>
          </w:p>
        </w:tc>
        <w:tc>
          <w:tcPr>
            <w:tcW w:w="44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926</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379</w:t>
            </w:r>
          </w:p>
        </w:tc>
        <w:tc>
          <w:tcPr>
            <w:tcW w:w="460" w:type="dxa"/>
            <w:vAlign w:val="bottom"/>
            <w:gridSpan w:val="3"/>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1,254</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295,737</w:t>
            </w:r>
          </w:p>
        </w:tc>
        <w:tc>
          <w:tcPr>
            <w:tcW w:w="32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308,780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5,822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5,403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11,566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40" w:type="dxa"/>
            <w:vAlign w:val="bottom"/>
            <w:shd w:val="clear" w:color="auto" w:fill="CFF0FC"/>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Total Dairy &amp; livestock</w:t>
            </w:r>
          </w:p>
        </w:tc>
        <w:tc>
          <w:tcPr>
            <w:tcW w:w="16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040" w:type="dxa"/>
            <w:vAlign w:val="bottom"/>
            <w:shd w:val="clear" w:color="auto" w:fill="CFF0FC"/>
          </w:tcPr>
          <w:p>
            <w:pPr>
              <w:ind w:left="120"/>
              <w:spacing w:after="0" w:line="128" w:lineRule="exact"/>
              <w:rPr>
                <w:sz w:val="20"/>
                <w:szCs w:val="20"/>
                <w:color w:val="auto"/>
              </w:rPr>
            </w:pPr>
            <w:r>
              <w:rPr>
                <w:rFonts w:ascii="Times New Roman" w:cs="Times New Roman" w:eastAsia="Times New Roman" w:hAnsi="Times New Roman"/>
                <w:sz w:val="13"/>
                <w:szCs w:val="13"/>
                <w:b w:val="1"/>
                <w:bCs w:val="1"/>
                <w:color w:val="auto"/>
              </w:rPr>
              <w:t>and agribusiness</w:t>
            </w:r>
          </w:p>
        </w:tc>
        <w:tc>
          <w:tcPr>
            <w:tcW w:w="1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2,318</w:t>
            </w:r>
          </w:p>
        </w:tc>
        <w:tc>
          <w:tcPr>
            <w:tcW w:w="440" w:type="dxa"/>
            <w:vAlign w:val="bottom"/>
            <w:gridSpan w:val="3"/>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6,902</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1,713</w:t>
            </w:r>
          </w:p>
        </w:tc>
        <w:tc>
          <w:tcPr>
            <w:tcW w:w="440" w:type="dxa"/>
            <w:vAlign w:val="bottom"/>
            <w:gridSpan w:val="3"/>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926</w:t>
            </w:r>
          </w:p>
        </w:tc>
        <w:tc>
          <w:tcPr>
            <w:tcW w:w="38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569</w:t>
            </w:r>
          </w:p>
        </w:tc>
        <w:tc>
          <w:tcPr>
            <w:tcW w:w="460" w:type="dxa"/>
            <w:vAlign w:val="bottom"/>
            <w:gridSpan w:val="3"/>
            <w:vMerge w:val="restart"/>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1,466</w:t>
            </w:r>
          </w:p>
        </w:tc>
        <w:tc>
          <w:tcPr>
            <w:tcW w:w="3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302,856</w:t>
            </w:r>
          </w:p>
        </w:tc>
        <w:tc>
          <w:tcPr>
            <w:tcW w:w="320" w:type="dxa"/>
            <w:vAlign w:val="bottom"/>
            <w:gridSpan w:val="3"/>
            <w:vMerge w:val="restart"/>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6,355</w:t>
            </w:r>
          </w:p>
        </w:tc>
        <w:tc>
          <w:tcPr>
            <w:tcW w:w="420" w:type="dxa"/>
            <w:vAlign w:val="bottom"/>
            <w:gridSpan w:val="3"/>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323,105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60" w:type="dxa"/>
            <w:vAlign w:val="bottom"/>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440" w:type="dxa"/>
            <w:vAlign w:val="bottom"/>
            <w:gridSpan w:val="3"/>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420" w:type="dxa"/>
            <w:vAlign w:val="bottom"/>
            <w:gridSpan w:val="3"/>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440" w:type="dxa"/>
            <w:vAlign w:val="bottom"/>
            <w:gridSpan w:val="3"/>
            <w:vMerge w:val="continue"/>
            <w:shd w:val="clear" w:color="auto" w:fill="CFF0FC"/>
          </w:tcPr>
          <w:p>
            <w:pPr>
              <w:spacing w:after="0"/>
              <w:rPr>
                <w:sz w:val="14"/>
                <w:szCs w:val="14"/>
                <w:color w:val="auto"/>
              </w:rPr>
            </w:pPr>
          </w:p>
        </w:tc>
        <w:tc>
          <w:tcPr>
            <w:tcW w:w="48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460" w:type="dxa"/>
            <w:vAlign w:val="bottom"/>
            <w:gridSpan w:val="3"/>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320" w:type="dxa"/>
            <w:vAlign w:val="bottom"/>
            <w:gridSpan w:val="3"/>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320" w:type="dxa"/>
            <w:vAlign w:val="bottom"/>
            <w:gridSpan w:val="3"/>
            <w:vMerge w:val="continue"/>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420" w:type="dxa"/>
            <w:vAlign w:val="bottom"/>
            <w:gridSpan w:val="3"/>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Municipal lease finance</w:t>
            </w:r>
          </w:p>
        </w:tc>
        <w:tc>
          <w:tcPr>
            <w:tcW w:w="16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4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receivables loans:</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440" w:type="dxa"/>
            <w:vAlign w:val="bottom"/>
            <w:gridSpan w:val="3"/>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27,134</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7,029</w:t>
            </w:r>
          </w:p>
        </w:tc>
        <w:tc>
          <w:tcPr>
            <w:tcW w:w="44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4,370</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4,944</w:t>
            </w:r>
          </w:p>
        </w:tc>
        <w:tc>
          <w:tcPr>
            <w:tcW w:w="460" w:type="dxa"/>
            <w:vAlign w:val="bottom"/>
            <w:gridSpan w:val="3"/>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32,549</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76,169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40" w:type="dxa"/>
            <w:vAlign w:val="bottom"/>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Total Municipal lease</w:t>
            </w: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04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b w:val="1"/>
                <w:bCs w:val="1"/>
                <w:color w:val="auto"/>
              </w:rPr>
              <w:t>finance receivables</w:t>
            </w:r>
          </w:p>
        </w:tc>
        <w:tc>
          <w:tcPr>
            <w:tcW w:w="160" w:type="dxa"/>
            <w:vAlign w:val="bottom"/>
            <w:vMerge w:val="restart"/>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440" w:type="dxa"/>
            <w:vAlign w:val="bottom"/>
            <w:gridSpan w:val="3"/>
            <w:vMerge w:val="restart"/>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27,134</w:t>
            </w:r>
          </w:p>
        </w:tc>
        <w:tc>
          <w:tcPr>
            <w:tcW w:w="42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7,029</w:t>
            </w:r>
          </w:p>
        </w:tc>
        <w:tc>
          <w:tcPr>
            <w:tcW w:w="440" w:type="dxa"/>
            <w:vAlign w:val="bottom"/>
            <w:gridSpan w:val="3"/>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4,370</w:t>
            </w:r>
          </w:p>
        </w:tc>
        <w:tc>
          <w:tcPr>
            <w:tcW w:w="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4,944</w:t>
            </w:r>
          </w:p>
        </w:tc>
        <w:tc>
          <w:tcPr>
            <w:tcW w:w="460" w:type="dxa"/>
            <w:vAlign w:val="bottom"/>
            <w:gridSpan w:val="3"/>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33,036</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76,656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SFR mortgage loans:</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55,028</w:t>
            </w:r>
          </w:p>
        </w:tc>
        <w:tc>
          <w:tcPr>
            <w:tcW w:w="44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47,136</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46,057</w:t>
            </w:r>
          </w:p>
        </w:tc>
        <w:tc>
          <w:tcPr>
            <w:tcW w:w="44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35,651</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16,842</w:t>
            </w:r>
          </w:p>
        </w:tc>
        <w:tc>
          <w:tcPr>
            <w:tcW w:w="460" w:type="dxa"/>
            <w:vAlign w:val="bottom"/>
            <w:gridSpan w:val="3"/>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60,579</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261,293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40" w:type="dxa"/>
            <w:vAlign w:val="bottom"/>
            <w:shd w:val="clear" w:color="auto" w:fill="CFF0FC"/>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Total SFR mortgage</w:t>
            </w:r>
          </w:p>
        </w:tc>
        <w:tc>
          <w:tcPr>
            <w:tcW w:w="1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55,028</w:t>
            </w:r>
          </w:p>
        </w:tc>
        <w:tc>
          <w:tcPr>
            <w:tcW w:w="440" w:type="dxa"/>
            <w:vAlign w:val="bottom"/>
            <w:gridSpan w:val="3"/>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47,136</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47,005</w:t>
            </w:r>
          </w:p>
        </w:tc>
        <w:tc>
          <w:tcPr>
            <w:tcW w:w="440" w:type="dxa"/>
            <w:vAlign w:val="bottom"/>
            <w:gridSpan w:val="3"/>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35,651</w:t>
            </w:r>
          </w:p>
        </w:tc>
        <w:tc>
          <w:tcPr>
            <w:tcW w:w="38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16,842</w:t>
            </w:r>
          </w:p>
        </w:tc>
        <w:tc>
          <w:tcPr>
            <w:tcW w:w="460" w:type="dxa"/>
            <w:vAlign w:val="bottom"/>
            <w:gridSpan w:val="3"/>
            <w:vMerge w:val="restart"/>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61,594</w:t>
            </w:r>
          </w:p>
        </w:tc>
        <w:tc>
          <w:tcPr>
            <w:tcW w:w="3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vMerge w:val="restart"/>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420" w:type="dxa"/>
            <w:vAlign w:val="bottom"/>
            <w:gridSpan w:val="3"/>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263,646</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60" w:type="dxa"/>
            <w:vAlign w:val="bottom"/>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440" w:type="dxa"/>
            <w:vAlign w:val="bottom"/>
            <w:gridSpan w:val="3"/>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420" w:type="dxa"/>
            <w:vAlign w:val="bottom"/>
            <w:gridSpan w:val="3"/>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440" w:type="dxa"/>
            <w:vAlign w:val="bottom"/>
            <w:gridSpan w:val="3"/>
            <w:vMerge w:val="continue"/>
            <w:shd w:val="clear" w:color="auto" w:fill="CFF0FC"/>
          </w:tcPr>
          <w:p>
            <w:pPr>
              <w:spacing w:after="0"/>
              <w:rPr>
                <w:sz w:val="14"/>
                <w:szCs w:val="14"/>
                <w:color w:val="auto"/>
              </w:rPr>
            </w:pPr>
          </w:p>
        </w:tc>
        <w:tc>
          <w:tcPr>
            <w:tcW w:w="48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460" w:type="dxa"/>
            <w:vAlign w:val="bottom"/>
            <w:gridSpan w:val="3"/>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320" w:type="dxa"/>
            <w:vAlign w:val="bottom"/>
            <w:gridSpan w:val="3"/>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320" w:type="dxa"/>
            <w:vAlign w:val="bottom"/>
            <w:gridSpan w:val="3"/>
            <w:vMerge w:val="continue"/>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420" w:type="dxa"/>
            <w:vAlign w:val="bottom"/>
            <w:gridSpan w:val="3"/>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Consumer and other</w:t>
            </w:r>
          </w:p>
        </w:tc>
        <w:tc>
          <w:tcPr>
            <w:tcW w:w="16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4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7,944</w:t>
            </w:r>
          </w:p>
        </w:tc>
        <w:tc>
          <w:tcPr>
            <w:tcW w:w="440" w:type="dxa"/>
            <w:vAlign w:val="bottom"/>
            <w:gridSpan w:val="3"/>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3,946</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1,437</w:t>
            </w:r>
          </w:p>
        </w:tc>
        <w:tc>
          <w:tcPr>
            <w:tcW w:w="44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1,079</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460" w:type="dxa"/>
            <w:vAlign w:val="bottom"/>
            <w:gridSpan w:val="3"/>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1,340</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61,699</w:t>
            </w:r>
          </w:p>
        </w:tc>
        <w:tc>
          <w:tcPr>
            <w:tcW w:w="32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2,929</w:t>
            </w:r>
          </w:p>
        </w:tc>
        <w:tc>
          <w:tcPr>
            <w:tcW w:w="42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80,531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40" w:type="dxa"/>
            <w:vAlign w:val="bottom"/>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Total Consumer and</w:t>
            </w:r>
          </w:p>
        </w:tc>
        <w:tc>
          <w:tcPr>
            <w:tcW w:w="160" w:type="dxa"/>
            <w:vAlign w:val="bottom"/>
            <w:vMerge w:val="restart"/>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7,944</w:t>
            </w:r>
          </w:p>
        </w:tc>
        <w:tc>
          <w:tcPr>
            <w:tcW w:w="440" w:type="dxa"/>
            <w:vAlign w:val="bottom"/>
            <w:gridSpan w:val="3"/>
            <w:vMerge w:val="restart"/>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4,577</w:t>
            </w:r>
          </w:p>
        </w:tc>
        <w:tc>
          <w:tcPr>
            <w:tcW w:w="42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1,437</w:t>
            </w:r>
          </w:p>
        </w:tc>
        <w:tc>
          <w:tcPr>
            <w:tcW w:w="440" w:type="dxa"/>
            <w:vAlign w:val="bottom"/>
            <w:gridSpan w:val="3"/>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1,079</w:t>
            </w:r>
          </w:p>
        </w:tc>
        <w:tc>
          <w:tcPr>
            <w:tcW w:w="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460" w:type="dxa"/>
            <w:vAlign w:val="bottom"/>
            <w:gridSpan w:val="3"/>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1,354</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62,295</w:t>
            </w:r>
          </w:p>
        </w:tc>
        <w:tc>
          <w:tcPr>
            <w:tcW w:w="3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3,903</w:t>
            </w:r>
          </w:p>
        </w:tc>
        <w:tc>
          <w:tcPr>
            <w:tcW w:w="420" w:type="dxa"/>
            <w:vAlign w:val="bottom"/>
            <w:gridSpan w:val="3"/>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82,746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other loans:</w:t>
            </w:r>
          </w:p>
        </w:tc>
        <w:tc>
          <w:tcPr>
            <w:tcW w:w="1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1,289,741</w:t>
            </w:r>
          </w:p>
        </w:tc>
        <w:tc>
          <w:tcPr>
            <w:tcW w:w="44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1,534,684</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1,169,824</w:t>
            </w:r>
          </w:p>
        </w:tc>
        <w:tc>
          <w:tcPr>
            <w:tcW w:w="44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738,760</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622,524</w:t>
            </w:r>
          </w:p>
        </w:tc>
        <w:tc>
          <w:tcPr>
            <w:tcW w:w="460" w:type="dxa"/>
            <w:vAlign w:val="bottom"/>
            <w:gridSpan w:val="3"/>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2,254,339</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868,295</w:t>
            </w:r>
          </w:p>
        </w:tc>
        <w:tc>
          <w:tcPr>
            <w:tcW w:w="32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51,107</w:t>
            </w:r>
          </w:p>
        </w:tc>
        <w:tc>
          <w:tcPr>
            <w:tcW w:w="42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8,529,274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12,442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23,215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30,954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79,788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15,754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181,211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3,521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16,585</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4,905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21,798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7,760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8,100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63,651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1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1,294,170</w:t>
            </w:r>
          </w:p>
        </w:tc>
        <w:tc>
          <w:tcPr>
            <w:tcW w:w="260" w:type="dxa"/>
            <w:vAlign w:val="bottom"/>
            <w:tcBorders>
              <w:bottom w:val="single" w:sz="8" w:color="CFF0FC"/>
            </w:tcBorders>
            <w:gridSpan w:val="2"/>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1,550,647</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1,198,231</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762,957</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658,383</w:t>
            </w:r>
          </w:p>
        </w:tc>
        <w:tc>
          <w:tcPr>
            <w:tcW w:w="220" w:type="dxa"/>
            <w:vAlign w:val="bottom"/>
            <w:tcBorders>
              <w:bottom w:val="single" w:sz="8" w:color="CFF0FC"/>
            </w:tcBorders>
            <w:gridSpan w:val="2"/>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2,355,925</w:t>
            </w:r>
          </w:p>
        </w:tc>
        <w:tc>
          <w:tcPr>
            <w:tcW w:w="200" w:type="dxa"/>
            <w:vAlign w:val="bottom"/>
            <w:tcBorders>
              <w:bottom w:val="single" w:sz="8" w:color="CFF0FC"/>
            </w:tcBorders>
            <w:gridSpan w:val="2"/>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891,809</w:t>
            </w:r>
          </w:p>
        </w:tc>
        <w:tc>
          <w:tcPr>
            <w:tcW w:w="220" w:type="dxa"/>
            <w:vAlign w:val="bottom"/>
            <w:tcBorders>
              <w:bottom w:val="single" w:sz="8" w:color="CFF0FC"/>
            </w:tcBorders>
            <w:gridSpan w:val="2"/>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62,014</w:t>
            </w:r>
          </w:p>
        </w:tc>
        <w:tc>
          <w:tcPr>
            <w:tcW w:w="220" w:type="dxa"/>
            <w:vAlign w:val="bottom"/>
            <w:tcBorders>
              <w:bottom w:val="single" w:sz="8" w:color="CFF0FC"/>
            </w:tcBorders>
            <w:gridSpan w:val="2"/>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8,774,136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-3865245</wp:posOffset>
            </wp:positionV>
            <wp:extent cx="77470" cy="3003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-3865245</wp:posOffset>
            </wp:positionV>
            <wp:extent cx="77470" cy="3003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-3865245</wp:posOffset>
            </wp:positionV>
            <wp:extent cx="77470" cy="3003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-3865245</wp:posOffset>
            </wp:positionV>
            <wp:extent cx="77470" cy="3003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-3865245</wp:posOffset>
            </wp:positionV>
            <wp:extent cx="68580" cy="3003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-3865245</wp:posOffset>
            </wp:positionV>
            <wp:extent cx="68580" cy="3003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-3865245</wp:posOffset>
            </wp:positionV>
            <wp:extent cx="68580" cy="3003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-3865245</wp:posOffset>
            </wp:positionV>
            <wp:extent cx="68580" cy="3003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-3865245</wp:posOffset>
            </wp:positionV>
            <wp:extent cx="68580" cy="3003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-3051175</wp:posOffset>
            </wp:positionV>
            <wp:extent cx="77470" cy="3771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37719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-3051175</wp:posOffset>
            </wp:positionV>
            <wp:extent cx="77470" cy="3771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3771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-3051175</wp:posOffset>
            </wp:positionV>
            <wp:extent cx="77470" cy="3771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3771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-3051175</wp:posOffset>
            </wp:positionV>
            <wp:extent cx="77470" cy="3771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3771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-3051175</wp:posOffset>
            </wp:positionV>
            <wp:extent cx="68580" cy="3771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3771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-3051175</wp:posOffset>
            </wp:positionV>
            <wp:extent cx="68580" cy="3771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3771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-3051175</wp:posOffset>
            </wp:positionV>
            <wp:extent cx="68580" cy="3771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3771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-3051175</wp:posOffset>
            </wp:positionV>
            <wp:extent cx="68580" cy="3771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3771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3771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37719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-1868170</wp:posOffset>
            </wp:positionV>
            <wp:extent cx="77470" cy="3003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-1868170</wp:posOffset>
            </wp:positionV>
            <wp:extent cx="77470" cy="3003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-1868170</wp:posOffset>
            </wp:positionV>
            <wp:extent cx="77470" cy="3003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-1868170</wp:posOffset>
            </wp:positionV>
            <wp:extent cx="77470" cy="3003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-1868170</wp:posOffset>
            </wp:positionV>
            <wp:extent cx="68580" cy="3003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-1868170</wp:posOffset>
            </wp:positionV>
            <wp:extent cx="68580" cy="3003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-1868170</wp:posOffset>
            </wp:positionV>
            <wp:extent cx="68580" cy="3003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-1868170</wp:posOffset>
            </wp:positionV>
            <wp:extent cx="68580" cy="3003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3003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-1053465</wp:posOffset>
            </wp:positionV>
            <wp:extent cx="77470" cy="3003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-1053465</wp:posOffset>
            </wp:positionV>
            <wp:extent cx="77470" cy="3003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-1053465</wp:posOffset>
            </wp:positionV>
            <wp:extent cx="77470" cy="3003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-1053465</wp:posOffset>
            </wp:positionV>
            <wp:extent cx="77470" cy="3003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-1053465</wp:posOffset>
            </wp:positionV>
            <wp:extent cx="68580" cy="3003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-1053465</wp:posOffset>
            </wp:positionV>
            <wp:extent cx="68580" cy="3003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-1053465</wp:posOffset>
            </wp:positionV>
            <wp:extent cx="68580" cy="3003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-1053465</wp:posOffset>
            </wp:positionV>
            <wp:extent cx="68580" cy="3003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3003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-24765</wp:posOffset>
            </wp:positionV>
            <wp:extent cx="774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-7620</wp:posOffset>
            </wp:positionV>
            <wp:extent cx="774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-24765</wp:posOffset>
            </wp:positionV>
            <wp:extent cx="774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-7620</wp:posOffset>
            </wp:positionV>
            <wp:extent cx="774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-24765</wp:posOffset>
            </wp:positionV>
            <wp:extent cx="774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-7620</wp:posOffset>
            </wp:positionV>
            <wp:extent cx="774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-24765</wp:posOffset>
            </wp:positionV>
            <wp:extent cx="774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-7620</wp:posOffset>
            </wp:positionV>
            <wp:extent cx="77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-24765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49"/>
        </w:trPr>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Revolving loans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97"/>
              <w:spacing w:after="0" w:line="122"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5"/>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Origination Year</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amortized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5"/>
              </w:rPr>
              <w:t>converted to</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80" w:type="dxa"/>
            <w:vAlign w:val="bottom"/>
            <w:tcBorders>
              <w:bottom w:val="single" w:sz="8" w:color="auto"/>
            </w:tcBorders>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December 31, 2021</w:t>
            </w: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2018</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2017</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w w:val="94"/>
              </w:rPr>
              <w:t>Prior</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37"/>
              <w:spacing w:after="0" w:line="146" w:lineRule="exact"/>
              <w:rPr>
                <w:sz w:val="20"/>
                <w:szCs w:val="20"/>
                <w:color w:val="auto"/>
              </w:rPr>
            </w:pPr>
            <w:r>
              <w:rPr>
                <w:rFonts w:ascii="Times New Roman" w:cs="Times New Roman" w:eastAsia="Times New Roman" w:hAnsi="Times New Roman"/>
                <w:sz w:val="13"/>
                <w:szCs w:val="13"/>
                <w:b w:val="1"/>
                <w:bCs w:val="1"/>
                <w:color w:val="auto"/>
                <w:w w:val="95"/>
              </w:rPr>
              <w:t>cost basis</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17"/>
              <w:spacing w:after="0" w:line="146" w:lineRule="exact"/>
              <w:rPr>
                <w:sz w:val="20"/>
                <w:szCs w:val="20"/>
                <w:color w:val="auto"/>
              </w:rPr>
            </w:pPr>
            <w:r>
              <w:rPr>
                <w:rFonts w:ascii="Times New Roman" w:cs="Times New Roman" w:eastAsia="Times New Roman" w:hAnsi="Times New Roman"/>
                <w:sz w:val="13"/>
                <w:szCs w:val="13"/>
                <w:b w:val="1"/>
                <w:bCs w:val="1"/>
                <w:color w:val="auto"/>
              </w:rPr>
              <w:t>term loans</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7"/>
              <w:spacing w:after="0" w:line="146" w:lineRule="exact"/>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3"/>
          </w:tcPr>
          <w:p>
            <w:pPr>
              <w:jc w:val="right"/>
              <w:ind w:right="77"/>
              <w:spacing w:after="0"/>
              <w:rPr>
                <w:sz w:val="20"/>
                <w:szCs w:val="20"/>
                <w:color w:val="auto"/>
              </w:rPr>
            </w:pPr>
            <w:r>
              <w:rPr>
                <w:rFonts w:ascii="Times New Roman" w:cs="Times New Roman" w:eastAsia="Times New Roman" w:hAnsi="Times New Roman"/>
                <w:sz w:val="13"/>
                <w:szCs w:val="13"/>
                <w:i w:val="1"/>
                <w:iCs w:val="1"/>
                <w:color w:val="auto"/>
              </w:rPr>
              <w:t>(Dollars in</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3"/>
                <w:szCs w:val="13"/>
                <w:i w:val="1"/>
                <w:iCs w:val="1"/>
                <w:color w:val="auto"/>
                <w:w w:val="77"/>
              </w:rPr>
              <w:t>thousands)</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8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Commercial real estate</w:t>
            </w:r>
          </w:p>
        </w:tc>
        <w:tc>
          <w:tcPr>
            <w:tcW w:w="1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6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1,137,714</w:t>
            </w:r>
          </w:p>
        </w:tc>
        <w:tc>
          <w:tcPr>
            <w:tcW w:w="44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963,697</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591,202</w:t>
            </w:r>
          </w:p>
        </w:tc>
        <w:tc>
          <w:tcPr>
            <w:tcW w:w="40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534,468</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484,721</w:t>
            </w:r>
          </w:p>
        </w:tc>
        <w:tc>
          <w:tcPr>
            <w:tcW w:w="48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1,704,267</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156,841</w:t>
            </w:r>
          </w:p>
        </w:tc>
        <w:tc>
          <w:tcPr>
            <w:tcW w:w="32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33,564</w:t>
            </w:r>
          </w:p>
        </w:tc>
        <w:tc>
          <w:tcPr>
            <w:tcW w:w="40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5,606,474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20,640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14,477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16,097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44,045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6,970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155,424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2,859</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6,933</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4,646</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7,329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5,951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27,832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80" w:type="dxa"/>
            <w:vAlign w:val="bottom"/>
            <w:shd w:val="clear" w:color="auto" w:fill="CFF0FC"/>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Total Commercial real</w:t>
            </w: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1,140,847</w:t>
            </w:r>
          </w:p>
        </w:tc>
        <w:tc>
          <w:tcPr>
            <w:tcW w:w="440" w:type="dxa"/>
            <w:vAlign w:val="bottom"/>
            <w:gridSpan w:val="3"/>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984,337</w:t>
            </w:r>
          </w:p>
        </w:tc>
        <w:tc>
          <w:tcPr>
            <w:tcW w:w="38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608,538</w:t>
            </w:r>
          </w:p>
        </w:tc>
        <w:tc>
          <w:tcPr>
            <w:tcW w:w="400" w:type="dxa"/>
            <w:vAlign w:val="bottom"/>
            <w:gridSpan w:val="3"/>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557,498</w:t>
            </w:r>
          </w:p>
        </w:tc>
        <w:tc>
          <w:tcPr>
            <w:tcW w:w="38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532,629</w:t>
            </w:r>
          </w:p>
        </w:tc>
        <w:tc>
          <w:tcPr>
            <w:tcW w:w="480" w:type="dxa"/>
            <w:vAlign w:val="bottom"/>
            <w:gridSpan w:val="3"/>
            <w:vMerge w:val="restart"/>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1,755,641</w:t>
            </w:r>
          </w:p>
        </w:tc>
        <w:tc>
          <w:tcPr>
            <w:tcW w:w="3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169,762</w:t>
            </w:r>
          </w:p>
        </w:tc>
        <w:tc>
          <w:tcPr>
            <w:tcW w:w="320" w:type="dxa"/>
            <w:vAlign w:val="bottom"/>
            <w:gridSpan w:val="3"/>
            <w:vMerge w:val="restart"/>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40,478</w:t>
            </w:r>
          </w:p>
        </w:tc>
        <w:tc>
          <w:tcPr>
            <w:tcW w:w="400" w:type="dxa"/>
            <w:vAlign w:val="bottom"/>
            <w:gridSpan w:val="3"/>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5,789,730</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estate loans:</w:t>
            </w:r>
          </w:p>
        </w:tc>
        <w:tc>
          <w:tcPr>
            <w:tcW w:w="160" w:type="dxa"/>
            <w:vAlign w:val="bottom"/>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440" w:type="dxa"/>
            <w:vAlign w:val="bottom"/>
            <w:gridSpan w:val="3"/>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400" w:type="dxa"/>
            <w:vAlign w:val="bottom"/>
            <w:gridSpan w:val="3"/>
            <w:vMerge w:val="continue"/>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480" w:type="dxa"/>
            <w:vAlign w:val="bottom"/>
            <w:gridSpan w:val="3"/>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320" w:type="dxa"/>
            <w:vAlign w:val="bottom"/>
            <w:gridSpan w:val="3"/>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320" w:type="dxa"/>
            <w:vAlign w:val="bottom"/>
            <w:gridSpan w:val="3"/>
            <w:vMerge w:val="continue"/>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400" w:type="dxa"/>
            <w:vAlign w:val="bottom"/>
            <w:gridSpan w:val="3"/>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20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Construction loans:</w:t>
            </w: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10,511</w:t>
            </w:r>
          </w:p>
        </w:tc>
        <w:tc>
          <w:tcPr>
            <w:tcW w:w="440" w:type="dxa"/>
            <w:vAlign w:val="bottom"/>
            <w:gridSpan w:val="3"/>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15,896</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7,236</w:t>
            </w:r>
          </w:p>
        </w:tc>
        <w:tc>
          <w:tcPr>
            <w:tcW w:w="400" w:type="dxa"/>
            <w:vAlign w:val="bottom"/>
            <w:gridSpan w:val="3"/>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25,262</w:t>
            </w:r>
          </w:p>
        </w:tc>
        <w:tc>
          <w:tcPr>
            <w:tcW w:w="32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3,359</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3,359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80" w:type="dxa"/>
            <w:vAlign w:val="bottom"/>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Total Construction</w:t>
            </w:r>
          </w:p>
        </w:tc>
        <w:tc>
          <w:tcPr>
            <w:tcW w:w="1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10,511</w:t>
            </w:r>
          </w:p>
        </w:tc>
        <w:tc>
          <w:tcPr>
            <w:tcW w:w="440" w:type="dxa"/>
            <w:vAlign w:val="bottom"/>
            <w:gridSpan w:val="3"/>
            <w:vMerge w:val="restart"/>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15,896</w:t>
            </w:r>
          </w:p>
        </w:tc>
        <w:tc>
          <w:tcPr>
            <w:tcW w:w="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7,236</w:t>
            </w:r>
          </w:p>
        </w:tc>
        <w:tc>
          <w:tcPr>
            <w:tcW w:w="400" w:type="dxa"/>
            <w:vAlign w:val="bottom"/>
            <w:gridSpan w:val="3"/>
            <w:vMerge w:val="restart"/>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3,359</w:t>
            </w:r>
          </w:p>
        </w:tc>
        <w:tc>
          <w:tcPr>
            <w:tcW w:w="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3"/>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25,262</w:t>
            </w:r>
          </w:p>
        </w:tc>
        <w:tc>
          <w:tcPr>
            <w:tcW w:w="3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62,264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SBA loans:</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70,929</w:t>
            </w:r>
          </w:p>
        </w:tc>
        <w:tc>
          <w:tcPr>
            <w:tcW w:w="44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36,468</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11,129</w:t>
            </w:r>
          </w:p>
        </w:tc>
        <w:tc>
          <w:tcPr>
            <w:tcW w:w="40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36,068</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38,504</w:t>
            </w:r>
          </w:p>
        </w:tc>
        <w:tc>
          <w:tcPr>
            <w:tcW w:w="48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78,527</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271,625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785</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4,092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5,342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10,219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SBA loans:</w:t>
            </w:r>
          </w:p>
        </w:tc>
        <w:tc>
          <w:tcPr>
            <w:tcW w:w="16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70,929</w:t>
            </w:r>
          </w:p>
        </w:tc>
        <w:tc>
          <w:tcPr>
            <w:tcW w:w="260" w:type="dxa"/>
            <w:vAlign w:val="bottom"/>
            <w:tcBorders>
              <w:bottom w:val="single" w:sz="8" w:color="CFF0FC"/>
            </w:tcBorders>
            <w:gridSpan w:val="2"/>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36,468</w:t>
            </w:r>
          </w:p>
        </w:tc>
        <w:tc>
          <w:tcPr>
            <w:tcW w:w="240" w:type="dxa"/>
            <w:vAlign w:val="bottom"/>
            <w:tcBorders>
              <w:bottom w:val="single" w:sz="8" w:color="CFF0FC"/>
            </w:tcBorders>
            <w:gridSpan w:val="2"/>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11,129</w:t>
            </w:r>
          </w:p>
        </w:tc>
        <w:tc>
          <w:tcPr>
            <w:tcW w:w="260" w:type="dxa"/>
            <w:vAlign w:val="bottom"/>
            <w:tcBorders>
              <w:bottom w:val="single" w:sz="8" w:color="CFF0FC"/>
            </w:tcBorders>
            <w:gridSpan w:val="2"/>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36,853</w:t>
            </w:r>
          </w:p>
        </w:tc>
        <w:tc>
          <w:tcPr>
            <w:tcW w:w="240" w:type="dxa"/>
            <w:vAlign w:val="bottom"/>
            <w:tcBorders>
              <w:bottom w:val="single" w:sz="8" w:color="CFF0FC"/>
            </w:tcBorders>
            <w:gridSpan w:val="2"/>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46,652</w:t>
            </w:r>
          </w:p>
        </w:tc>
        <w:tc>
          <w:tcPr>
            <w:tcW w:w="220" w:type="dxa"/>
            <w:vAlign w:val="bottom"/>
            <w:tcBorders>
              <w:bottom w:val="single" w:sz="8" w:color="CFF0FC"/>
            </w:tcBorders>
            <w:gridSpan w:val="2"/>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86,569</w:t>
            </w:r>
          </w:p>
        </w:tc>
        <w:tc>
          <w:tcPr>
            <w:tcW w:w="220" w:type="dxa"/>
            <w:vAlign w:val="bottom"/>
            <w:tcBorders>
              <w:bottom w:val="single" w:sz="8" w:color="CFF0FC"/>
            </w:tcBorders>
            <w:gridSpan w:val="2"/>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gridSpan w:val="2"/>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gridSpan w:val="2"/>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288,600</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SBA - PPP loans:</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183,614</w:t>
            </w:r>
          </w:p>
        </w:tc>
        <w:tc>
          <w:tcPr>
            <w:tcW w:w="440" w:type="dxa"/>
            <w:vAlign w:val="bottom"/>
            <w:gridSpan w:val="3"/>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2,969</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186,583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SBA - PPP loans:</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183,614</w:t>
            </w:r>
          </w:p>
        </w:tc>
        <w:tc>
          <w:tcPr>
            <w:tcW w:w="440" w:type="dxa"/>
            <w:vAlign w:val="bottom"/>
            <w:gridSpan w:val="3"/>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2,971</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186,585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8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Commercial and</w:t>
            </w:r>
          </w:p>
        </w:tc>
        <w:tc>
          <w:tcPr>
            <w:tcW w:w="1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industrial loans:</w:t>
            </w:r>
          </w:p>
        </w:tc>
        <w:tc>
          <w:tcPr>
            <w:tcW w:w="16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145,494</w:t>
            </w:r>
          </w:p>
        </w:tc>
        <w:tc>
          <w:tcPr>
            <w:tcW w:w="44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81,944</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126,647</w:t>
            </w:r>
          </w:p>
        </w:tc>
        <w:tc>
          <w:tcPr>
            <w:tcW w:w="40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54,690</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32,455</w:t>
            </w:r>
          </w:p>
        </w:tc>
        <w:tc>
          <w:tcPr>
            <w:tcW w:w="48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73,600</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267,659</w:t>
            </w:r>
          </w:p>
        </w:tc>
        <w:tc>
          <w:tcPr>
            <w:tcW w:w="32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6,992</w:t>
            </w:r>
          </w:p>
        </w:tc>
        <w:tc>
          <w:tcPr>
            <w:tcW w:w="40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789,481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602</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1,991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3,073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8,608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80" w:type="dxa"/>
            <w:vAlign w:val="bottom"/>
            <w:shd w:val="clear" w:color="auto" w:fill="CFF0FC"/>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Total Commercial and</w:t>
            </w: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147,294</w:t>
            </w:r>
          </w:p>
        </w:tc>
        <w:tc>
          <w:tcPr>
            <w:tcW w:w="260" w:type="dxa"/>
            <w:vAlign w:val="bottom"/>
            <w:gridSpan w:val="2"/>
            <w:vMerge w:val="restart"/>
            <w:shd w:val="clear" w:color="auto" w:fill="CFF0FC"/>
          </w:tcPr>
          <w:p>
            <w:pPr>
              <w:spacing w:after="0"/>
              <w:rPr>
                <w:sz w:val="8"/>
                <w:szCs w:val="8"/>
                <w:color w:val="auto"/>
              </w:rPr>
            </w:pP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83,879</w:t>
            </w:r>
          </w:p>
        </w:tc>
        <w:tc>
          <w:tcPr>
            <w:tcW w:w="240" w:type="dxa"/>
            <w:vAlign w:val="bottom"/>
            <w:gridSpan w:val="2"/>
            <w:vMerge w:val="restart"/>
            <w:shd w:val="clear" w:color="auto" w:fill="CFF0FC"/>
          </w:tcPr>
          <w:p>
            <w:pPr>
              <w:spacing w:after="0"/>
              <w:rPr>
                <w:sz w:val="8"/>
                <w:szCs w:val="8"/>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127,376</w:t>
            </w:r>
          </w:p>
        </w:tc>
        <w:tc>
          <w:tcPr>
            <w:tcW w:w="260" w:type="dxa"/>
            <w:vAlign w:val="bottom"/>
            <w:gridSpan w:val="2"/>
            <w:vMerge w:val="restart"/>
            <w:shd w:val="clear" w:color="auto" w:fill="CFF0FC"/>
          </w:tcPr>
          <w:p>
            <w:pPr>
              <w:spacing w:after="0"/>
              <w:rPr>
                <w:sz w:val="8"/>
                <w:szCs w:val="8"/>
                <w:color w:val="auto"/>
              </w:rPr>
            </w:pPr>
          </w:p>
        </w:tc>
        <w:tc>
          <w:tcPr>
            <w:tcW w:w="14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57,798</w:t>
            </w:r>
          </w:p>
        </w:tc>
        <w:tc>
          <w:tcPr>
            <w:tcW w:w="240" w:type="dxa"/>
            <w:vAlign w:val="bottom"/>
            <w:gridSpan w:val="2"/>
            <w:vMerge w:val="restart"/>
            <w:shd w:val="clear" w:color="auto" w:fill="CFF0FC"/>
          </w:tcPr>
          <w:p>
            <w:pPr>
              <w:spacing w:after="0"/>
              <w:rPr>
                <w:sz w:val="8"/>
                <w:szCs w:val="8"/>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33,354</w:t>
            </w:r>
          </w:p>
        </w:tc>
        <w:tc>
          <w:tcPr>
            <w:tcW w:w="220" w:type="dxa"/>
            <w:vAlign w:val="bottom"/>
            <w:gridSpan w:val="2"/>
            <w:vMerge w:val="restart"/>
            <w:shd w:val="clear" w:color="auto" w:fill="CFF0FC"/>
          </w:tcPr>
          <w:p>
            <w:pPr>
              <w:spacing w:after="0"/>
              <w:rPr>
                <w:sz w:val="8"/>
                <w:szCs w:val="8"/>
                <w:color w:val="auto"/>
              </w:rPr>
            </w:pPr>
          </w:p>
        </w:tc>
        <w:tc>
          <w:tcPr>
            <w:tcW w:w="260" w:type="dxa"/>
            <w:vAlign w:val="bottom"/>
            <w:vMerge w:val="restart"/>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74,101</w:t>
            </w:r>
          </w:p>
        </w:tc>
        <w:tc>
          <w:tcPr>
            <w:tcW w:w="220" w:type="dxa"/>
            <w:vAlign w:val="bottom"/>
            <w:gridSpan w:val="2"/>
            <w:vMerge w:val="restart"/>
            <w:shd w:val="clear" w:color="auto" w:fill="CFF0FC"/>
          </w:tcPr>
          <w:p>
            <w:pPr>
              <w:spacing w:after="0"/>
              <w:rPr>
                <w:sz w:val="8"/>
                <w:szCs w:val="8"/>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279,019</w:t>
            </w:r>
          </w:p>
        </w:tc>
        <w:tc>
          <w:tcPr>
            <w:tcW w:w="220" w:type="dxa"/>
            <w:vAlign w:val="bottom"/>
            <w:gridSpan w:val="2"/>
            <w:vMerge w:val="restart"/>
            <w:shd w:val="clear" w:color="auto" w:fill="CFF0FC"/>
          </w:tcPr>
          <w:p>
            <w:pPr>
              <w:spacing w:after="0"/>
              <w:rPr>
                <w:sz w:val="8"/>
                <w:szCs w:val="8"/>
                <w:color w:val="auto"/>
              </w:rPr>
            </w:pP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10,242</w:t>
            </w:r>
          </w:p>
        </w:tc>
        <w:tc>
          <w:tcPr>
            <w:tcW w:w="200" w:type="dxa"/>
            <w:vAlign w:val="bottom"/>
            <w:gridSpan w:val="2"/>
            <w:vMerge w:val="restart"/>
            <w:shd w:val="clear" w:color="auto" w:fill="CFF0FC"/>
          </w:tcPr>
          <w:p>
            <w:pPr>
              <w:spacing w:after="0"/>
              <w:rPr>
                <w:sz w:val="8"/>
                <w:szCs w:val="8"/>
                <w:color w:val="auto"/>
              </w:rPr>
            </w:pPr>
          </w:p>
        </w:tc>
        <w:tc>
          <w:tcPr>
            <w:tcW w:w="20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813,063</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industrial loans:</w:t>
            </w:r>
          </w:p>
        </w:tc>
        <w:tc>
          <w:tcPr>
            <w:tcW w:w="160" w:type="dxa"/>
            <w:vAlign w:val="bottom"/>
            <w:tcBorders>
              <w:bottom w:val="single" w:sz="8" w:color="auto"/>
            </w:tcBorders>
            <w:vMerge w:val="continue"/>
            <w:shd w:val="clear" w:color="auto" w:fill="CFF0FC"/>
          </w:tcPr>
          <w:p>
            <w:pPr>
              <w:spacing w:after="0"/>
              <w:rPr>
                <w:sz w:val="14"/>
                <w:szCs w:val="14"/>
                <w:color w:val="auto"/>
              </w:rPr>
            </w:pPr>
          </w:p>
        </w:tc>
        <w:tc>
          <w:tcPr>
            <w:tcW w:w="62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gridSpan w:val="2"/>
            <w:vMerge w:val="continue"/>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64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gridSpan w:val="2"/>
            <w:vMerge w:val="continue"/>
            <w:shd w:val="clear" w:color="auto" w:fill="CFF0FC"/>
          </w:tcPr>
          <w:p>
            <w:pPr>
              <w:spacing w:after="0"/>
              <w:rPr>
                <w:sz w:val="14"/>
                <w:szCs w:val="14"/>
                <w:color w:val="auto"/>
              </w:rPr>
            </w:pPr>
          </w:p>
        </w:tc>
        <w:tc>
          <w:tcPr>
            <w:tcW w:w="140" w:type="dxa"/>
            <w:vAlign w:val="bottom"/>
            <w:tcBorders>
              <w:bottom w:val="single" w:sz="8" w:color="auto"/>
            </w:tcBorders>
            <w:vMerge w:val="continue"/>
            <w:shd w:val="clear" w:color="auto" w:fill="CFF0FC"/>
          </w:tcPr>
          <w:p>
            <w:pPr>
              <w:spacing w:after="0"/>
              <w:rPr>
                <w:sz w:val="14"/>
                <w:szCs w:val="14"/>
                <w:color w:val="auto"/>
              </w:rPr>
            </w:pPr>
          </w:p>
        </w:tc>
        <w:tc>
          <w:tcPr>
            <w:tcW w:w="54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gridSpan w:val="2"/>
            <w:vMerge w:val="continue"/>
            <w:shd w:val="clear" w:color="auto" w:fill="CFF0FC"/>
          </w:tcPr>
          <w:p>
            <w:pPr>
              <w:spacing w:after="0"/>
              <w:rPr>
                <w:sz w:val="14"/>
                <w:szCs w:val="14"/>
                <w:color w:val="auto"/>
              </w:rPr>
            </w:pPr>
          </w:p>
        </w:tc>
        <w:tc>
          <w:tcPr>
            <w:tcW w:w="140" w:type="dxa"/>
            <w:vAlign w:val="bottom"/>
            <w:tcBorders>
              <w:bottom w:val="single" w:sz="8" w:color="auto"/>
            </w:tcBorders>
            <w:vMerge w:val="continue"/>
            <w:shd w:val="clear" w:color="auto" w:fill="CFF0FC"/>
          </w:tcPr>
          <w:p>
            <w:pPr>
              <w:spacing w:after="0"/>
              <w:rPr>
                <w:sz w:val="14"/>
                <w:szCs w:val="14"/>
                <w:color w:val="auto"/>
              </w:rPr>
            </w:pPr>
          </w:p>
        </w:tc>
        <w:tc>
          <w:tcPr>
            <w:tcW w:w="54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gridSpan w:val="2"/>
            <w:vMerge w:val="continue"/>
            <w:shd w:val="clear" w:color="auto" w:fill="CFF0FC"/>
          </w:tcPr>
          <w:p>
            <w:pPr>
              <w:spacing w:after="0"/>
              <w:rPr>
                <w:sz w:val="14"/>
                <w:szCs w:val="14"/>
                <w:color w:val="auto"/>
              </w:rPr>
            </w:pPr>
          </w:p>
        </w:tc>
        <w:tc>
          <w:tcPr>
            <w:tcW w:w="140" w:type="dxa"/>
            <w:vAlign w:val="bottom"/>
            <w:tcBorders>
              <w:bottom w:val="single" w:sz="8" w:color="auto"/>
            </w:tcBorders>
            <w:vMerge w:val="continue"/>
            <w:shd w:val="clear" w:color="auto" w:fill="CFF0FC"/>
          </w:tcPr>
          <w:p>
            <w:pPr>
              <w:spacing w:after="0"/>
              <w:rPr>
                <w:sz w:val="14"/>
                <w:szCs w:val="14"/>
                <w:color w:val="auto"/>
              </w:rPr>
            </w:pPr>
          </w:p>
        </w:tc>
        <w:tc>
          <w:tcPr>
            <w:tcW w:w="54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gridSpan w:val="2"/>
            <w:vMerge w:val="continue"/>
            <w:shd w:val="clear" w:color="auto" w:fill="CFF0FC"/>
          </w:tcPr>
          <w:p>
            <w:pPr>
              <w:spacing w:after="0"/>
              <w:rPr>
                <w:sz w:val="14"/>
                <w:szCs w:val="14"/>
                <w:color w:val="auto"/>
              </w:rPr>
            </w:pPr>
          </w:p>
        </w:tc>
        <w:tc>
          <w:tcPr>
            <w:tcW w:w="260" w:type="dxa"/>
            <w:vAlign w:val="bottom"/>
            <w:tcBorders>
              <w:bottom w:val="single" w:sz="8" w:color="auto"/>
            </w:tcBorders>
            <w:vMerge w:val="continue"/>
            <w:shd w:val="clear" w:color="auto" w:fill="CFF0FC"/>
          </w:tcPr>
          <w:p>
            <w:pPr>
              <w:spacing w:after="0"/>
              <w:rPr>
                <w:sz w:val="14"/>
                <w:szCs w:val="14"/>
                <w:color w:val="auto"/>
              </w:rPr>
            </w:pPr>
          </w:p>
        </w:tc>
        <w:tc>
          <w:tcPr>
            <w:tcW w:w="60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gridSpan w:val="2"/>
            <w:vMerge w:val="continue"/>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gridSpan w:val="2"/>
            <w:vMerge w:val="continue"/>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gridSpan w:val="2"/>
            <w:vMerge w:val="continue"/>
            <w:shd w:val="clear" w:color="auto" w:fill="CFF0FC"/>
          </w:tcPr>
          <w:p>
            <w:pPr>
              <w:spacing w:after="0"/>
              <w:rPr>
                <w:sz w:val="14"/>
                <w:szCs w:val="14"/>
                <w:color w:val="auto"/>
              </w:rPr>
            </w:pPr>
          </w:p>
        </w:tc>
        <w:tc>
          <w:tcPr>
            <w:tcW w:w="200" w:type="dxa"/>
            <w:vAlign w:val="bottom"/>
            <w:tcBorders>
              <w:bottom w:val="single" w:sz="8" w:color="auto"/>
            </w:tcBorders>
            <w:vMerge w:val="continue"/>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-3608070</wp:posOffset>
            </wp:positionV>
            <wp:extent cx="76835" cy="2146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21463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-3608070</wp:posOffset>
            </wp:positionV>
            <wp:extent cx="76835" cy="2146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21463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-3608070</wp:posOffset>
            </wp:positionV>
            <wp:extent cx="77470" cy="2146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21463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-3608070</wp:posOffset>
            </wp:positionV>
            <wp:extent cx="76835" cy="2146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835" cy="21463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-3608070</wp:posOffset>
            </wp:positionV>
            <wp:extent cx="68580" cy="2146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-3608070</wp:posOffset>
            </wp:positionV>
            <wp:extent cx="68580" cy="2146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-3608070</wp:posOffset>
            </wp:positionV>
            <wp:extent cx="68580" cy="2146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-3608070</wp:posOffset>
            </wp:positionV>
            <wp:extent cx="68580" cy="2146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-3608070</wp:posOffset>
            </wp:positionV>
            <wp:extent cx="68580" cy="2146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-2879725</wp:posOffset>
            </wp:positionV>
            <wp:extent cx="76835" cy="3003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-2879725</wp:posOffset>
            </wp:positionV>
            <wp:extent cx="76835" cy="3003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-2879725</wp:posOffset>
            </wp:positionV>
            <wp:extent cx="77470" cy="3003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-2879725</wp:posOffset>
            </wp:positionV>
            <wp:extent cx="76835" cy="3003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-2879725</wp:posOffset>
            </wp:positionV>
            <wp:extent cx="68580" cy="3003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-2879725</wp:posOffset>
            </wp:positionV>
            <wp:extent cx="68580" cy="3003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-2879725</wp:posOffset>
            </wp:positionV>
            <wp:extent cx="68580" cy="3003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-2879725</wp:posOffset>
            </wp:positionV>
            <wp:extent cx="68580" cy="3003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-2879725</wp:posOffset>
            </wp:positionV>
            <wp:extent cx="68580" cy="3003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-1851025</wp:posOffset>
            </wp:positionV>
            <wp:extent cx="76835" cy="2146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21463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-1851025</wp:posOffset>
            </wp:positionV>
            <wp:extent cx="76835" cy="2146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21463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-1851025</wp:posOffset>
            </wp:positionV>
            <wp:extent cx="77470" cy="2146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470" cy="21463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-1851025</wp:posOffset>
            </wp:positionV>
            <wp:extent cx="76835" cy="2146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835" cy="21463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-1851025</wp:posOffset>
            </wp:positionV>
            <wp:extent cx="68580" cy="2146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-1851025</wp:posOffset>
            </wp:positionV>
            <wp:extent cx="68580" cy="2146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-1851025</wp:posOffset>
            </wp:positionV>
            <wp:extent cx="68580" cy="2146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-1851025</wp:posOffset>
            </wp:positionV>
            <wp:extent cx="68580" cy="2146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2146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-1122045</wp:posOffset>
            </wp:positionV>
            <wp:extent cx="76835" cy="2228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-1122045</wp:posOffset>
            </wp:positionV>
            <wp:extent cx="76835" cy="2228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-1122045</wp:posOffset>
            </wp:positionV>
            <wp:extent cx="77470" cy="2228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470" cy="22288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-1122045</wp:posOffset>
            </wp:positionV>
            <wp:extent cx="76835" cy="2228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-1122045</wp:posOffset>
            </wp:positionV>
            <wp:extent cx="68580" cy="2228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-1122045</wp:posOffset>
            </wp:positionV>
            <wp:extent cx="68580" cy="2228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-1122045</wp:posOffset>
            </wp:positionV>
            <wp:extent cx="68580" cy="2228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-1122045</wp:posOffset>
            </wp:positionV>
            <wp:extent cx="68580" cy="2228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2228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-7620</wp:posOffset>
            </wp:positionV>
            <wp:extent cx="768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-7620</wp:posOffset>
            </wp:positionV>
            <wp:extent cx="768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-7620</wp:posOffset>
            </wp:positionV>
            <wp:extent cx="774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-7620</wp:posOffset>
            </wp:positionV>
            <wp:extent cx="768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49"/>
        </w:trPr>
        <w:tc>
          <w:tcPr>
            <w:tcW w:w="2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Revolving loans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97"/>
              <w:spacing w:after="0" w:line="122"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5"/>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Origination Year</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amortized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5"/>
              </w:rPr>
              <w:t>converted to</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80" w:type="dxa"/>
            <w:vAlign w:val="bottom"/>
            <w:tcBorders>
              <w:bottom w:val="single" w:sz="8" w:color="auto"/>
            </w:tcBorders>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December 31, 2021</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2018</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2017</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w w:val="94"/>
              </w:rPr>
              <w:t>Prior</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37"/>
              <w:spacing w:after="0" w:line="146" w:lineRule="exact"/>
              <w:rPr>
                <w:sz w:val="20"/>
                <w:szCs w:val="20"/>
                <w:color w:val="auto"/>
              </w:rPr>
            </w:pPr>
            <w:r>
              <w:rPr>
                <w:rFonts w:ascii="Times New Roman" w:cs="Times New Roman" w:eastAsia="Times New Roman" w:hAnsi="Times New Roman"/>
                <w:sz w:val="13"/>
                <w:szCs w:val="13"/>
                <w:b w:val="1"/>
                <w:bCs w:val="1"/>
                <w:color w:val="auto"/>
                <w:w w:val="95"/>
              </w:rPr>
              <w:t>cost basis</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17"/>
              <w:spacing w:after="0" w:line="146" w:lineRule="exact"/>
              <w:rPr>
                <w:sz w:val="20"/>
                <w:szCs w:val="20"/>
                <w:color w:val="auto"/>
              </w:rPr>
            </w:pPr>
            <w:r>
              <w:rPr>
                <w:rFonts w:ascii="Times New Roman" w:cs="Times New Roman" w:eastAsia="Times New Roman" w:hAnsi="Times New Roman"/>
                <w:sz w:val="13"/>
                <w:szCs w:val="13"/>
                <w:b w:val="1"/>
                <w:bCs w:val="1"/>
                <w:color w:val="auto"/>
              </w:rPr>
              <w:t>term loans</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7"/>
              <w:spacing w:after="0" w:line="146" w:lineRule="exact"/>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right"/>
              <w:ind w:right="77"/>
              <w:spacing w:after="0"/>
              <w:rPr>
                <w:sz w:val="20"/>
                <w:szCs w:val="20"/>
                <w:color w:val="auto"/>
              </w:rPr>
            </w:pPr>
            <w:r>
              <w:rPr>
                <w:rFonts w:ascii="Times New Roman" w:cs="Times New Roman" w:eastAsia="Times New Roman" w:hAnsi="Times New Roman"/>
                <w:sz w:val="13"/>
                <w:szCs w:val="13"/>
                <w:i w:val="1"/>
                <w:iCs w:val="1"/>
                <w:color w:val="auto"/>
              </w:rPr>
              <w:t>(Dollars in</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3"/>
                <w:szCs w:val="13"/>
                <w:i w:val="1"/>
                <w:iCs w:val="1"/>
                <w:color w:val="auto"/>
                <w:w w:val="77"/>
              </w:rPr>
              <w:t>thousands)</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8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Dairy &amp; livestock and</w:t>
            </w:r>
          </w:p>
        </w:tc>
        <w:tc>
          <w:tcPr>
            <w:tcW w:w="1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agribusiness loans:</w:t>
            </w:r>
          </w:p>
        </w:tc>
        <w:tc>
          <w:tcPr>
            <w:tcW w:w="18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5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1,756</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942</w:t>
            </w:r>
          </w:p>
        </w:tc>
        <w:tc>
          <w:tcPr>
            <w:tcW w:w="40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1,285</w:t>
            </w:r>
          </w:p>
        </w:tc>
        <w:tc>
          <w:tcPr>
            <w:tcW w:w="400" w:type="dxa"/>
            <w:vAlign w:val="bottom"/>
            <w:gridSpan w:val="3"/>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1,035</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48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364,312</w:t>
            </w:r>
          </w:p>
        </w:tc>
        <w:tc>
          <w:tcPr>
            <w:tcW w:w="32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454</w:t>
            </w:r>
          </w:p>
        </w:tc>
        <w:tc>
          <w:tcPr>
            <w:tcW w:w="40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370,174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6,676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80" w:type="dxa"/>
            <w:vAlign w:val="bottom"/>
            <w:shd w:val="clear" w:color="auto" w:fill="CFF0FC"/>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Total Dairy &amp; livestock</w:t>
            </w:r>
          </w:p>
        </w:tc>
        <w:tc>
          <w:tcPr>
            <w:tcW w:w="18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080" w:type="dxa"/>
            <w:vAlign w:val="bottom"/>
            <w:shd w:val="clear" w:color="auto" w:fill="CFF0FC"/>
          </w:tcPr>
          <w:p>
            <w:pPr>
              <w:ind w:left="120"/>
              <w:spacing w:after="0" w:line="128" w:lineRule="exact"/>
              <w:rPr>
                <w:sz w:val="20"/>
                <w:szCs w:val="20"/>
                <w:color w:val="auto"/>
              </w:rPr>
            </w:pPr>
            <w:r>
              <w:rPr>
                <w:rFonts w:ascii="Times New Roman" w:cs="Times New Roman" w:eastAsia="Times New Roman" w:hAnsi="Times New Roman"/>
                <w:sz w:val="13"/>
                <w:szCs w:val="13"/>
                <w:b w:val="1"/>
                <w:bCs w:val="1"/>
                <w:color w:val="auto"/>
              </w:rPr>
              <w:t>and agribusiness</w:t>
            </w: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2,808</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942</w:t>
            </w:r>
          </w:p>
        </w:tc>
        <w:tc>
          <w:tcPr>
            <w:tcW w:w="400" w:type="dxa"/>
            <w:vAlign w:val="bottom"/>
            <w:gridSpan w:val="3"/>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1,285</w:t>
            </w:r>
          </w:p>
        </w:tc>
        <w:tc>
          <w:tcPr>
            <w:tcW w:w="400" w:type="dxa"/>
            <w:vAlign w:val="bottom"/>
            <w:gridSpan w:val="3"/>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1,072</w:t>
            </w:r>
          </w:p>
        </w:tc>
        <w:tc>
          <w:tcPr>
            <w:tcW w:w="38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480" w:type="dxa"/>
            <w:vAlign w:val="bottom"/>
            <w:gridSpan w:val="3"/>
            <w:vMerge w:val="restart"/>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3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371,291</w:t>
            </w:r>
          </w:p>
        </w:tc>
        <w:tc>
          <w:tcPr>
            <w:tcW w:w="320" w:type="dxa"/>
            <w:vAlign w:val="bottom"/>
            <w:gridSpan w:val="3"/>
            <w:vMerge w:val="restart"/>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8,431</w:t>
            </w:r>
          </w:p>
        </w:tc>
        <w:tc>
          <w:tcPr>
            <w:tcW w:w="400" w:type="dxa"/>
            <w:vAlign w:val="bottom"/>
            <w:gridSpan w:val="3"/>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386,219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420" w:type="dxa"/>
            <w:vAlign w:val="bottom"/>
            <w:gridSpan w:val="3"/>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400" w:type="dxa"/>
            <w:vAlign w:val="bottom"/>
            <w:gridSpan w:val="3"/>
            <w:vMerge w:val="continue"/>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400" w:type="dxa"/>
            <w:vAlign w:val="bottom"/>
            <w:gridSpan w:val="3"/>
            <w:vMerge w:val="continue"/>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480" w:type="dxa"/>
            <w:vAlign w:val="bottom"/>
            <w:gridSpan w:val="3"/>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320" w:type="dxa"/>
            <w:vAlign w:val="bottom"/>
            <w:gridSpan w:val="3"/>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320" w:type="dxa"/>
            <w:vAlign w:val="bottom"/>
            <w:gridSpan w:val="3"/>
            <w:vMerge w:val="continue"/>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400" w:type="dxa"/>
            <w:vAlign w:val="bottom"/>
            <w:gridSpan w:val="3"/>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Municipal lease finance</w:t>
            </w:r>
          </w:p>
        </w:tc>
        <w:tc>
          <w:tcPr>
            <w:tcW w:w="18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4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20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receivables loans: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9,310</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7,666</w:t>
            </w:r>
          </w:p>
        </w:tc>
        <w:tc>
          <w:tcPr>
            <w:tcW w:w="400" w:type="dxa"/>
            <w:vAlign w:val="bottom"/>
            <w:gridSpan w:val="3"/>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9,528</w:t>
            </w:r>
          </w:p>
        </w:tc>
        <w:tc>
          <w:tcPr>
            <w:tcW w:w="48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18,811</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80" w:type="dxa"/>
            <w:vAlign w:val="bottom"/>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Total Municipal lease</w:t>
            </w: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08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b w:val="1"/>
                <w:bCs w:val="1"/>
                <w:color w:val="auto"/>
              </w:rPr>
              <w:t>finance receivables</w:t>
            </w:r>
          </w:p>
        </w:tc>
        <w:tc>
          <w:tcPr>
            <w:tcW w:w="1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9,310</w:t>
            </w:r>
          </w:p>
        </w:tc>
        <w:tc>
          <w:tcPr>
            <w:tcW w:w="42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7,666</w:t>
            </w:r>
          </w:p>
        </w:tc>
        <w:tc>
          <w:tcPr>
            <w:tcW w:w="400" w:type="dxa"/>
            <w:vAlign w:val="bottom"/>
            <w:gridSpan w:val="3"/>
            <w:vMerge w:val="restart"/>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9,528</w:t>
            </w:r>
          </w:p>
        </w:tc>
        <w:tc>
          <w:tcPr>
            <w:tcW w:w="480" w:type="dxa"/>
            <w:vAlign w:val="bottom"/>
            <w:gridSpan w:val="3"/>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19,150</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45,933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SFR mortgage loans:</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48,813</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49,261</w:t>
            </w:r>
          </w:p>
        </w:tc>
        <w:tc>
          <w:tcPr>
            <w:tcW w:w="40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41,776</w:t>
            </w:r>
          </w:p>
        </w:tc>
        <w:tc>
          <w:tcPr>
            <w:tcW w:w="400" w:type="dxa"/>
            <w:vAlign w:val="bottom"/>
            <w:gridSpan w:val="3"/>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19,877</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16,046</w:t>
            </w:r>
          </w:p>
        </w:tc>
        <w:tc>
          <w:tcPr>
            <w:tcW w:w="48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61,965</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451</w:t>
            </w:r>
          </w:p>
        </w:tc>
        <w:tc>
          <w:tcPr>
            <w:tcW w:w="32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238,189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2,052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2,457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80" w:type="dxa"/>
            <w:vAlign w:val="bottom"/>
            <w:shd w:val="clear" w:color="auto" w:fill="CFF0FC"/>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Total SFR mortgage</w:t>
            </w: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48,821</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49,261</w:t>
            </w:r>
          </w:p>
        </w:tc>
        <w:tc>
          <w:tcPr>
            <w:tcW w:w="400" w:type="dxa"/>
            <w:vAlign w:val="bottom"/>
            <w:gridSpan w:val="3"/>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41,776</w:t>
            </w:r>
          </w:p>
        </w:tc>
        <w:tc>
          <w:tcPr>
            <w:tcW w:w="400" w:type="dxa"/>
            <w:vAlign w:val="bottom"/>
            <w:gridSpan w:val="3"/>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19,877</w:t>
            </w:r>
          </w:p>
        </w:tc>
        <w:tc>
          <w:tcPr>
            <w:tcW w:w="38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16,046</w:t>
            </w:r>
          </w:p>
        </w:tc>
        <w:tc>
          <w:tcPr>
            <w:tcW w:w="480" w:type="dxa"/>
            <w:vAlign w:val="bottom"/>
            <w:gridSpan w:val="3"/>
            <w:vMerge w:val="restart"/>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64,017</w:t>
            </w:r>
          </w:p>
        </w:tc>
        <w:tc>
          <w:tcPr>
            <w:tcW w:w="3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451</w:t>
            </w:r>
          </w:p>
        </w:tc>
        <w:tc>
          <w:tcPr>
            <w:tcW w:w="320" w:type="dxa"/>
            <w:vAlign w:val="bottom"/>
            <w:gridSpan w:val="3"/>
            <w:vMerge w:val="restart"/>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400" w:type="dxa"/>
            <w:vAlign w:val="bottom"/>
            <w:gridSpan w:val="3"/>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240,654</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420" w:type="dxa"/>
            <w:vAlign w:val="bottom"/>
            <w:gridSpan w:val="3"/>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400" w:type="dxa"/>
            <w:vAlign w:val="bottom"/>
            <w:gridSpan w:val="3"/>
            <w:vMerge w:val="continue"/>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400" w:type="dxa"/>
            <w:vAlign w:val="bottom"/>
            <w:gridSpan w:val="3"/>
            <w:vMerge w:val="continue"/>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480" w:type="dxa"/>
            <w:vAlign w:val="bottom"/>
            <w:gridSpan w:val="3"/>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320" w:type="dxa"/>
            <w:vAlign w:val="bottom"/>
            <w:gridSpan w:val="3"/>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320" w:type="dxa"/>
            <w:vAlign w:val="bottom"/>
            <w:gridSpan w:val="3"/>
            <w:vMerge w:val="continue"/>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400" w:type="dxa"/>
            <w:vAlign w:val="bottom"/>
            <w:gridSpan w:val="3"/>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Consumer and other</w:t>
            </w:r>
          </w:p>
        </w:tc>
        <w:tc>
          <w:tcPr>
            <w:tcW w:w="18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4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20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5,145</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1,947</w:t>
            </w:r>
          </w:p>
        </w:tc>
        <w:tc>
          <w:tcPr>
            <w:tcW w:w="400" w:type="dxa"/>
            <w:vAlign w:val="bottom"/>
            <w:gridSpan w:val="3"/>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1,415</w:t>
            </w:r>
          </w:p>
        </w:tc>
        <w:tc>
          <w:tcPr>
            <w:tcW w:w="40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w:t>
            </w:r>
          </w:p>
        </w:tc>
        <w:tc>
          <w:tcPr>
            <w:tcW w:w="48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1,611</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58,060</w:t>
            </w:r>
          </w:p>
        </w:tc>
        <w:tc>
          <w:tcPr>
            <w:tcW w:w="32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3,378</w:t>
            </w:r>
          </w:p>
        </w:tc>
        <w:tc>
          <w:tcPr>
            <w:tcW w:w="40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839</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80" w:type="dxa"/>
            <w:vAlign w:val="bottom"/>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Total Consumer and</w:t>
            </w:r>
          </w:p>
        </w:tc>
        <w:tc>
          <w:tcPr>
            <w:tcW w:w="1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5,984</w:t>
            </w:r>
          </w:p>
        </w:tc>
        <w:tc>
          <w:tcPr>
            <w:tcW w:w="42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1,947</w:t>
            </w:r>
          </w:p>
        </w:tc>
        <w:tc>
          <w:tcPr>
            <w:tcW w:w="400" w:type="dxa"/>
            <w:vAlign w:val="bottom"/>
            <w:gridSpan w:val="3"/>
            <w:vMerge w:val="restart"/>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1,415</w:t>
            </w:r>
          </w:p>
        </w:tc>
        <w:tc>
          <w:tcPr>
            <w:tcW w:w="400" w:type="dxa"/>
            <w:vAlign w:val="bottom"/>
            <w:gridSpan w:val="3"/>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469</w:t>
            </w:r>
          </w:p>
        </w:tc>
        <w:tc>
          <w:tcPr>
            <w:tcW w:w="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386</w:t>
            </w:r>
          </w:p>
        </w:tc>
        <w:tc>
          <w:tcPr>
            <w:tcW w:w="480" w:type="dxa"/>
            <w:vAlign w:val="bottom"/>
            <w:gridSpan w:val="3"/>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1,776</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58,656</w:t>
            </w:r>
          </w:p>
        </w:tc>
        <w:tc>
          <w:tcPr>
            <w:tcW w:w="3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4,032</w:t>
            </w:r>
          </w:p>
        </w:tc>
        <w:tc>
          <w:tcPr>
            <w:tcW w:w="400" w:type="dxa"/>
            <w:vAlign w:val="bottom"/>
            <w:gridSpan w:val="3"/>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74,665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other loans:</w:t>
            </w:r>
          </w:p>
        </w:tc>
        <w:tc>
          <w:tcPr>
            <w:tcW w:w="1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1,613,286</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1,160,790</w:t>
            </w:r>
          </w:p>
        </w:tc>
        <w:tc>
          <w:tcPr>
            <w:tcW w:w="40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780,690</w:t>
            </w:r>
          </w:p>
        </w:tc>
        <w:tc>
          <w:tcPr>
            <w:tcW w:w="400" w:type="dxa"/>
            <w:vAlign w:val="bottom"/>
            <w:gridSpan w:val="3"/>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646,886</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581,735</w:t>
            </w:r>
          </w:p>
        </w:tc>
        <w:tc>
          <w:tcPr>
            <w:tcW w:w="48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1,939,076</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872,585</w:t>
            </w:r>
          </w:p>
        </w:tc>
        <w:tc>
          <w:tcPr>
            <w:tcW w:w="32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44,388</w:t>
            </w:r>
          </w:p>
        </w:tc>
        <w:tc>
          <w:tcPr>
            <w:tcW w:w="40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7,639,436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6,588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22,569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14,604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20,852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192,175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3,461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9,467</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9,243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15,213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7,947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10,519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56,102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1,620,118</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1,183,367</w:t>
            </w:r>
          </w:p>
        </w:tc>
        <w:tc>
          <w:tcPr>
            <w:tcW w:w="260" w:type="dxa"/>
            <w:vAlign w:val="bottom"/>
            <w:tcBorders>
              <w:bottom w:val="single" w:sz="8" w:color="CFF0FC"/>
            </w:tcBorders>
            <w:gridSpan w:val="2"/>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798,755</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677,205</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638,690</w:t>
            </w:r>
          </w:p>
        </w:tc>
        <w:tc>
          <w:tcPr>
            <w:tcW w:w="220" w:type="dxa"/>
            <w:vAlign w:val="bottom"/>
            <w:tcBorders>
              <w:bottom w:val="single" w:sz="8" w:color="CFF0FC"/>
            </w:tcBorders>
            <w:gridSpan w:val="2"/>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2,001,549</w:t>
            </w:r>
          </w:p>
        </w:tc>
        <w:tc>
          <w:tcPr>
            <w:tcW w:w="220" w:type="dxa"/>
            <w:vAlign w:val="bottom"/>
            <w:tcBorders>
              <w:bottom w:val="single" w:sz="8" w:color="CFF0FC"/>
            </w:tcBorders>
            <w:gridSpan w:val="2"/>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904,441</w:t>
            </w:r>
          </w:p>
        </w:tc>
        <w:tc>
          <w:tcPr>
            <w:tcW w:w="220" w:type="dxa"/>
            <w:vAlign w:val="bottom"/>
            <w:tcBorders>
              <w:bottom w:val="single" w:sz="8" w:color="CFF0FC"/>
            </w:tcBorders>
            <w:gridSpan w:val="2"/>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63,588</w:t>
            </w:r>
          </w:p>
        </w:tc>
        <w:tc>
          <w:tcPr>
            <w:tcW w:w="200" w:type="dxa"/>
            <w:vAlign w:val="bottom"/>
            <w:tcBorders>
              <w:bottom w:val="single" w:sz="8" w:color="CFF0FC"/>
            </w:tcBorders>
            <w:gridSpan w:val="2"/>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7,887,713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-3865245</wp:posOffset>
            </wp:positionV>
            <wp:extent cx="76835" cy="3003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-3865245</wp:posOffset>
            </wp:positionV>
            <wp:extent cx="77470" cy="3003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-3865245</wp:posOffset>
            </wp:positionV>
            <wp:extent cx="76835" cy="3003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-3865245</wp:posOffset>
            </wp:positionV>
            <wp:extent cx="77470" cy="3003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-3865245</wp:posOffset>
            </wp:positionV>
            <wp:extent cx="68580" cy="3003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-3865245</wp:posOffset>
            </wp:positionV>
            <wp:extent cx="68580" cy="3003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-3865245</wp:posOffset>
            </wp:positionV>
            <wp:extent cx="68580" cy="3003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-3865245</wp:posOffset>
            </wp:positionV>
            <wp:extent cx="68580" cy="3003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-3865245</wp:posOffset>
            </wp:positionV>
            <wp:extent cx="68580" cy="3003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-3051175</wp:posOffset>
            </wp:positionV>
            <wp:extent cx="76835" cy="3771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835" cy="37719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-3051175</wp:posOffset>
            </wp:positionV>
            <wp:extent cx="77470" cy="3771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470" cy="3771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-3051175</wp:posOffset>
            </wp:positionV>
            <wp:extent cx="76835" cy="3771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835" cy="3771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-3051175</wp:posOffset>
            </wp:positionV>
            <wp:extent cx="77470" cy="3771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7470" cy="3771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-3051175</wp:posOffset>
            </wp:positionV>
            <wp:extent cx="68580" cy="3771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3771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-3051175</wp:posOffset>
            </wp:positionV>
            <wp:extent cx="68580" cy="3771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3771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-3051175</wp:posOffset>
            </wp:positionV>
            <wp:extent cx="68580" cy="3771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3771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-3051175</wp:posOffset>
            </wp:positionV>
            <wp:extent cx="68580" cy="3771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3771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3771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377190"/>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-1868170</wp:posOffset>
            </wp:positionV>
            <wp:extent cx="76835" cy="3003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-1868170</wp:posOffset>
            </wp:positionV>
            <wp:extent cx="77470" cy="3003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-1868170</wp:posOffset>
            </wp:positionV>
            <wp:extent cx="76835" cy="3003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-1868170</wp:posOffset>
            </wp:positionV>
            <wp:extent cx="77470" cy="3003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-1868170</wp:posOffset>
            </wp:positionV>
            <wp:extent cx="68580" cy="3003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-1868170</wp:posOffset>
            </wp:positionV>
            <wp:extent cx="68580" cy="3003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-1868170</wp:posOffset>
            </wp:positionV>
            <wp:extent cx="68580" cy="3003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-1868170</wp:posOffset>
            </wp:positionV>
            <wp:extent cx="68580" cy="3003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3003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-1053465</wp:posOffset>
            </wp:positionV>
            <wp:extent cx="76835" cy="3003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-1053465</wp:posOffset>
            </wp:positionV>
            <wp:extent cx="77470" cy="3003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-1053465</wp:posOffset>
            </wp:positionV>
            <wp:extent cx="76835" cy="3003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-1053465</wp:posOffset>
            </wp:positionV>
            <wp:extent cx="77470" cy="3003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-1053465</wp:posOffset>
            </wp:positionV>
            <wp:extent cx="68580" cy="3003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-1053465</wp:posOffset>
            </wp:positionV>
            <wp:extent cx="68580" cy="3003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-1053465</wp:posOffset>
            </wp:positionV>
            <wp:extent cx="68580" cy="3003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-1053465</wp:posOffset>
            </wp:positionV>
            <wp:extent cx="68580" cy="3003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3003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-24765</wp:posOffset>
            </wp:positionV>
            <wp:extent cx="768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-7620</wp:posOffset>
            </wp:positionV>
            <wp:extent cx="768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-24765</wp:posOffset>
            </wp:positionV>
            <wp:extent cx="7747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-7620</wp:posOffset>
            </wp:positionV>
            <wp:extent cx="7747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-24765</wp:posOffset>
            </wp:positionV>
            <wp:extent cx="768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-7620</wp:posOffset>
            </wp:positionV>
            <wp:extent cx="768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-24765</wp:posOffset>
            </wp:positionV>
            <wp:extent cx="7747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-7620</wp:posOffset>
            </wp:positionV>
            <wp:extent cx="7747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-24765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("ACL")</w:t>
      </w:r>
    </w:p>
    <w:p>
      <w:pPr>
        <w:spacing w:after="0" w:line="216" w:lineRule="exact"/>
        <w:rPr>
          <w:sz w:val="20"/>
          <w:szCs w:val="20"/>
          <w:color w:val="auto"/>
        </w:rPr>
      </w:pPr>
    </w:p>
    <w:p>
      <w:pPr>
        <w:ind w:right="20" w:firstLine="469"/>
        <w:spacing w:after="0"/>
        <w:rPr>
          <w:sz w:val="20"/>
          <w:szCs w:val="20"/>
          <w:color w:val="auto"/>
        </w:rPr>
      </w:pPr>
      <w:r>
        <w:rPr>
          <w:rFonts w:ascii="Times New Roman" w:cs="Times New Roman" w:eastAsia="Times New Roman" w:hAnsi="Times New Roman"/>
          <w:sz w:val="18"/>
          <w:szCs w:val="18"/>
          <w:color w:val="auto"/>
        </w:rPr>
        <w:t>Our allowance for credit losses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Our ACL amounts are largely driven by portfolio characteristics, including loss history and various risk attributes, and the economic outlook for certain macroeconomic variables. Risk attributes for commercial real estate loans include Original Loan to Value ratios ("OLTV"), origination year, loan seasoning, and macroeconomic variables that include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(excluding Paycheck Protection Program loans). The Commercial and Industrial methodology is applied over a substantial portion of the Company’s commercial and industrial loans, all dairy &amp; livestock and agribusiness loans, municipal lease receivables, as well as the remaining portion of SBA loans (excluding Paycheck Protection Program loans). The Consumer methodology is applied to SFR mortgage loans, consumer loans, as well as the remaining construction loans. In addition to determining the quantitative life of loan loss rate to be applied against the amortized cost basis of the portfolio segments, management reviews current conditions and forecasts to determine whether adjustments are needed to ensure that the life of loan loss rates reflect both the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9" w:name="page20"/>
    <w:bookmarkEnd w:id="19"/>
    <w:p>
      <w:pPr>
        <w:ind w:right="60"/>
        <w:spacing w:after="0" w:line="280" w:lineRule="auto"/>
        <w:rPr>
          <w:sz w:val="20"/>
          <w:szCs w:val="20"/>
          <w:color w:val="auto"/>
        </w:rPr>
      </w:pPr>
      <w:r>
        <w:rPr>
          <w:rFonts w:ascii="Times New Roman" w:cs="Times New Roman" w:eastAsia="Times New Roman" w:hAnsi="Times New Roman"/>
          <w:sz w:val="17"/>
          <w:szCs w:val="17"/>
          <w:color w:val="auto"/>
        </w:rPr>
        <w:t xml:space="preserve">current state of the portfolio, and expectations for macroeconomic changes. Our methodology for assessing the appropriateness of the allowance is reviewed on a regular basis and considers overall risks in the Bank’s loan portfolio. Refer to Note 3 – </w:t>
      </w:r>
      <w:r>
        <w:rPr>
          <w:rFonts w:ascii="Times New Roman" w:cs="Times New Roman" w:eastAsia="Times New Roman" w:hAnsi="Times New Roman"/>
          <w:sz w:val="17"/>
          <w:szCs w:val="17"/>
          <w:i w:val="1"/>
          <w:iCs w:val="1"/>
          <w:color w:val="auto"/>
        </w:rPr>
        <w:t>Summary of Significant Accounting Policies</w:t>
      </w:r>
      <w:r>
        <w:rPr>
          <w:rFonts w:ascii="Times New Roman" w:cs="Times New Roman" w:eastAsia="Times New Roman" w:hAnsi="Times New Roman"/>
          <w:sz w:val="17"/>
          <w:szCs w:val="17"/>
          <w:color w:val="auto"/>
        </w:rPr>
        <w:t xml:space="preserve"> included in our Annual Report on Form 10-K for the year ended December 31, 2021 for a more detailed discussion concerning the allowance for credit losses.</w:t>
      </w:r>
    </w:p>
    <w:p>
      <w:pPr>
        <w:spacing w:after="0" w:line="153" w:lineRule="exact"/>
        <w:rPr>
          <w:sz w:val="20"/>
          <w:szCs w:val="20"/>
          <w:color w:val="auto"/>
        </w:rPr>
      </w:pPr>
    </w:p>
    <w:p>
      <w:pPr>
        <w:ind w:firstLine="469"/>
        <w:spacing w:after="0" w:line="241" w:lineRule="auto"/>
        <w:rPr>
          <w:sz w:val="20"/>
          <w:szCs w:val="20"/>
          <w:color w:val="auto"/>
        </w:rPr>
      </w:pPr>
      <w:r>
        <w:rPr>
          <w:rFonts w:ascii="Times New Roman" w:cs="Times New Roman" w:eastAsia="Times New Roman" w:hAnsi="Times New Roman"/>
          <w:sz w:val="18"/>
          <w:szCs w:val="18"/>
          <w:color w:val="auto"/>
        </w:rPr>
        <w:t>The ACL totaled $82.6 million at September 30, 2022, compared to $65.0 million at December 31, 2021. As a result of the acquisition of Suncrest, we recorded a provision for credit loss of $4.9 million on January 7, 2022 to establish the ACL for the acquired loans that were not considered PCD. The ACL at January 7, 2022, also included $8.6 million for the acquired Suncrest PCD loans. The $17.6 million increase in the ACL from December 31, 2021 to September 30, 2022 is comprised of approximately $877,000 in net recoveries, the $8.6 million for the Suncrest PCD loans and an $8.1 million provision for credit losses, including the $4.9 million provision recorded to establish the ACL for the non-PCD loans acquired from Suncrest. At September 30, 2022, the ACL as a percentage of total loans and leases, at amortized cost, was 0.94%, or 0.94% of total loans when excluding the $17.3 million in PPP loans. This compares to 0.82% and 0.84% at December 31, 2021, respectively. Net recoveries were $877,000 for the nine months ended September 30, 2022, which compares to $2.8 million in net charge-offs for the same period of 2021. Our economic forecast continues to be a blend of multiple forecasts produced by Moody’s. These U.S. economic forecasts include a baseline forecast, as well as multiple downside forecasts. The baseline forecast continues to represent the largest weighting in our multi-weighted forecast scenario, with downside risks weighted among multiple forecasts. Our weighted forecast assumes GDP will increase by 0.4% in 2023, 1.6% for 2024 and then grow by 2.5% in 2025. The unemployment rate is forecasted to be 5% in 2023, 5.3% in 2024 and then decline to 5.1% in 2025.</w:t>
      </w:r>
    </w:p>
    <w:p>
      <w:pPr>
        <w:spacing w:after="0" w:line="192" w:lineRule="exact"/>
        <w:rPr>
          <w:sz w:val="20"/>
          <w:szCs w:val="20"/>
          <w:color w:val="auto"/>
        </w:rPr>
      </w:pPr>
    </w:p>
    <w:p>
      <w:pPr>
        <w:ind w:right="100" w:firstLine="469"/>
        <w:spacing w:after="0" w:line="250" w:lineRule="auto"/>
        <w:rPr>
          <w:sz w:val="20"/>
          <w:szCs w:val="20"/>
          <w:color w:val="auto"/>
        </w:rPr>
      </w:pPr>
      <w:r>
        <w:rPr>
          <w:rFonts w:ascii="Times New Roman" w:cs="Times New Roman" w:eastAsia="Times New Roman" w:hAnsi="Times New Roman"/>
          <w:sz w:val="18"/>
          <w:szCs w:val="18"/>
          <w:color w:val="auto"/>
        </w:rPr>
        <w:t>Management believes that the ACL was appropriate at September 30, 2022 and December 31, 2021. Due to inflationary pressures, rising interest rates and geopolitical events, no assurance can be given that economic conditions that adversely affect the Company’s service areas or other circumstances will not be reflected in increased provisions for credit losses in the future.</w:t>
      </w:r>
    </w:p>
    <w:p>
      <w:pPr>
        <w:spacing w:after="0" w:line="150" w:lineRule="exact"/>
        <w:rPr>
          <w:sz w:val="20"/>
          <w:szCs w:val="20"/>
          <w:color w:val="auto"/>
        </w:rPr>
      </w:pPr>
    </w:p>
    <w:p>
      <w:pPr>
        <w:ind w:right="200" w:firstLine="464"/>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balance and activity related to the allowance for credit losses for held-for-investment loans by type for the periods presented.</w:t>
      </w:r>
    </w:p>
    <w:p>
      <w:pPr>
        <w:sectPr>
          <w:pgSz w:w="11900" w:h="16838" w:orient="portrait"/>
          <w:cols w:equalWidth="0" w:num="1">
            <w:col w:w="11240"/>
          </w:cols>
          <w:pgMar w:left="320" w:top="3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Commercial real estate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Construction</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SBA</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Dairy &amp; livestock and agribusiness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Municipal lease finance receivables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SFR mortgage</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Consumer and other loans</w:t>
      </w:r>
    </w:p>
    <w:p>
      <w:pPr>
        <w:spacing w:after="0" w:line="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Total allowance for credit losses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tcPr>
          <w:p>
            <w:pPr>
              <w:jc w:val="right"/>
              <w:ind w:right="600"/>
              <w:spacing w:after="0" w:line="131" w:lineRule="exact"/>
              <w:rPr>
                <w:sz w:val="20"/>
                <w:szCs w:val="20"/>
                <w:color w:val="auto"/>
              </w:rPr>
            </w:pPr>
            <w:r>
              <w:rPr>
                <w:rFonts w:ascii="Times New Roman" w:cs="Times New Roman" w:eastAsia="Times New Roman" w:hAnsi="Times New Roman"/>
                <w:sz w:val="14"/>
                <w:szCs w:val="14"/>
                <w:b w:val="1"/>
                <w:bCs w:val="1"/>
                <w:color w:val="auto"/>
              </w:rPr>
              <w:t>Provision for</w:t>
            </w:r>
          </w:p>
        </w:tc>
        <w:tc>
          <w:tcPr>
            <w:tcW w:w="1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38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Ending Balance June</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2"/>
            <w:vMerge w:val="restart"/>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Charge-offs</w:t>
            </w:r>
          </w:p>
        </w:tc>
        <w:tc>
          <w:tcPr>
            <w:tcW w:w="80" w:type="dxa"/>
            <w:vAlign w:val="bottom"/>
          </w:tcPr>
          <w:p>
            <w:pPr>
              <w:spacing w:after="0"/>
              <w:rPr>
                <w:sz w:val="13"/>
                <w:szCs w:val="13"/>
                <w:color w:val="auto"/>
              </w:rPr>
            </w:pPr>
          </w:p>
        </w:tc>
        <w:tc>
          <w:tcPr>
            <w:tcW w:w="140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right"/>
              <w:ind w:right="540"/>
              <w:spacing w:after="0" w:line="160" w:lineRule="exact"/>
              <w:rPr>
                <w:sz w:val="20"/>
                <w:szCs w:val="20"/>
                <w:color w:val="auto"/>
              </w:rPr>
            </w:pPr>
            <w:r>
              <w:rPr>
                <w:rFonts w:ascii="Times New Roman" w:cs="Times New Roman" w:eastAsia="Times New Roman" w:hAnsi="Times New Roman"/>
                <w:sz w:val="14"/>
                <w:szCs w:val="14"/>
                <w:b w:val="1"/>
                <w:bCs w:val="1"/>
                <w:color w:val="auto"/>
              </w:rPr>
              <w:t>(Recapture of)</w:t>
            </w:r>
          </w:p>
        </w:tc>
        <w:tc>
          <w:tcPr>
            <w:tcW w:w="120" w:type="dxa"/>
            <w:vAlign w:val="bottom"/>
          </w:tcPr>
          <w:p>
            <w:pPr>
              <w:spacing w:after="0"/>
              <w:rPr>
                <w:sz w:val="13"/>
                <w:szCs w:val="13"/>
                <w:color w:val="auto"/>
              </w:rPr>
            </w:pPr>
          </w:p>
        </w:tc>
        <w:tc>
          <w:tcPr>
            <w:tcW w:w="1380" w:type="dxa"/>
            <w:vAlign w:val="bottom"/>
          </w:tcPr>
          <w:p>
            <w:pPr>
              <w:jc w:val="right"/>
              <w:ind w:right="208"/>
              <w:spacing w:after="0" w:line="160" w:lineRule="exact"/>
              <w:rPr>
                <w:sz w:val="20"/>
                <w:szCs w:val="20"/>
                <w:color w:val="auto"/>
              </w:rPr>
            </w:pPr>
            <w:r>
              <w:rPr>
                <w:rFonts w:ascii="Times New Roman" w:cs="Times New Roman" w:eastAsia="Times New Roman" w:hAnsi="Times New Roman"/>
                <w:sz w:val="14"/>
                <w:szCs w:val="14"/>
                <w:b w:val="1"/>
                <w:bCs w:val="1"/>
                <w:color w:val="auto"/>
              </w:rPr>
              <w:t>Ending Balance</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112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30, 2022</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20" w:type="dxa"/>
            <w:vAlign w:val="bottom"/>
          </w:tcPr>
          <w:p>
            <w:pPr>
              <w:spacing w:after="0"/>
              <w:rPr>
                <w:sz w:val="16"/>
                <w:szCs w:val="16"/>
                <w:color w:val="auto"/>
              </w:rPr>
            </w:pPr>
          </w:p>
        </w:tc>
        <w:tc>
          <w:tcPr>
            <w:tcW w:w="13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160"/>
        </w:trPr>
        <w:tc>
          <w:tcPr>
            <w:tcW w:w="2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8"/>
              <w:spacing w:after="0" w:line="160"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61,513</w:t>
            </w:r>
          </w:p>
        </w:tc>
        <w:tc>
          <w:tcPr>
            <w:tcW w:w="5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3,392</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64,905</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w:t>
            </w: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2,613</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7,194</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(45 )</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(16 )</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7,133</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6,832</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(2,220 )</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4,993</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85"/>
        </w:trPr>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(70 )</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69"/>
        </w:trPr>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80,222</w:t>
            </w:r>
          </w:p>
        </w:tc>
        <w:tc>
          <w:tcPr>
            <w:tcW w:w="2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26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82,601</w:t>
            </w: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-1036320</wp:posOffset>
            </wp:positionV>
            <wp:extent cx="7132320" cy="1117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-814070</wp:posOffset>
            </wp:positionV>
            <wp:extent cx="7132320" cy="1117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-590550</wp:posOffset>
            </wp:positionV>
            <wp:extent cx="7132320" cy="11112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-367665</wp:posOffset>
            </wp:positionV>
            <wp:extent cx="7132320" cy="11112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-136525</wp:posOffset>
            </wp:positionV>
            <wp:extent cx="7132320" cy="13716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p>
      <w:pPr>
        <w:spacing w:after="0" w:line="26" w:lineRule="exact"/>
        <w:rPr>
          <w:sz w:val="20"/>
          <w:szCs w:val="20"/>
          <w:color w:val="auto"/>
        </w:rPr>
      </w:pPr>
    </w:p>
    <w:p>
      <w:pPr>
        <w:sectPr>
          <w:pgSz w:w="11900" w:h="16838" w:orient="portrait"/>
          <w:cols w:equalWidth="0" w:num="2">
            <w:col w:w="2080" w:space="700"/>
            <w:col w:w="8460"/>
          </w:cols>
          <w:pgMar w:left="320" w:top="324" w:right="339" w:bottom="144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27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gridSpan w:val="2"/>
          </w:tcPr>
          <w:p>
            <w:pPr>
              <w:jc w:val="center"/>
              <w:ind w:right="288"/>
              <w:spacing w:after="0" w:line="131" w:lineRule="exact"/>
              <w:rPr>
                <w:sz w:val="20"/>
                <w:szCs w:val="20"/>
                <w:color w:val="auto"/>
              </w:rPr>
            </w:pPr>
            <w:r>
              <w:rPr>
                <w:rFonts w:ascii="Times New Roman" w:cs="Times New Roman" w:eastAsia="Times New Roman" w:hAnsi="Times New Roman"/>
                <w:sz w:val="14"/>
                <w:szCs w:val="14"/>
                <w:b w:val="1"/>
                <w:bCs w:val="1"/>
                <w:color w:val="auto"/>
              </w:rPr>
              <w:t>(Recapture of)</w:t>
            </w:r>
          </w:p>
        </w:tc>
        <w:tc>
          <w:tcPr>
            <w:tcW w:w="1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 June</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vMerge w:val="restart"/>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Charge-offs</w:t>
            </w:r>
          </w:p>
        </w:tc>
        <w:tc>
          <w:tcPr>
            <w:tcW w:w="100" w:type="dxa"/>
            <w:vAlign w:val="bottom"/>
          </w:tcPr>
          <w:p>
            <w:pPr>
              <w:spacing w:after="0"/>
              <w:rPr>
                <w:sz w:val="14"/>
                <w:szCs w:val="14"/>
                <w:color w:val="auto"/>
              </w:rPr>
            </w:pPr>
          </w:p>
        </w:tc>
        <w:tc>
          <w:tcPr>
            <w:tcW w:w="146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Provision for Credit</w:t>
            </w:r>
          </w:p>
        </w:tc>
        <w:tc>
          <w:tcPr>
            <w:tcW w:w="12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30, 2021</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2"/>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13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7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Commercial real estate</w:t>
            </w:r>
          </w:p>
        </w:tc>
        <w:tc>
          <w:tcPr>
            <w:tcW w:w="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55,200</w:t>
            </w:r>
          </w:p>
        </w:tc>
        <w:tc>
          <w:tcPr>
            <w:tcW w:w="5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(2,888 )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52,312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1,825</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(775 )</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2,546</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5,667</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(755 )</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Dairy &amp; livestock and agribusiness</w:t>
            </w: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2,775</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3,166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Municipal lease finance receivables</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SFR mortgage</w:t>
            </w: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(94 )</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Consumer and other loans</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(273 )</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740" w:type="dxa"/>
            <w:vAlign w:val="bottom"/>
            <w:tcBorders>
              <w:bottom w:val="single" w:sz="8" w:color="CFF0FC"/>
            </w:tcBorders>
            <w:shd w:val="clear" w:color="auto" w:fill="CFF0FC"/>
          </w:tcPr>
          <w:p>
            <w:pPr>
              <w:ind w:left="200"/>
              <w:spacing w:after="0" w:line="155" w:lineRule="exact"/>
              <w:rPr>
                <w:sz w:val="20"/>
                <w:szCs w:val="20"/>
                <w:color w:val="auto"/>
              </w:rPr>
            </w:pPr>
            <w:r>
              <w:rPr>
                <w:rFonts w:ascii="Times New Roman" w:cs="Times New Roman" w:eastAsia="Times New Roman" w:hAnsi="Times New Roman"/>
                <w:sz w:val="14"/>
                <w:szCs w:val="14"/>
                <w:color w:val="auto"/>
              </w:rPr>
              <w:t>Total allowance for credit losses</w:t>
            </w:r>
          </w:p>
        </w:tc>
        <w:tc>
          <w:tcPr>
            <w:tcW w:w="260" w:type="dxa"/>
            <w:vAlign w:val="bottom"/>
            <w:tcBorders>
              <w:top w:val="single" w:sz="8" w:color="auto"/>
              <w:bottom w:val="single" w:sz="8" w:color="auto"/>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69,342</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w:t>
            </w:r>
          </w:p>
        </w:tc>
        <w:tc>
          <w:tcPr>
            <w:tcW w:w="280" w:type="dxa"/>
            <w:vAlign w:val="bottom"/>
            <w:tcBorders>
              <w:bottom w:val="single" w:sz="8" w:color="CFF0FC"/>
            </w:tcBorders>
            <w:shd w:val="clear" w:color="auto" w:fill="CFF0FC"/>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33</w:t>
            </w: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(4,000</w:t>
            </w:r>
          </w:p>
        </w:tc>
        <w:tc>
          <w:tcPr>
            <w:tcW w:w="240" w:type="dxa"/>
            <w:vAlign w:val="bottom"/>
            <w:tcBorders>
              <w:bottom w:val="single" w:sz="8" w:color="CFF0FC"/>
            </w:tcBorders>
            <w:shd w:val="clear" w:color="auto" w:fill="CFF0FC"/>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65,364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-24765</wp:posOffset>
            </wp:positionV>
            <wp:extent cx="768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-8255</wp:posOffset>
            </wp:positionV>
            <wp:extent cx="7683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-24765</wp:posOffset>
            </wp:positionV>
            <wp:extent cx="7747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-8255</wp:posOffset>
            </wp:positionV>
            <wp:extent cx="7747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-24765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-8255</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685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right="740"/>
        <w:spacing w:after="0" w:line="295" w:lineRule="auto"/>
        <w:rPr>
          <w:sz w:val="20"/>
          <w:szCs w:val="20"/>
          <w:color w:val="auto"/>
        </w:rPr>
      </w:pPr>
      <w:r>
        <w:rPr>
          <w:rFonts w:ascii="Times New Roman" w:cs="Times New Roman" w:eastAsia="Times New Roman" w:hAnsi="Times New Roman"/>
          <w:sz w:val="14"/>
          <w:szCs w:val="14"/>
          <w:color w:val="auto"/>
        </w:rPr>
        <w:t>Commercial real estate Construction SBA</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Dairy &amp; livestock and agribusiness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Municipal lease finance receivables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SFR mortgage</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Consumer and other loans</w:t>
      </w:r>
    </w:p>
    <w:p>
      <w:pPr>
        <w:spacing w:after="0" w:line="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Total allowance for credit losses</w:t>
      </w:r>
    </w:p>
    <w:p>
      <w:pPr>
        <w:spacing w:after="0" w:line="20" w:lineRule="exact"/>
        <w:rPr>
          <w:sz w:val="20"/>
          <w:szCs w:val="20"/>
          <w:color w:val="auto"/>
        </w:rPr>
      </w:pPr>
      <w:r>
        <w:rPr>
          <w:sz w:val="20"/>
          <w:szCs w:val="20"/>
          <w:color w:val="auto"/>
        </w:rPr>
        <w:br w:type="column"/>
      </w: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040" w:type="dxa"/>
            <w:vAlign w:val="bottom"/>
            <w:tcBorders>
              <w:top w:val="single" w:sz="8" w:color="auto"/>
            </w:tcBorders>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Ending Balance</w:t>
            </w: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3"/>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Initial ACL for</w:t>
            </w: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68"/>
              <w:spacing w:after="0" w:line="131" w:lineRule="exact"/>
              <w:rPr>
                <w:sz w:val="20"/>
                <w:szCs w:val="20"/>
                <w:color w:val="auto"/>
              </w:rPr>
            </w:pPr>
            <w:r>
              <w:rPr>
                <w:rFonts w:ascii="Times New Roman" w:cs="Times New Roman" w:eastAsia="Times New Roman" w:hAnsi="Times New Roman"/>
                <w:sz w:val="14"/>
                <w:szCs w:val="14"/>
                <w:b w:val="1"/>
                <w:bCs w:val="1"/>
                <w:color w:val="auto"/>
              </w:rPr>
              <w:t>Provision</w:t>
            </w: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Provision for</w:t>
            </w:r>
          </w:p>
        </w:tc>
        <w:tc>
          <w:tcPr>
            <w:tcW w:w="114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148"/>
        </w:trPr>
        <w:tc>
          <w:tcPr>
            <w:tcW w:w="80" w:type="dxa"/>
            <w:vAlign w:val="bottom"/>
          </w:tcPr>
          <w:p>
            <w:pPr>
              <w:spacing w:after="0"/>
              <w:rPr>
                <w:sz w:val="12"/>
                <w:szCs w:val="12"/>
                <w:color w:val="auto"/>
              </w:rPr>
            </w:pPr>
          </w:p>
        </w:tc>
        <w:tc>
          <w:tcPr>
            <w:tcW w:w="9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PCD Loans at</w:t>
            </w:r>
          </w:p>
        </w:tc>
        <w:tc>
          <w:tcPr>
            <w:tcW w:w="120" w:type="dxa"/>
            <w:vAlign w:val="bottom"/>
          </w:tcPr>
          <w:p>
            <w:pPr>
              <w:spacing w:after="0"/>
              <w:rPr>
                <w:sz w:val="12"/>
                <w:szCs w:val="12"/>
                <w:color w:val="auto"/>
              </w:rPr>
            </w:pPr>
          </w:p>
        </w:tc>
        <w:tc>
          <w:tcPr>
            <w:tcW w:w="96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Recorded at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(Recapture of)</w:t>
            </w:r>
          </w:p>
        </w:tc>
        <w:tc>
          <w:tcPr>
            <w:tcW w:w="100" w:type="dxa"/>
            <w:vAlign w:val="bottom"/>
          </w:tcPr>
          <w:p>
            <w:pPr>
              <w:spacing w:after="0"/>
              <w:rPr>
                <w:sz w:val="12"/>
                <w:szCs w:val="12"/>
                <w:color w:val="auto"/>
              </w:rPr>
            </w:pPr>
          </w:p>
        </w:tc>
        <w:tc>
          <w:tcPr>
            <w:tcW w:w="104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00"/>
        </w:trPr>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Charge-offs</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160"/>
        </w:trPr>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8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4"/>
                <w:szCs w:val="14"/>
                <w:i w:val="1"/>
                <w:iCs w:val="1"/>
                <w:color w:val="auto"/>
                <w:w w:val="99"/>
              </w:rPr>
              <w:t>(Dollars in thousands)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75"/>
        </w:trPr>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50,950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5,086</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4,742</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64,905</w:t>
            </w:r>
          </w:p>
        </w:tc>
      </w:tr>
      <w:tr>
        <w:trPr>
          <w:trHeight w:val="176"/>
        </w:trPr>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w:t>
            </w:r>
          </w:p>
        </w:tc>
      </w:tr>
      <w:tr>
        <w:trPr>
          <w:trHeight w:val="175"/>
        </w:trPr>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2,668</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(88 )</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w:t>
            </w:r>
          </w:p>
        </w:tc>
      </w:tr>
      <w:tr>
        <w:trPr>
          <w:trHeight w:val="176"/>
        </w:trPr>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6,669</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(66 )</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(934 )</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7,133</w:t>
            </w:r>
          </w:p>
        </w:tc>
      </w:tr>
      <w:tr>
        <w:trPr>
          <w:trHeight w:val="176"/>
        </w:trPr>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3,066</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(1,437 )</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4,993</w:t>
            </w:r>
          </w:p>
        </w:tc>
      </w:tr>
      <w:tr>
        <w:trPr>
          <w:trHeight w:val="175"/>
        </w:trPr>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r>
      <w:tr>
        <w:trPr>
          <w:trHeight w:val="176"/>
        </w:trPr>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r>
      <w:tr>
        <w:trPr>
          <w:trHeight w:val="185"/>
        </w:trPr>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(4 )</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(109 )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169"/>
        </w:trPr>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65,019</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8,605</w:t>
            </w: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4,932</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3,168</w:t>
            </w: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82,601</w:t>
            </w: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-1036320</wp:posOffset>
            </wp:positionV>
            <wp:extent cx="7132320" cy="11112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-814070</wp:posOffset>
            </wp:positionV>
            <wp:extent cx="7132320" cy="11112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-591185</wp:posOffset>
            </wp:positionV>
            <wp:extent cx="7132320" cy="1117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-368300</wp:posOffset>
            </wp:positionV>
            <wp:extent cx="7132320" cy="1117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-136525</wp:posOffset>
            </wp:positionV>
            <wp:extent cx="7132320" cy="1371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1" w:lineRule="exact"/>
        <w:rPr>
          <w:sz w:val="20"/>
          <w:szCs w:val="20"/>
          <w:color w:val="auto"/>
        </w:rPr>
      </w:pPr>
    </w:p>
    <w:p>
      <w:pPr>
        <w:sectPr>
          <w:pgSz w:w="11900" w:h="16838" w:orient="portrait"/>
          <w:cols w:equalWidth="0" w:num="2">
            <w:col w:w="2080" w:space="40"/>
            <w:col w:w="9120"/>
          </w:cols>
          <w:pgMar w:left="320" w:top="547" w:right="339" w:bottom="1440" w:gutter="0" w:footer="0" w:header="0"/>
        </w:sectPr>
      </w:pPr>
    </w:p>
    <w:tbl>
      <w:tblPr>
        <w:tblLayout w:type="fixed"/>
        <w:tblInd w:w="0" w:type="dxa"/>
        <w:tblCellMar>
          <w:top w:w="0" w:type="dxa"/>
          <w:left w:w="0" w:type="dxa"/>
          <w:bottom w:w="0" w:type="dxa"/>
          <w:right w:w="0" w:type="dxa"/>
        </w:tblCellMar>
      </w:tblPr>
      <w:tr>
        <w:trPr>
          <w:trHeight w:val="187"/>
        </w:trPr>
        <w:tc>
          <w:tcPr>
            <w:tcW w:w="27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6"/>
          </w:tcPr>
          <w:p>
            <w:pPr>
              <w:jc w:val="center"/>
              <w:ind w:left="928"/>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1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gridSpan w:val="2"/>
          </w:tcPr>
          <w:p>
            <w:pPr>
              <w:jc w:val="center"/>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(Recapture of)</w:t>
            </w: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ind w:right="168"/>
              <w:spacing w:after="0" w:line="160" w:lineRule="exact"/>
              <w:rPr>
                <w:sz w:val="20"/>
                <w:szCs w:val="20"/>
                <w:color w:val="auto"/>
              </w:rPr>
            </w:pPr>
            <w:r>
              <w:rPr>
                <w:rFonts w:ascii="Times New Roman" w:cs="Times New Roman" w:eastAsia="Times New Roman" w:hAnsi="Times New Roman"/>
                <w:sz w:val="14"/>
                <w:szCs w:val="14"/>
                <w:b w:val="1"/>
                <w:bCs w:val="1"/>
                <w:color w:val="auto"/>
              </w:rPr>
              <w:t>Ending Balance</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Charge-offs</w:t>
            </w:r>
          </w:p>
        </w:tc>
        <w:tc>
          <w:tcPr>
            <w:tcW w:w="100" w:type="dxa"/>
            <w:vAlign w:val="bottom"/>
          </w:tcPr>
          <w:p>
            <w:pPr>
              <w:spacing w:after="0"/>
              <w:rPr>
                <w:sz w:val="13"/>
                <w:szCs w:val="13"/>
                <w:color w:val="auto"/>
              </w:rPr>
            </w:pPr>
          </w:p>
        </w:tc>
        <w:tc>
          <w:tcPr>
            <w:tcW w:w="14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tcPr>
          <w:p>
            <w:pPr>
              <w:jc w:val="center"/>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Provision for</w:t>
            </w:r>
          </w:p>
        </w:tc>
        <w:tc>
          <w:tcPr>
            <w:tcW w:w="120" w:type="dxa"/>
            <w:vAlign w:val="bottom"/>
          </w:tcPr>
          <w:p>
            <w:pPr>
              <w:spacing w:after="0"/>
              <w:rPr>
                <w:sz w:val="13"/>
                <w:szCs w:val="13"/>
                <w:color w:val="auto"/>
              </w:rPr>
            </w:pPr>
          </w:p>
        </w:tc>
        <w:tc>
          <w:tcPr>
            <w:tcW w:w="1380" w:type="dxa"/>
            <w:vAlign w:val="bottom"/>
          </w:tcPr>
          <w:p>
            <w:pPr>
              <w:jc w:val="right"/>
              <w:ind w:right="208"/>
              <w:spacing w:after="0" w:line="160" w:lineRule="exact"/>
              <w:rPr>
                <w:sz w:val="20"/>
                <w:szCs w:val="20"/>
                <w:color w:val="auto"/>
              </w:rPr>
            </w:pPr>
            <w:r>
              <w:rPr>
                <w:rFonts w:ascii="Times New Roman" w:cs="Times New Roman" w:eastAsia="Times New Roman" w:hAnsi="Times New Roman"/>
                <w:sz w:val="14"/>
                <w:szCs w:val="14"/>
                <w:b w:val="1"/>
                <w:bCs w:val="1"/>
                <w:color w:val="auto"/>
              </w:rPr>
              <w:t>Ending Balance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20" w:type="dxa"/>
            <w:vAlign w:val="bottom"/>
          </w:tcPr>
          <w:p>
            <w:pPr>
              <w:spacing w:after="0"/>
              <w:rPr>
                <w:sz w:val="16"/>
                <w:szCs w:val="16"/>
                <w:color w:val="auto"/>
              </w:rPr>
            </w:pPr>
          </w:p>
        </w:tc>
        <w:tc>
          <w:tcPr>
            <w:tcW w:w="13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7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center"/>
              <w:ind w:right="8"/>
              <w:spacing w:after="0" w:line="160"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2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real estate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75,439</w:t>
            </w:r>
          </w:p>
        </w:tc>
        <w:tc>
          <w:tcPr>
            <w:tcW w:w="5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(23,127 )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Construction</w:t>
            </w:r>
          </w:p>
        </w:tc>
        <w:tc>
          <w:tcPr>
            <w:tcW w:w="1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1,934</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(928 )</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(78 )</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7,142</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(2,985 )</w:t>
            </w:r>
          </w:p>
        </w:tc>
        <w:tc>
          <w:tcPr>
            <w:tcW w:w="10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4,908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Dairy &amp; livestock and agribusiness</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3,949</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(783 )</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Municipal lease finance receivables</w:t>
            </w:r>
          </w:p>
        </w:tc>
        <w:tc>
          <w:tcPr>
            <w:tcW w:w="1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SFR mortgage</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(256 )</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Consumer and other loans</w:t>
            </w:r>
          </w:p>
        </w:tc>
        <w:tc>
          <w:tcPr>
            <w:tcW w:w="1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1,795</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(1,080 )</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8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Total allowance for credit losses</w:t>
            </w: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93,692</w:t>
            </w:r>
          </w:p>
        </w:tc>
        <w:tc>
          <w:tcPr>
            <w:tcW w:w="280" w:type="dxa"/>
            <w:vAlign w:val="bottom"/>
          </w:tcPr>
          <w:p>
            <w:pPr>
              <w:spacing w:after="0"/>
              <w:rPr>
                <w:sz w:val="14"/>
                <w:szCs w:val="14"/>
                <w:color w:val="auto"/>
              </w:rPr>
            </w:pPr>
          </w:p>
        </w:tc>
        <w:tc>
          <w:tcPr>
            <w:tcW w:w="22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(2,996 )</w:t>
            </w: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168</w:t>
            </w:r>
          </w:p>
        </w:tc>
        <w:tc>
          <w:tcPr>
            <w:tcW w:w="50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(25,500 )</w:t>
            </w: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65,364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-144780</wp:posOffset>
            </wp:positionV>
            <wp:extent cx="76835" cy="1454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-144780</wp:posOffset>
            </wp:positionV>
            <wp:extent cx="76835" cy="1454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-144780</wp:posOffset>
            </wp:positionV>
            <wp:extent cx="68580" cy="1454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-144780</wp:posOffset>
            </wp:positionV>
            <wp:extent cx="68580" cy="1454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Past Due and Nonperforming Loans</w:t>
      </w:r>
    </w:p>
    <w:p>
      <w:pPr>
        <w:spacing w:after="0" w:line="216" w:lineRule="exact"/>
        <w:rPr>
          <w:sz w:val="20"/>
          <w:szCs w:val="20"/>
          <w:color w:val="auto"/>
        </w:rPr>
      </w:pPr>
    </w:p>
    <w:p>
      <w:pPr>
        <w:ind w:right="60" w:firstLine="469"/>
        <w:spacing w:after="0" w:line="245" w:lineRule="auto"/>
        <w:rPr>
          <w:sz w:val="20"/>
          <w:szCs w:val="20"/>
          <w:color w:val="auto"/>
        </w:rPr>
      </w:pPr>
      <w:r>
        <w:rPr>
          <w:rFonts w:ascii="Times New Roman" w:cs="Times New Roman" w:eastAsia="Times New Roman" w:hAnsi="Times New Roman"/>
          <w:sz w:val="18"/>
          <w:szCs w:val="18"/>
          <w:color w:val="auto"/>
        </w:rPr>
        <w:t xml:space="preserve">We seek to manage asset quality and control credit risk through diversification of the loan portfolio and the application of policies designed to promote sound underwriting and loan monitoring practices. The Bank’s Credit Management Division is in charge of monitoring asset quality, establishing credit policies and procedures and enforcing the consistent application of these policies and procedures across the Bank. Reviews of nonperforming, past due loans and larger credits, designed to identify potential charges to the allowance for credit losses, are conducted on an ongoing basis. These reviews consider such factors as the financial strength of borrowers and any guarantors, the value of the applicable collateral, loan loss experience, estimated credit losses, prevailing economic conditions, and other factors. Refer to Note 3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included in our Annual Report on Form 10-K for the year ended December 31, 2021, for additional discussion concerning the Bank’s policy for past due and nonperforming loans.</w:t>
      </w:r>
    </w:p>
    <w:p>
      <w:pPr>
        <w:spacing w:after="0" w:line="168" w:lineRule="exact"/>
        <w:rPr>
          <w:sz w:val="20"/>
          <w:szCs w:val="20"/>
          <w:color w:val="auto"/>
        </w:rPr>
      </w:pPr>
    </w:p>
    <w:p>
      <w:pPr>
        <w:ind w:right="38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recorded investment in, and the aging of, past due loans (including nonaccrual loans), by type of loans as of the dates presented.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44"/>
        </w:trPr>
        <w:tc>
          <w:tcPr>
            <w:tcW w:w="3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Greater than 89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Total Loans and</w:t>
            </w:r>
          </w:p>
        </w:tc>
        <w:tc>
          <w:tcPr>
            <w:tcW w:w="100" w:type="dxa"/>
            <w:vAlign w:val="bottom"/>
          </w:tcPr>
          <w:p>
            <w:pPr>
              <w:spacing w:after="0"/>
              <w:rPr>
                <w:sz w:val="12"/>
                <w:szCs w:val="12"/>
                <w:color w:val="auto"/>
              </w:rPr>
            </w:pPr>
          </w:p>
        </w:tc>
      </w:tr>
      <w:tr>
        <w:trPr>
          <w:trHeight w:val="149"/>
        </w:trPr>
        <w:tc>
          <w:tcPr>
            <w:tcW w:w="3140" w:type="dxa"/>
            <w:vAlign w:val="bottom"/>
          </w:tcPr>
          <w:p>
            <w:pPr>
              <w:spacing w:after="0"/>
              <w:rPr>
                <w:sz w:val="12"/>
                <w:szCs w:val="12"/>
                <w:color w:val="auto"/>
              </w:rPr>
            </w:pPr>
          </w:p>
        </w:tc>
        <w:tc>
          <w:tcPr>
            <w:tcW w:w="11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30-59 Days Past</w:t>
            </w:r>
          </w:p>
        </w:tc>
        <w:tc>
          <w:tcPr>
            <w:tcW w:w="240" w:type="dxa"/>
            <w:vAlign w:val="bottom"/>
          </w:tcPr>
          <w:p>
            <w:pPr>
              <w:spacing w:after="0"/>
              <w:rPr>
                <w:sz w:val="12"/>
                <w:szCs w:val="12"/>
                <w:color w:val="auto"/>
              </w:rPr>
            </w:pPr>
          </w:p>
        </w:tc>
        <w:tc>
          <w:tcPr>
            <w:tcW w:w="11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60-89 Days Past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Days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Loans Not Past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100" w:type="dxa"/>
            <w:vAlign w:val="bottom"/>
          </w:tcPr>
          <w:p>
            <w:pPr>
              <w:spacing w:after="0"/>
              <w:rPr>
                <w:sz w:val="12"/>
                <w:szCs w:val="12"/>
                <w:color w:val="auto"/>
              </w:rPr>
            </w:pPr>
          </w:p>
        </w:tc>
      </w:tr>
      <w:tr>
        <w:trPr>
          <w:trHeight w:val="187"/>
        </w:trPr>
        <w:tc>
          <w:tcPr>
            <w:tcW w:w="3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Due</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Due</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9"/>
              </w:rPr>
              <w:t>Total Past Due</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Due</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00" w:type="dxa"/>
            <w:vAlign w:val="bottom"/>
          </w:tcPr>
          <w:p>
            <w:pPr>
              <w:spacing w:after="0"/>
              <w:rPr>
                <w:sz w:val="16"/>
                <w:szCs w:val="16"/>
                <w:color w:val="auto"/>
              </w:rPr>
            </w:pPr>
          </w:p>
        </w:tc>
      </w:tr>
      <w:tr>
        <w:trPr>
          <w:trHeight w:val="169"/>
        </w:trPr>
        <w:tc>
          <w:tcPr>
            <w:tcW w:w="3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4"/>
          </w:tcPr>
          <w:p>
            <w:pPr>
              <w:jc w:val="right"/>
              <w:ind w:right="548"/>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Commercial real estate</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31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Owner occupied</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6,686</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6,686</w:t>
            </w:r>
          </w:p>
        </w:tc>
        <w:tc>
          <w:tcPr>
            <w:tcW w:w="4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2,431,460</w:t>
            </w:r>
          </w:p>
        </w:tc>
        <w:tc>
          <w:tcPr>
            <w:tcW w:w="3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2,438,146</w:t>
            </w:r>
          </w:p>
        </w:tc>
        <w:tc>
          <w:tcPr>
            <w:tcW w:w="100" w:type="dxa"/>
            <w:vAlign w:val="bottom"/>
          </w:tcPr>
          <w:p>
            <w:pPr>
              <w:spacing w:after="0"/>
              <w:rPr>
                <w:sz w:val="15"/>
                <w:szCs w:val="15"/>
                <w:color w:val="auto"/>
              </w:rPr>
            </w:pPr>
          </w:p>
        </w:tc>
      </w:tr>
      <w:tr>
        <w:trPr>
          <w:trHeight w:val="176"/>
        </w:trPr>
        <w:tc>
          <w:tcPr>
            <w:tcW w:w="3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Non-owner occupied</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4,247,099</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4,247,099</w:t>
            </w:r>
          </w:p>
        </w:tc>
        <w:tc>
          <w:tcPr>
            <w:tcW w:w="100" w:type="dxa"/>
            <w:vAlign w:val="bottom"/>
            <w:shd w:val="clear" w:color="auto" w:fill="CFF0FC"/>
          </w:tcPr>
          <w:p>
            <w:pPr>
              <w:spacing w:after="0"/>
              <w:rPr>
                <w:sz w:val="15"/>
                <w:szCs w:val="15"/>
                <w:color w:val="auto"/>
              </w:rPr>
            </w:pPr>
          </w:p>
        </w:tc>
      </w:tr>
      <w:tr>
        <w:trPr>
          <w:trHeight w:val="175"/>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3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Speculative (1)</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56,183</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56,183</w:t>
            </w:r>
          </w:p>
        </w:tc>
        <w:tc>
          <w:tcPr>
            <w:tcW w:w="100" w:type="dxa"/>
            <w:vAlign w:val="bottom"/>
            <w:shd w:val="clear" w:color="auto" w:fill="CFF0FC"/>
          </w:tcPr>
          <w:p>
            <w:pPr>
              <w:spacing w:after="0"/>
              <w:rPr>
                <w:sz w:val="15"/>
                <w:szCs w:val="15"/>
                <w:color w:val="auto"/>
              </w:rPr>
            </w:pPr>
          </w:p>
        </w:tc>
      </w:tr>
      <w:tr>
        <w:trPr>
          <w:trHeight w:val="175"/>
        </w:trPr>
        <w:tc>
          <w:tcPr>
            <w:tcW w:w="31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Non-speculative</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20,312</w:t>
            </w:r>
          </w:p>
        </w:tc>
        <w:tc>
          <w:tcPr>
            <w:tcW w:w="100" w:type="dxa"/>
            <w:vAlign w:val="bottom"/>
          </w:tcPr>
          <w:p>
            <w:pPr>
              <w:spacing w:after="0"/>
              <w:rPr>
                <w:sz w:val="15"/>
                <w:szCs w:val="15"/>
                <w:color w:val="auto"/>
              </w:rPr>
            </w:pPr>
          </w:p>
        </w:tc>
      </w:tr>
      <w:tr>
        <w:trPr>
          <w:trHeight w:val="176"/>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295,784</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296,664</w:t>
            </w:r>
          </w:p>
        </w:tc>
        <w:tc>
          <w:tcPr>
            <w:tcW w:w="100" w:type="dxa"/>
            <w:vAlign w:val="bottom"/>
            <w:shd w:val="clear" w:color="auto" w:fill="CFF0FC"/>
          </w:tcPr>
          <w:p>
            <w:pPr>
              <w:spacing w:after="0"/>
              <w:rPr>
                <w:sz w:val="15"/>
                <w:szCs w:val="15"/>
                <w:color w:val="auto"/>
              </w:rPr>
            </w:pPr>
          </w:p>
        </w:tc>
      </w:tr>
      <w:tr>
        <w:trPr>
          <w:trHeight w:val="176"/>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 PPP</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17,348</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17,348</w:t>
            </w:r>
          </w:p>
        </w:tc>
        <w:tc>
          <w:tcPr>
            <w:tcW w:w="100" w:type="dxa"/>
            <w:vAlign w:val="bottom"/>
          </w:tcPr>
          <w:p>
            <w:pPr>
              <w:spacing w:after="0"/>
              <w:rPr>
                <w:sz w:val="15"/>
                <w:szCs w:val="15"/>
                <w:color w:val="auto"/>
              </w:rPr>
            </w:pPr>
          </w:p>
        </w:tc>
      </w:tr>
      <w:tr>
        <w:trPr>
          <w:trHeight w:val="175"/>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950,923</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952,231</w:t>
            </w:r>
          </w:p>
        </w:tc>
        <w:tc>
          <w:tcPr>
            <w:tcW w:w="100" w:type="dxa"/>
            <w:vAlign w:val="bottom"/>
            <w:shd w:val="clear" w:color="auto" w:fill="CFF0FC"/>
          </w:tcPr>
          <w:p>
            <w:pPr>
              <w:spacing w:after="0"/>
              <w:rPr>
                <w:sz w:val="15"/>
                <w:szCs w:val="15"/>
                <w:color w:val="auto"/>
              </w:rPr>
            </w:pPr>
          </w:p>
        </w:tc>
      </w:tr>
      <w:tr>
        <w:trPr>
          <w:trHeight w:val="176"/>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Dairy &amp; livestock and agribusiness</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322,194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323,105</w:t>
            </w:r>
          </w:p>
        </w:tc>
        <w:tc>
          <w:tcPr>
            <w:tcW w:w="100" w:type="dxa"/>
            <w:vAlign w:val="bottom"/>
          </w:tcPr>
          <w:p>
            <w:pPr>
              <w:spacing w:after="0"/>
              <w:rPr>
                <w:sz w:val="15"/>
                <w:szCs w:val="15"/>
                <w:color w:val="auto"/>
              </w:rPr>
            </w:pPr>
          </w:p>
        </w:tc>
      </w:tr>
      <w:tr>
        <w:trPr>
          <w:trHeight w:val="175"/>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Municipal lease finance receivables</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76,656</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76,656</w:t>
            </w:r>
          </w:p>
        </w:tc>
        <w:tc>
          <w:tcPr>
            <w:tcW w:w="100" w:type="dxa"/>
            <w:vAlign w:val="bottom"/>
            <w:shd w:val="clear" w:color="auto" w:fill="CFF0FC"/>
          </w:tcPr>
          <w:p>
            <w:pPr>
              <w:spacing w:after="0"/>
              <w:rPr>
                <w:sz w:val="15"/>
                <w:szCs w:val="15"/>
                <w:color w:val="auto"/>
              </w:rPr>
            </w:pPr>
          </w:p>
        </w:tc>
      </w:tr>
      <w:tr>
        <w:trPr>
          <w:trHeight w:val="176"/>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SFR mortgage</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263,646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263,646</w:t>
            </w:r>
          </w:p>
        </w:tc>
        <w:tc>
          <w:tcPr>
            <w:tcW w:w="100" w:type="dxa"/>
            <w:vAlign w:val="bottom"/>
          </w:tcPr>
          <w:p>
            <w:pPr>
              <w:spacing w:after="0"/>
              <w:rPr>
                <w:sz w:val="15"/>
                <w:szCs w:val="15"/>
                <w:color w:val="auto"/>
              </w:rPr>
            </w:pPr>
          </w:p>
        </w:tc>
      </w:tr>
      <w:tr>
        <w:trPr>
          <w:trHeight w:val="176"/>
        </w:trPr>
        <w:tc>
          <w:tcPr>
            <w:tcW w:w="3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Consumer and other loans</w:t>
            </w:r>
          </w:p>
        </w:tc>
        <w:tc>
          <w:tcPr>
            <w:tcW w:w="28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82,714</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82,746</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31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gross loans</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5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9,817</w:t>
            </w:r>
          </w:p>
        </w:tc>
        <w:tc>
          <w:tcPr>
            <w:tcW w:w="4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8,764,319</w:t>
            </w:r>
          </w:p>
        </w:tc>
        <w:tc>
          <w:tcPr>
            <w:tcW w:w="3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8,774,136</w:t>
            </w:r>
          </w:p>
        </w:tc>
        <w:tc>
          <w:tcPr>
            <w:tcW w:w="100" w:type="dxa"/>
            <w:vAlign w:val="bottom"/>
          </w:tcPr>
          <w:p>
            <w:pPr>
              <w:spacing w:after="0"/>
              <w:rPr>
                <w:sz w:val="14"/>
                <w:szCs w:val="14"/>
                <w:color w:val="auto"/>
              </w:rPr>
            </w:pPr>
          </w:p>
        </w:tc>
      </w:tr>
      <w:tr>
        <w:trPr>
          <w:trHeight w:val="20"/>
        </w:trPr>
        <w:tc>
          <w:tcPr>
            <w:tcW w:w="3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-144780</wp:posOffset>
            </wp:positionV>
            <wp:extent cx="76835" cy="1454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-144780</wp:posOffset>
            </wp:positionV>
            <wp:extent cx="76835" cy="1454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-144780</wp:posOffset>
            </wp:positionV>
            <wp:extent cx="68580" cy="1454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-144780</wp:posOffset>
            </wp:positionV>
            <wp:extent cx="68580" cy="1454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-144780</wp:posOffset>
            </wp:positionV>
            <wp:extent cx="68580" cy="1454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69"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Speculative construction loans are generally for properties where there is no identified buyer or renter.</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Greater than 89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Total Loans and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180" w:type="dxa"/>
            <w:vAlign w:val="bottom"/>
          </w:tcPr>
          <w:p>
            <w:pPr>
              <w:spacing w:after="0"/>
              <w:rPr>
                <w:sz w:val="13"/>
                <w:szCs w:val="13"/>
                <w:color w:val="auto"/>
              </w:rPr>
            </w:pPr>
          </w:p>
        </w:tc>
        <w:tc>
          <w:tcPr>
            <w:tcW w:w="1140" w:type="dxa"/>
            <w:vAlign w:val="bottom"/>
            <w:gridSpan w:val="2"/>
          </w:tcPr>
          <w:p>
            <w:pPr>
              <w:jc w:val="right"/>
              <w:ind w:right="28"/>
              <w:spacing w:after="0" w:line="160" w:lineRule="exact"/>
              <w:rPr>
                <w:sz w:val="20"/>
                <w:szCs w:val="20"/>
                <w:color w:val="auto"/>
              </w:rPr>
            </w:pPr>
            <w:r>
              <w:rPr>
                <w:rFonts w:ascii="Times New Roman" w:cs="Times New Roman" w:eastAsia="Times New Roman" w:hAnsi="Times New Roman"/>
                <w:sz w:val="14"/>
                <w:szCs w:val="14"/>
                <w:b w:val="1"/>
                <w:bCs w:val="1"/>
                <w:color w:val="auto"/>
              </w:rPr>
              <w:t>30-59 Days Past</w:t>
            </w:r>
          </w:p>
        </w:tc>
        <w:tc>
          <w:tcPr>
            <w:tcW w:w="240" w:type="dxa"/>
            <w:vAlign w:val="bottom"/>
          </w:tcPr>
          <w:p>
            <w:pPr>
              <w:spacing w:after="0"/>
              <w:rPr>
                <w:sz w:val="13"/>
                <w:szCs w:val="13"/>
                <w:color w:val="auto"/>
              </w:rPr>
            </w:pPr>
          </w:p>
        </w:tc>
        <w:tc>
          <w:tcPr>
            <w:tcW w:w="1140" w:type="dxa"/>
            <w:vAlign w:val="bottom"/>
            <w:gridSpan w:val="2"/>
          </w:tcPr>
          <w:p>
            <w:pPr>
              <w:jc w:val="right"/>
              <w:ind w:right="28"/>
              <w:spacing w:after="0" w:line="160" w:lineRule="exact"/>
              <w:rPr>
                <w:sz w:val="20"/>
                <w:szCs w:val="20"/>
                <w:color w:val="auto"/>
              </w:rPr>
            </w:pPr>
            <w:r>
              <w:rPr>
                <w:rFonts w:ascii="Times New Roman" w:cs="Times New Roman" w:eastAsia="Times New Roman" w:hAnsi="Times New Roman"/>
                <w:sz w:val="14"/>
                <w:szCs w:val="14"/>
                <w:b w:val="1"/>
                <w:bCs w:val="1"/>
                <w:color w:val="auto"/>
              </w:rPr>
              <w:t>60-89 Days Past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center"/>
              <w:ind w:right="188"/>
              <w:spacing w:after="0" w:line="160" w:lineRule="exact"/>
              <w:rPr>
                <w:sz w:val="20"/>
                <w:szCs w:val="20"/>
                <w:color w:val="auto"/>
              </w:rPr>
            </w:pPr>
            <w:r>
              <w:rPr>
                <w:rFonts w:ascii="Times New Roman" w:cs="Times New Roman" w:eastAsia="Times New Roman" w:hAnsi="Times New Roman"/>
                <w:sz w:val="14"/>
                <w:szCs w:val="14"/>
                <w:b w:val="1"/>
                <w:bCs w:val="1"/>
                <w:color w:val="auto"/>
              </w:rPr>
              <w:t>Days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Total Past Due</w:t>
            </w:r>
          </w:p>
        </w:tc>
        <w:tc>
          <w:tcPr>
            <w:tcW w:w="220" w:type="dxa"/>
            <w:vAlign w:val="bottom"/>
          </w:tcPr>
          <w:p>
            <w:pPr>
              <w:spacing w:after="0"/>
              <w:rPr>
                <w:sz w:val="13"/>
                <w:szCs w:val="13"/>
                <w:color w:val="auto"/>
              </w:rPr>
            </w:pPr>
          </w:p>
        </w:tc>
        <w:tc>
          <w:tcPr>
            <w:tcW w:w="1100" w:type="dxa"/>
            <w:vAlign w:val="bottom"/>
            <w:gridSpan w:val="2"/>
          </w:tcPr>
          <w:p>
            <w:pPr>
              <w:jc w:val="right"/>
              <w:ind w:right="28"/>
              <w:spacing w:after="0" w:line="160" w:lineRule="exact"/>
              <w:rPr>
                <w:sz w:val="20"/>
                <w:szCs w:val="20"/>
                <w:color w:val="auto"/>
              </w:rPr>
            </w:pPr>
            <w:r>
              <w:rPr>
                <w:rFonts w:ascii="Times New Roman" w:cs="Times New Roman" w:eastAsia="Times New Roman" w:hAnsi="Times New Roman"/>
                <w:sz w:val="14"/>
                <w:szCs w:val="14"/>
                <w:b w:val="1"/>
                <w:bCs w:val="1"/>
                <w:color w:val="auto"/>
              </w:rPr>
              <w:t>Loans Not Past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128"/>
              <w:spacing w:after="0" w:line="160"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Due</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Due</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Due</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4"/>
          </w:tcPr>
          <w:p>
            <w:pPr>
              <w:jc w:val="right"/>
              <w:ind w:right="548"/>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Commercial real estate</w:t>
            </w: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Owner occupied</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5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3,821</w:t>
            </w:r>
          </w:p>
        </w:tc>
        <w:tc>
          <w:tcPr>
            <w:tcW w:w="4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2,127,979</w:t>
            </w:r>
          </w:p>
        </w:tc>
        <w:tc>
          <w:tcPr>
            <w:tcW w:w="3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2,131,800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Non-owner occupied</w:t>
            </w: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3,657,930</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3,657,930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Speculative (1)</w:t>
            </w: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44,859</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44,859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Non-speculative</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1,145</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1,901</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286,699</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288,600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 PPP</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186,585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186,585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1,356</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811,691</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813,063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Dairy &amp; livestock and agribusiness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386,219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386,219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Municipal lease finance receivables</w:t>
            </w: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45,933</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45,933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SFR mortgage</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239,614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240,654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Consumer and other loans</w:t>
            </w:r>
          </w:p>
        </w:tc>
        <w:tc>
          <w:tcPr>
            <w:tcW w:w="26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74,623</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74,665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gross loans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5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4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8,176</w:t>
            </w:r>
          </w:p>
        </w:tc>
        <w:tc>
          <w:tcPr>
            <w:tcW w:w="4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7,879,537</w:t>
            </w:r>
          </w:p>
        </w:tc>
        <w:tc>
          <w:tcPr>
            <w:tcW w:w="3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7,887,713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-145415</wp:posOffset>
            </wp:positionV>
            <wp:extent cx="76835" cy="1460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-145415</wp:posOffset>
            </wp:positionV>
            <wp:extent cx="76835" cy="1460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-145415</wp:posOffset>
            </wp:positionV>
            <wp:extent cx="68580" cy="1460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-145415</wp:posOffset>
            </wp:positionV>
            <wp:extent cx="68580" cy="1460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-145415</wp:posOffset>
            </wp:positionV>
            <wp:extent cx="68580" cy="1460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55"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Speculative construction loans are generally for properties where there is no identified buyer or renter.</w:t>
      </w:r>
    </w:p>
    <w:p>
      <w:pPr>
        <w:spacing w:after="0" w:line="216"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2" w:name="page23"/>
    <w:bookmarkEnd w:id="22"/>
    <w:p>
      <w:pPr>
        <w:ind w:right="160" w:firstLine="469"/>
        <w:spacing w:after="0" w:line="282" w:lineRule="auto"/>
        <w:rPr>
          <w:sz w:val="20"/>
          <w:szCs w:val="20"/>
          <w:color w:val="auto"/>
        </w:rPr>
      </w:pPr>
      <w:r>
        <w:rPr>
          <w:rFonts w:ascii="Times New Roman" w:cs="Times New Roman" w:eastAsia="Times New Roman" w:hAnsi="Times New Roman"/>
          <w:sz w:val="18"/>
          <w:szCs w:val="18"/>
          <w:color w:val="auto"/>
        </w:rPr>
        <w:t>Amortized cost of our finance receivables and loans that are on nonaccrual status, including loans with no allowance are presented as of September 30, 2022 and December 31, 2021 by type of loan.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5980" w:type="dxa"/>
            <w:vAlign w:val="bottom"/>
          </w:tcPr>
          <w:p>
            <w:pPr>
              <w:spacing w:after="0"/>
              <w:rPr>
                <w:sz w:val="13"/>
                <w:szCs w:val="13"/>
                <w:color w:val="auto"/>
              </w:rPr>
            </w:pPr>
          </w:p>
        </w:tc>
        <w:tc>
          <w:tcPr>
            <w:tcW w:w="1420" w:type="dxa"/>
            <w:vAlign w:val="bottom"/>
            <w:gridSpan w:val="2"/>
          </w:tcPr>
          <w:p>
            <w:pPr>
              <w:jc w:val="right"/>
              <w:ind w:right="10"/>
              <w:spacing w:after="0" w:line="160" w:lineRule="exact"/>
              <w:rPr>
                <w:sz w:val="20"/>
                <w:szCs w:val="20"/>
                <w:color w:val="auto"/>
              </w:rPr>
            </w:pPr>
            <w:r>
              <w:rPr>
                <w:rFonts w:ascii="Times New Roman" w:cs="Times New Roman" w:eastAsia="Times New Roman" w:hAnsi="Times New Roman"/>
                <w:sz w:val="18"/>
                <w:szCs w:val="18"/>
                <w:b w:val="1"/>
                <w:bCs w:val="1"/>
                <w:color w:val="auto"/>
              </w:rPr>
              <w:t>Nonaccrual with</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7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Loans Past Due Over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142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No Allowance for</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480"/>
              <w:spacing w:after="0" w:line="189" w:lineRule="exact"/>
              <w:rPr>
                <w:sz w:val="20"/>
                <w:szCs w:val="20"/>
                <w:color w:val="auto"/>
              </w:rPr>
            </w:pPr>
            <w:r>
              <w:rPr>
                <w:rFonts w:ascii="Times New Roman" w:cs="Times New Roman" w:eastAsia="Times New Roman" w:hAnsi="Times New Roman"/>
                <w:sz w:val="18"/>
                <w:szCs w:val="18"/>
                <w:b w:val="1"/>
                <w:bCs w:val="1"/>
                <w:color w:val="auto"/>
                <w:w w:val="98"/>
              </w:rPr>
              <w:t>Nonaccrual</w:t>
            </w:r>
          </w:p>
        </w:tc>
        <w:tc>
          <w:tcPr>
            <w:tcW w:w="1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280" w:type="dxa"/>
            <w:vAlign w:val="bottom"/>
          </w:tcPr>
          <w:p>
            <w:pPr>
              <w:spacing w:after="0"/>
              <w:rPr>
                <w:sz w:val="20"/>
                <w:szCs w:val="20"/>
                <w:color w:val="auto"/>
              </w:rPr>
            </w:pPr>
          </w:p>
        </w:tc>
        <w:tc>
          <w:tcPr>
            <w:tcW w:w="18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89 Days Still Accruing</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40" w:type="dxa"/>
            <w:vAlign w:val="bottom"/>
            <w:gridSpan w:val="4"/>
          </w:tcPr>
          <w:p>
            <w:pPr>
              <w:ind w:left="4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 occupied</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6,686</w:t>
            </w: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6,686</w:t>
            </w:r>
          </w:p>
        </w:tc>
        <w:tc>
          <w:tcPr>
            <w:tcW w:w="280" w:type="dxa"/>
            <w:vAlign w:val="bottom"/>
          </w:tcPr>
          <w:p>
            <w:pPr>
              <w:spacing w:after="0"/>
              <w:rPr>
                <w:sz w:val="18"/>
                <w:szCs w:val="18"/>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Non-owner occupied</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Speculative (2)</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Non-speculative</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28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SBA - PPP</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28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Municipal lease finance receivables</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SFR mortgage</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and other loans</w:t>
            </w: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gross loans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8,904</w:t>
            </w: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10,117</w:t>
            </w:r>
          </w:p>
        </w:tc>
        <w:tc>
          <w:tcPr>
            <w:tcW w:w="280" w:type="dxa"/>
            <w:vAlign w:val="bottom"/>
          </w:tcPr>
          <w:p>
            <w:pPr>
              <w:spacing w:after="0"/>
              <w:rPr>
                <w:sz w:val="18"/>
                <w:szCs w:val="18"/>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-170815</wp:posOffset>
            </wp:positionV>
            <wp:extent cx="77470" cy="1714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-170815</wp:posOffset>
            </wp:positionV>
            <wp:extent cx="68580" cy="1714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9" w:lineRule="exact"/>
        <w:rPr>
          <w:sz w:val="20"/>
          <w:szCs w:val="20"/>
          <w:color w:val="auto"/>
        </w:rPr>
      </w:pPr>
    </w:p>
    <w:p>
      <w:pPr>
        <w:ind w:left="760" w:right="20" w:hanging="378"/>
        <w:spacing w:after="0" w:line="249" w:lineRule="auto"/>
        <w:tabs>
          <w:tab w:leader="none" w:pos="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September 30, 2022, $300,000 of nonaccruing loans were current, $80,000 were 30-59 days past due, $142,000 were 60-89 days past due, and $9.6 million were 90+ days past due.</w:t>
      </w:r>
    </w:p>
    <w:p>
      <w:pPr>
        <w:ind w:left="760" w:hanging="378"/>
        <w:spacing w:after="0"/>
        <w:tabs>
          <w:tab w:leader="none" w:pos="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Speculative construction loans are generally for properties where there is no identified buyer or renter.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5940" w:type="dxa"/>
            <w:vAlign w:val="bottom"/>
          </w:tcPr>
          <w:p>
            <w:pPr>
              <w:spacing w:after="0"/>
              <w:rPr>
                <w:sz w:val="13"/>
                <w:szCs w:val="13"/>
                <w:color w:val="auto"/>
              </w:rPr>
            </w:pPr>
          </w:p>
        </w:tc>
        <w:tc>
          <w:tcPr>
            <w:tcW w:w="1420" w:type="dxa"/>
            <w:vAlign w:val="bottom"/>
            <w:gridSpan w:val="2"/>
          </w:tcPr>
          <w:p>
            <w:pPr>
              <w:jc w:val="right"/>
              <w:ind w:right="10"/>
              <w:spacing w:after="0" w:line="160" w:lineRule="exact"/>
              <w:rPr>
                <w:sz w:val="20"/>
                <w:szCs w:val="20"/>
                <w:color w:val="auto"/>
              </w:rPr>
            </w:pPr>
            <w:r>
              <w:rPr>
                <w:rFonts w:ascii="Times New Roman" w:cs="Times New Roman" w:eastAsia="Times New Roman" w:hAnsi="Times New Roman"/>
                <w:sz w:val="18"/>
                <w:szCs w:val="18"/>
                <w:b w:val="1"/>
                <w:bCs w:val="1"/>
                <w:color w:val="auto"/>
              </w:rPr>
              <w:t>Nonaccrual with</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7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Loans Past Due Over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940" w:type="dxa"/>
            <w:vAlign w:val="bottom"/>
          </w:tcPr>
          <w:p>
            <w:pPr>
              <w:spacing w:after="0"/>
              <w:rPr>
                <w:sz w:val="16"/>
                <w:szCs w:val="16"/>
                <w:color w:val="auto"/>
              </w:rPr>
            </w:pPr>
          </w:p>
        </w:tc>
        <w:tc>
          <w:tcPr>
            <w:tcW w:w="142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No Allowance for</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440"/>
              <w:spacing w:after="0" w:line="189" w:lineRule="exact"/>
              <w:rPr>
                <w:sz w:val="20"/>
                <w:szCs w:val="20"/>
                <w:color w:val="auto"/>
              </w:rPr>
            </w:pPr>
            <w:r>
              <w:rPr>
                <w:rFonts w:ascii="Times New Roman" w:cs="Times New Roman" w:eastAsia="Times New Roman" w:hAnsi="Times New Roman"/>
                <w:sz w:val="18"/>
                <w:szCs w:val="18"/>
                <w:b w:val="1"/>
                <w:bCs w:val="1"/>
                <w:color w:val="auto"/>
                <w:w w:val="98"/>
              </w:rPr>
              <w:t>Nonaccrual</w:t>
            </w:r>
          </w:p>
        </w:tc>
        <w:tc>
          <w:tcPr>
            <w:tcW w:w="1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280" w:type="dxa"/>
            <w:vAlign w:val="bottom"/>
          </w:tcPr>
          <w:p>
            <w:pPr>
              <w:spacing w:after="0"/>
              <w:rPr>
                <w:sz w:val="20"/>
                <w:szCs w:val="20"/>
                <w:color w:val="auto"/>
              </w:rPr>
            </w:pPr>
          </w:p>
        </w:tc>
        <w:tc>
          <w:tcPr>
            <w:tcW w:w="18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89 Days Still Accruing</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 occupied</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280" w:type="dxa"/>
            <w:vAlign w:val="bottom"/>
          </w:tcPr>
          <w:p>
            <w:pPr>
              <w:spacing w:after="0"/>
              <w:rPr>
                <w:sz w:val="18"/>
                <w:szCs w:val="18"/>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Non-owner occupied</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Speculative (2)</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Non-speculative</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28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SBA - PPP</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28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Municipal lease finance receivables</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SFR mortgage</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and other loans</w:t>
            </w: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8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gross loans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5,992</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280" w:type="dxa"/>
            <w:vAlign w:val="bottom"/>
          </w:tcPr>
          <w:p>
            <w:pPr>
              <w:spacing w:after="0"/>
              <w:rPr>
                <w:sz w:val="18"/>
                <w:szCs w:val="18"/>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-170815</wp:posOffset>
            </wp:positionV>
            <wp:extent cx="76835" cy="1714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-170815</wp:posOffset>
            </wp:positionV>
            <wp:extent cx="68580" cy="1714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9" w:lineRule="exact"/>
        <w:rPr>
          <w:sz w:val="20"/>
          <w:szCs w:val="20"/>
          <w:color w:val="auto"/>
        </w:rPr>
      </w:pPr>
    </w:p>
    <w:p>
      <w:pPr>
        <w:ind w:left="760" w:right="300" w:hanging="378"/>
        <w:spacing w:after="0" w:line="249" w:lineRule="auto"/>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2021, $1.2 million of nonaccruing loans were current, $332,000 were 30-59 days past due, $267,000 were 60-89 days past due, and $5.1 million were 90+ days past due.</w:t>
      </w: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Speculative construction loans are generally for properties where there is no identified buyer or renter.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Collateral Dependent Loans</w:t>
      </w:r>
    </w:p>
    <w:p>
      <w:pPr>
        <w:spacing w:after="0" w:line="216" w:lineRule="exact"/>
        <w:rPr>
          <w:sz w:val="20"/>
          <w:szCs w:val="20"/>
          <w:color w:val="auto"/>
        </w:rPr>
      </w:pPr>
    </w:p>
    <w:p>
      <w:pPr>
        <w:ind w:right="220" w:firstLine="464"/>
        <w:spacing w:after="0" w:line="258" w:lineRule="auto"/>
        <w:rPr>
          <w:sz w:val="20"/>
          <w:szCs w:val="20"/>
          <w:color w:val="auto"/>
        </w:rPr>
      </w:pPr>
      <w:r>
        <w:rPr>
          <w:rFonts w:ascii="Times New Roman" w:cs="Times New Roman" w:eastAsia="Times New Roman" w:hAnsi="Times New Roman"/>
          <w:sz w:val="18"/>
          <w:szCs w:val="18"/>
          <w:color w:val="auto"/>
        </w:rPr>
        <w:t>A loan is considered collateral-dependent when the borrower is experiencing financial difficulty and repayment is expected to be provided substantially through the operation or sale of the collateral. The following table presents the recorded investment in collateral-dependent loans by type of loans as of the dates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Loans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Business Assets</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60" w:type="dxa"/>
            <w:vAlign w:val="bottom"/>
          </w:tcPr>
          <w:p>
            <w:pPr>
              <w:spacing w:after="0"/>
              <w:rPr>
                <w:sz w:val="13"/>
                <w:szCs w:val="13"/>
                <w:color w:val="auto"/>
              </w:rPr>
            </w:pPr>
          </w:p>
        </w:tc>
        <w:tc>
          <w:tcPr>
            <w:tcW w:w="1740" w:type="dxa"/>
            <w:vAlign w:val="bottom"/>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rPr>
              <w:t>Dependent 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0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300" w:type="dxa"/>
            <w:vAlign w:val="bottom"/>
            <w:vMerge w:val="restart"/>
          </w:tcPr>
          <w:p>
            <w:pPr>
              <w:ind w:left="160"/>
              <w:spacing w:after="0"/>
              <w:rPr>
                <w:sz w:val="20"/>
                <w:szCs w:val="20"/>
                <w:color w:val="auto"/>
              </w:rPr>
            </w:pPr>
            <w:r>
              <w:rPr>
                <w:rFonts w:ascii="Times New Roman" w:cs="Times New Roman" w:eastAsia="Times New Roman" w:hAnsi="Times New Roman"/>
                <w:sz w:val="16"/>
                <w:szCs w:val="16"/>
                <w:i w:val="1"/>
                <w:iCs w:val="1"/>
                <w:color w:val="auto"/>
                <w:w w:val="95"/>
              </w:rPr>
              <w:t>in</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Collateral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300" w:type="dxa"/>
            <w:vAlign w:val="bottom"/>
            <w:vMerge w:val="continue"/>
          </w:tcPr>
          <w:p>
            <w:pPr>
              <w:spacing w:after="0"/>
              <w:rPr>
                <w:sz w:val="17"/>
                <w:szCs w:val="17"/>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6,705</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Construction</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SBA</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SBA - PPP</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2,764</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Dairy &amp; livestock and agribusiness</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Municipal lease finance receivables</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SFR mortgage</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Consumer and other loans</w:t>
            </w:r>
          </w:p>
        </w:tc>
        <w:tc>
          <w:tcPr>
            <w:tcW w:w="2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3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collateral-dependent loans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3,613</w:t>
            </w: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-161925</wp:posOffset>
            </wp:positionV>
            <wp:extent cx="77470" cy="16256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-161925</wp:posOffset>
            </wp:positionV>
            <wp:extent cx="68580" cy="16256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-161925</wp:posOffset>
            </wp:positionV>
            <wp:extent cx="68580" cy="16256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16256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Loans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Business Assets</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20" w:type="dxa"/>
            <w:vAlign w:val="bottom"/>
          </w:tcPr>
          <w:p>
            <w:pPr>
              <w:spacing w:after="0"/>
              <w:rPr>
                <w:sz w:val="12"/>
                <w:szCs w:val="12"/>
                <w:color w:val="auto"/>
              </w:rPr>
            </w:pPr>
          </w:p>
        </w:tc>
        <w:tc>
          <w:tcPr>
            <w:tcW w:w="168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Dependent 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Collateral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28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w w:val="79"/>
              </w:rPr>
              <w:t>in</w:t>
            </w: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6,001</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Construction</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SBA</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SBA - PPP</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5,133</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Dairy &amp; livestock and agribusiness</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Municipal lease finance receivables</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SFR mortgage</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Consumer and other loans</w:t>
            </w:r>
          </w:p>
        </w:tc>
        <w:tc>
          <w:tcPr>
            <w:tcW w:w="2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3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FF0FC"/>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collateral-dependent loans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5,650</w:t>
            </w: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-162560</wp:posOffset>
            </wp:positionV>
            <wp:extent cx="77470" cy="16319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-162560</wp:posOffset>
            </wp:positionV>
            <wp:extent cx="68580" cy="16319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-162560</wp:posOffset>
            </wp:positionV>
            <wp:extent cx="68580" cy="16319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 for Unfunded Loan Commitments</w:t>
      </w:r>
    </w:p>
    <w:p>
      <w:pPr>
        <w:spacing w:after="0" w:line="216" w:lineRule="exact"/>
        <w:rPr>
          <w:sz w:val="20"/>
          <w:szCs w:val="20"/>
          <w:color w:val="auto"/>
        </w:rPr>
      </w:pPr>
    </w:p>
    <w:p>
      <w:pPr>
        <w:ind w:right="100" w:firstLine="469"/>
        <w:spacing w:after="0" w:line="244" w:lineRule="auto"/>
        <w:rPr>
          <w:sz w:val="20"/>
          <w:szCs w:val="20"/>
          <w:color w:val="auto"/>
        </w:rPr>
      </w:pPr>
      <w:r>
        <w:rPr>
          <w:rFonts w:ascii="Times New Roman" w:cs="Times New Roman" w:eastAsia="Times New Roman" w:hAnsi="Times New Roman"/>
          <w:sz w:val="18"/>
          <w:szCs w:val="18"/>
          <w:color w:val="auto"/>
        </w:rPr>
        <w:t>The allowance for off-balance sheet credit exposure relates to commitments to extend credit, letters of credit and undisbursed funds on lines of credit. The Company evaluates credit risk associated with the off-balance sheet loan commitments in the same manner as it evaluates credit risk associated with the loan and lease portfolio. The Bank's ACL methodology produced an allowance of $8.0 million for the off-balance sheet credit exposures as of September 30, 2022. There was no provision or recapture of provision for unfunded loan commitments for the nine months ended September 30, 2022, compared to a $1.0 million recapture of provision for unfunded loan commitments for the nine months ended September 30, 2021. As of September 30, 2022 and December 31, 2021, the balance in this reserve was $8.0 million and was included in other liabilities.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Troubled Debt Restructurings (“TDRs”)</w:t>
      </w:r>
    </w:p>
    <w:p>
      <w:pPr>
        <w:spacing w:after="0" w:line="216" w:lineRule="exact"/>
        <w:rPr>
          <w:sz w:val="20"/>
          <w:szCs w:val="20"/>
          <w:color w:val="auto"/>
        </w:rPr>
      </w:pPr>
    </w:p>
    <w:p>
      <w:pPr>
        <w:ind w:right="160" w:firstLine="469"/>
        <w:spacing w:after="0" w:line="250" w:lineRule="auto"/>
        <w:rPr>
          <w:sz w:val="20"/>
          <w:szCs w:val="20"/>
          <w:color w:val="auto"/>
        </w:rPr>
      </w:pPr>
      <w:r>
        <w:rPr>
          <w:rFonts w:ascii="Times New Roman" w:cs="Times New Roman" w:eastAsia="Times New Roman" w:hAnsi="Times New Roman"/>
          <w:sz w:val="18"/>
          <w:szCs w:val="18"/>
          <w:color w:val="auto"/>
        </w:rPr>
        <w:t xml:space="preserve">Loans that are reported as TDRs are considered impaired and charge-off amounts are taken on an individual loan basis, as deemed appropriate. The majority of restructured loans are loans for which the terms of repayment have been renegotiated, resulting in a reduction in interest rate or deferral of principal. Refer to Note 3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included in our Annual Report on Form 10-K for the year ended December 31, 2021 for a more detailed discussion regarding TDRs.</w:t>
      </w:r>
    </w:p>
    <w:p>
      <w:pPr>
        <w:spacing w:after="0" w:line="177" w:lineRule="exact"/>
        <w:rPr>
          <w:sz w:val="20"/>
          <w:szCs w:val="20"/>
          <w:color w:val="auto"/>
        </w:rPr>
      </w:pPr>
    </w:p>
    <w:p>
      <w:pPr>
        <w:ind w:right="20" w:firstLine="469"/>
        <w:spacing w:after="0" w:line="245" w:lineRule="auto"/>
        <w:rPr>
          <w:sz w:val="20"/>
          <w:szCs w:val="20"/>
          <w:color w:val="auto"/>
        </w:rPr>
      </w:pPr>
      <w:r>
        <w:rPr>
          <w:rFonts w:ascii="Times New Roman" w:cs="Times New Roman" w:eastAsia="Times New Roman" w:hAnsi="Times New Roman"/>
          <w:sz w:val="18"/>
          <w:szCs w:val="18"/>
          <w:color w:val="auto"/>
        </w:rPr>
        <w:t>As of September 30, 2022, there were $5.8 million of loans classified as a TDR, all of which were performing. TDRs on accrual status are comprised of loans that were accruing interest at the time of restructuring or have demonstrated repayment performance in compliance with the restructured terms for a sustained period and for which the Company anticipates full repayment of both principal and interest. At September 30, 2022, performing TDRs were comprised of four commercial and industrial loans of $4.8 million and five SFR mortgage loans totaling $1.0 million.</w:t>
      </w:r>
    </w:p>
    <w:p>
      <w:pPr>
        <w:spacing w:after="0" w:line="181" w:lineRule="exact"/>
        <w:rPr>
          <w:sz w:val="20"/>
          <w:szCs w:val="20"/>
          <w:color w:val="auto"/>
        </w:rPr>
      </w:pPr>
    </w:p>
    <w:p>
      <w:pPr>
        <w:ind w:right="380" w:firstLine="469"/>
        <w:spacing w:after="0" w:line="266" w:lineRule="auto"/>
        <w:rPr>
          <w:sz w:val="20"/>
          <w:szCs w:val="20"/>
          <w:color w:val="auto"/>
        </w:rPr>
      </w:pPr>
      <w:r>
        <w:rPr>
          <w:rFonts w:ascii="Times New Roman" w:cs="Times New Roman" w:eastAsia="Times New Roman" w:hAnsi="Times New Roman"/>
          <w:sz w:val="18"/>
          <w:szCs w:val="18"/>
          <w:color w:val="auto"/>
        </w:rPr>
        <w:t>The majority of TDRs have no specific allowance allocated as any impairment amount is normally charged off at the time the loan is considered uncollectible. We have no allocated allowance to TDRs as of September 30, 2022 and December 31, 2021.</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provides a summary of the activity related to TDRs for the periods presented.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80" w:type="dxa"/>
            <w:vAlign w:val="bottom"/>
            <w:gridSpan w:val="5"/>
          </w:tcPr>
          <w:p>
            <w:pPr>
              <w:jc w:val="right"/>
              <w:ind w:right="1019"/>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74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8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8"/>
        </w:trPr>
        <w:tc>
          <w:tcPr>
            <w:tcW w:w="4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1720" w:type="dxa"/>
            <w:vAlign w:val="bottom"/>
            <w:gridSpan w:val="3"/>
          </w:tcPr>
          <w:p>
            <w:pPr>
              <w:jc w:val="center"/>
              <w:ind w:right="67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Performing TDRs: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Beginning balance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3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400" w:type="dxa"/>
            <w:vAlign w:val="bottom"/>
          </w:tcPr>
          <w:p>
            <w:pPr>
              <w:spacing w:after="0"/>
              <w:rPr>
                <w:sz w:val="18"/>
                <w:szCs w:val="18"/>
                <w:color w:val="auto"/>
              </w:rPr>
            </w:pPr>
          </w:p>
        </w:tc>
        <w:tc>
          <w:tcPr>
            <w:tcW w:w="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280" w:type="dxa"/>
            <w:vAlign w:val="bottom"/>
          </w:tcPr>
          <w:p>
            <w:pPr>
              <w:spacing w:after="0"/>
              <w:rPr>
                <w:sz w:val="18"/>
                <w:szCs w:val="18"/>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New modifications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Payoffs/payments, net and other</w:t>
            </w: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(2,574 )</w:t>
            </w:r>
          </w:p>
        </w:tc>
        <w:tc>
          <w:tcPr>
            <w:tcW w:w="420" w:type="dxa"/>
            <w:vAlign w:val="bottom"/>
          </w:tcPr>
          <w:p>
            <w:pPr>
              <w:spacing w:after="0"/>
              <w:rPr>
                <w:sz w:val="18"/>
                <w:szCs w:val="18"/>
                <w:color w:val="auto"/>
              </w:rPr>
            </w:pPr>
          </w:p>
        </w:tc>
        <w:tc>
          <w:tcPr>
            <w:tcW w:w="1300" w:type="dxa"/>
            <w:vAlign w:val="bottom"/>
            <w:gridSpan w:val="2"/>
          </w:tcPr>
          <w:p>
            <w:pPr>
              <w:jc w:val="right"/>
              <w:ind w:right="239"/>
              <w:spacing w:after="0"/>
              <w:rPr>
                <w:sz w:val="20"/>
                <w:szCs w:val="20"/>
                <w:color w:val="auto"/>
              </w:rPr>
            </w:pPr>
            <w:r>
              <w:rPr>
                <w:rFonts w:ascii="Times New Roman" w:cs="Times New Roman" w:eastAsia="Times New Roman" w:hAnsi="Times New Roman"/>
                <w:sz w:val="18"/>
                <w:szCs w:val="18"/>
                <w:color w:val="auto"/>
              </w:rPr>
              <w:t>(240 )</w:t>
            </w: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(2,669 )</w:t>
            </w:r>
          </w:p>
        </w:tc>
        <w:tc>
          <w:tcPr>
            <w:tcW w:w="4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(1,280 )</w:t>
            </w:r>
          </w:p>
        </w:tc>
      </w:tr>
      <w:tr>
        <w:trPr>
          <w:trHeight w:val="216"/>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TDRs returned to accrual status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TDRs placed on nonaccrual status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0"/>
        </w:trPr>
        <w:tc>
          <w:tcPr>
            <w:tcW w:w="4820" w:type="dxa"/>
            <w:vAlign w:val="bottom"/>
            <w:tcBorders>
              <w:bottom w:val="single" w:sz="8" w:color="CFF0FC"/>
            </w:tcBorders>
            <w:shd w:val="clear" w:color="auto" w:fill="CFF0FC"/>
          </w:tcPr>
          <w:p>
            <w:pPr>
              <w:jc w:val="center"/>
              <w:ind w:right="2490"/>
              <w:spacing w:after="0"/>
              <w:rPr>
                <w:sz w:val="20"/>
                <w:szCs w:val="20"/>
                <w:color w:val="auto"/>
              </w:rPr>
            </w:pPr>
            <w:r>
              <w:rPr>
                <w:rFonts w:ascii="Times New Roman" w:cs="Times New Roman" w:eastAsia="Times New Roman" w:hAnsi="Times New Roman"/>
                <w:sz w:val="18"/>
                <w:szCs w:val="18"/>
                <w:color w:val="auto"/>
              </w:rPr>
              <w:t>Ending balance</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3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7,975</w:t>
            </w:r>
          </w:p>
        </w:tc>
        <w:tc>
          <w:tcPr>
            <w:tcW w:w="4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Nonperforming TDRs: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Beginning balance</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New modifications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Charge-offs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Payoffs/payments, net and other</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TDRs returned to accrual status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TDRs placed on nonaccrual status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4820" w:type="dxa"/>
            <w:vAlign w:val="bottom"/>
            <w:tcBorders>
              <w:bottom w:val="single" w:sz="8" w:color="CFF0FC"/>
            </w:tcBorders>
            <w:shd w:val="clear" w:color="auto" w:fill="CFF0FC"/>
          </w:tcPr>
          <w:p>
            <w:pPr>
              <w:jc w:val="center"/>
              <w:ind w:right="2490"/>
              <w:spacing w:after="0"/>
              <w:rPr>
                <w:sz w:val="20"/>
                <w:szCs w:val="20"/>
                <w:color w:val="auto"/>
              </w:rPr>
            </w:pPr>
            <w:r>
              <w:rPr>
                <w:rFonts w:ascii="Times New Roman" w:cs="Times New Roman" w:eastAsia="Times New Roman" w:hAnsi="Times New Roman"/>
                <w:sz w:val="18"/>
                <w:szCs w:val="18"/>
                <w:color w:val="auto"/>
              </w:rPr>
              <w:t>Ending balance</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820" w:type="dxa"/>
            <w:vAlign w:val="bottom"/>
          </w:tcPr>
          <w:p>
            <w:pPr>
              <w:jc w:val="center"/>
              <w:ind w:right="2490"/>
              <w:spacing w:after="0"/>
              <w:rPr>
                <w:sz w:val="20"/>
                <w:szCs w:val="20"/>
                <w:color w:val="auto"/>
              </w:rPr>
            </w:pPr>
            <w:r>
              <w:rPr>
                <w:rFonts w:ascii="Times New Roman" w:cs="Times New Roman" w:eastAsia="Times New Roman" w:hAnsi="Times New Roman"/>
                <w:sz w:val="18"/>
                <w:szCs w:val="18"/>
                <w:color w:val="auto"/>
                <w:w w:val="98"/>
              </w:rPr>
              <w:t>Total TDRs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32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7,975</w:t>
            </w:r>
          </w:p>
        </w:tc>
        <w:tc>
          <w:tcPr>
            <w:tcW w:w="400" w:type="dxa"/>
            <w:vAlign w:val="bottom"/>
          </w:tcPr>
          <w:p>
            <w:pPr>
              <w:spacing w:after="0"/>
              <w:rPr>
                <w:sz w:val="18"/>
                <w:szCs w:val="18"/>
                <w:color w:val="auto"/>
              </w:rPr>
            </w:pPr>
          </w:p>
        </w:tc>
        <w:tc>
          <w:tcPr>
            <w:tcW w:w="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280" w:type="dxa"/>
            <w:vAlign w:val="bottom"/>
          </w:tcPr>
          <w:p>
            <w:pPr>
              <w:spacing w:after="0"/>
              <w:rPr>
                <w:sz w:val="18"/>
                <w:szCs w:val="18"/>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7,975</w:t>
            </w:r>
          </w:p>
        </w:tc>
        <w:tc>
          <w:tcPr>
            <w:tcW w:w="100" w:type="dxa"/>
            <w:vAlign w:val="bottom"/>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18"/>
        </w:trPr>
        <w:tc>
          <w:tcPr>
            <w:tcW w:w="4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4"/>
        </w:trPr>
        <w:tc>
          <w:tcPr>
            <w:tcW w:w="4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-2022475</wp:posOffset>
            </wp:positionV>
            <wp:extent cx="77470" cy="1454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-2022475</wp:posOffset>
            </wp:positionV>
            <wp:extent cx="68580" cy="1454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-2022475</wp:posOffset>
            </wp:positionV>
            <wp:extent cx="68580" cy="1454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1454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-908050</wp:posOffset>
            </wp:positionV>
            <wp:extent cx="77470" cy="1714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-908050</wp:posOffset>
            </wp:positionV>
            <wp:extent cx="68580" cy="1714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-908050</wp:posOffset>
            </wp:positionV>
            <wp:extent cx="68580" cy="1714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1714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5" w:name="page26"/>
    <w:bookmarkEnd w:id="25"/>
    <w:p>
      <w:pPr>
        <w:ind w:left="480"/>
        <w:spacing w:after="0"/>
        <w:rPr>
          <w:sz w:val="20"/>
          <w:szCs w:val="20"/>
          <w:color w:val="auto"/>
        </w:rPr>
      </w:pPr>
      <w:r>
        <w:rPr>
          <w:rFonts w:ascii="Times New Roman" w:cs="Times New Roman" w:eastAsia="Times New Roman" w:hAnsi="Times New Roman"/>
          <w:sz w:val="18"/>
          <w:szCs w:val="18"/>
          <w:color w:val="auto"/>
        </w:rPr>
        <w:t>The following tables summarize loans modified as TDRs for the period presented.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Modifications (1)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1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2022</w:t>
            </w: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Pre-Modification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Post-Modification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Recorded Investment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2"/>
          </w:tcPr>
          <w:p>
            <w:pPr>
              <w:jc w:val="center"/>
              <w:ind w:left="28"/>
              <w:spacing w:after="0" w:line="16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Outstanding Recorded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40" w:type="dxa"/>
            <w:vAlign w:val="bottom"/>
            <w:gridSpan w:val="4"/>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Outstanding Recorded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at September 30,</w:t>
            </w:r>
          </w:p>
        </w:tc>
        <w:tc>
          <w:tcPr>
            <w:tcW w:w="204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Financial Effect Resulting From</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Borders>
              <w:bottom w:val="single" w:sz="8" w:color="auto"/>
            </w:tcBorders>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2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Modifications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center"/>
              <w:ind w:left="268"/>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rate reduction</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4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Change in amortization period</w:t>
            </w: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or maturity</w:t>
            </w: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gridSpan w:val="2"/>
            <w:vMerge w:val="continue"/>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20" w:type="dxa"/>
            <w:vAlign w:val="bottom"/>
            <w:vMerge w:val="continue"/>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7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Interest rate reduction</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4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Change in amortization period</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3,204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3,204</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3,204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or maturity</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SFR mortgage:</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rate reduction</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4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Change in amortization period</w:t>
            </w: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or maturity</w:t>
            </w:r>
          </w:p>
        </w:tc>
        <w:tc>
          <w:tcPr>
            <w:tcW w:w="260" w:type="dxa"/>
            <w:vAlign w:val="bottom"/>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gridSpan w:val="2"/>
            <w:vMerge w:val="continue"/>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vMerge w:val="continue"/>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76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4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Total loans</w:t>
            </w:r>
          </w:p>
        </w:tc>
        <w:tc>
          <w:tcPr>
            <w:tcW w:w="2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3,204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3,204</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3,204</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24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1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2021</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Pre-Modification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3"/>
          </w:tcPr>
          <w:p>
            <w:pPr>
              <w:jc w:val="center"/>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Post-Modification</w:t>
            </w:r>
          </w:p>
        </w:tc>
        <w:tc>
          <w:tcPr>
            <w:tcW w:w="20" w:type="dxa"/>
            <w:vAlign w:val="bottom"/>
          </w:tcPr>
          <w:p>
            <w:pPr>
              <w:spacing w:after="0"/>
              <w:rPr>
                <w:sz w:val="11"/>
                <w:szCs w:val="11"/>
                <w:color w:val="auto"/>
              </w:rPr>
            </w:pPr>
          </w:p>
        </w:tc>
        <w:tc>
          <w:tcPr>
            <w:tcW w:w="1580" w:type="dxa"/>
            <w:vAlign w:val="bottom"/>
            <w:gridSpan w:val="3"/>
          </w:tcPr>
          <w:p>
            <w:pPr>
              <w:jc w:val="right"/>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Outstanding Recorded</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420" w:type="dxa"/>
            <w:vAlign w:val="bottom"/>
          </w:tcPr>
          <w:p>
            <w:pPr>
              <w:spacing w:after="0"/>
              <w:rPr>
                <w:sz w:val="13"/>
                <w:szCs w:val="13"/>
                <w:color w:val="auto"/>
              </w:rPr>
            </w:pPr>
          </w:p>
        </w:tc>
        <w:tc>
          <w:tcPr>
            <w:tcW w:w="1160" w:type="dxa"/>
            <w:vAlign w:val="bottom"/>
            <w:gridSpan w:val="3"/>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40" w:type="dxa"/>
            <w:vAlign w:val="bottom"/>
            <w:gridSpan w:val="4"/>
          </w:tcPr>
          <w:p>
            <w:pPr>
              <w:jc w:val="right"/>
              <w:ind w:right="248"/>
              <w:spacing w:after="0" w:line="160" w:lineRule="exact"/>
              <w:rPr>
                <w:sz w:val="20"/>
                <w:szCs w:val="20"/>
                <w:color w:val="auto"/>
              </w:rPr>
            </w:pPr>
            <w:r>
              <w:rPr>
                <w:rFonts w:ascii="Times New Roman" w:cs="Times New Roman" w:eastAsia="Times New Roman" w:hAnsi="Times New Roman"/>
                <w:sz w:val="14"/>
                <w:szCs w:val="14"/>
                <w:b w:val="1"/>
                <w:bCs w:val="1"/>
                <w:color w:val="auto"/>
              </w:rPr>
              <w:t>Outstanding Recorded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5"/>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Outstanding Recorded</w:t>
            </w:r>
          </w:p>
        </w:tc>
        <w:tc>
          <w:tcPr>
            <w:tcW w:w="20" w:type="dxa"/>
            <w:vAlign w:val="bottom"/>
          </w:tcPr>
          <w:p>
            <w:pPr>
              <w:spacing w:after="0"/>
              <w:rPr>
                <w:sz w:val="13"/>
                <w:szCs w:val="13"/>
                <w:color w:val="auto"/>
              </w:rPr>
            </w:pPr>
          </w:p>
        </w:tc>
        <w:tc>
          <w:tcPr>
            <w:tcW w:w="158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Investment at September</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jc w:val="right"/>
              <w:ind w:right="68"/>
              <w:spacing w:after="0" w:line="160" w:lineRule="exact"/>
              <w:rPr>
                <w:sz w:val="20"/>
                <w:szCs w:val="20"/>
                <w:color w:val="auto"/>
              </w:rPr>
            </w:pPr>
            <w:r>
              <w:rPr>
                <w:rFonts w:ascii="Times New Roman" w:cs="Times New Roman" w:eastAsia="Times New Roman" w:hAnsi="Times New Roman"/>
                <w:sz w:val="14"/>
                <w:szCs w:val="14"/>
                <w:b w:val="1"/>
                <w:bCs w:val="1"/>
                <w:color w:val="auto"/>
              </w:rPr>
              <w:t>Financial Effect Resulting</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30, 2021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From Modifications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rate reduction</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4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Change in amortization period</w:t>
            </w: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or maturity</w:t>
            </w:r>
          </w:p>
        </w:tc>
        <w:tc>
          <w:tcPr>
            <w:tcW w:w="100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8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gridSpan w:val="2"/>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8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7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Interest rate reduction</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4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Change in amortization period</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or maturity</w:t>
            </w: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SFR mortgage:</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rate reduction</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4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Change in amortization period</w:t>
            </w: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or maturity</w:t>
            </w:r>
          </w:p>
        </w:tc>
        <w:tc>
          <w:tcPr>
            <w:tcW w:w="1000" w:type="dxa"/>
            <w:vAlign w:val="bottom"/>
            <w:tcBorders>
              <w:bottom w:val="single" w:sz="8" w:color="auto"/>
            </w:tcBorders>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tcBorders>
              <w:bottom w:val="single" w:sz="8" w:color="auto"/>
            </w:tcBorders>
            <w:shd w:val="clear" w:color="auto" w:fill="CFF0FC"/>
          </w:tcPr>
          <w:p>
            <w:pPr>
              <w:spacing w:after="0"/>
              <w:rPr>
                <w:sz w:val="16"/>
                <w:szCs w:val="16"/>
                <w:color w:val="auto"/>
              </w:rPr>
            </w:pPr>
          </w:p>
        </w:tc>
        <w:tc>
          <w:tcPr>
            <w:tcW w:w="60" w:type="dxa"/>
            <w:vAlign w:val="bottom"/>
            <w:tcBorders>
              <w:bottom w:val="single" w:sz="8" w:color="auto"/>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4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gridSpan w:val="2"/>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76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4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Total loans</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720" w:type="dxa"/>
            <w:vAlign w:val="bottom"/>
            <w:tcBorders>
              <w:bottom w:val="single" w:sz="8" w:color="auto"/>
            </w:tcBorders>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1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2022</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Pre-Modification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Post-Modification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Recorded Investment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2"/>
          </w:tcPr>
          <w:p>
            <w:pPr>
              <w:jc w:val="center"/>
              <w:ind w:left="28"/>
              <w:spacing w:after="0" w:line="16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Outstanding Recorded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40" w:type="dxa"/>
            <w:vAlign w:val="bottom"/>
            <w:gridSpan w:val="4"/>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Outstanding Recorded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at September 30,</w:t>
            </w:r>
          </w:p>
        </w:tc>
        <w:tc>
          <w:tcPr>
            <w:tcW w:w="204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Financial Effect Resulting From</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Borders>
              <w:bottom w:val="single" w:sz="8" w:color="auto"/>
            </w:tcBorders>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2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Modifications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center"/>
              <w:ind w:left="268"/>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rate reduction</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4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Change in amortization period</w:t>
            </w: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or maturity</w:t>
            </w: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gridSpan w:val="2"/>
            <w:vMerge w:val="continue"/>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20" w:type="dxa"/>
            <w:vAlign w:val="bottom"/>
            <w:vMerge w:val="continue"/>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7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Interest rate reduction</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4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Change in amortization period</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3,204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3,204</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3,204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or maturity</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SFR mortgage:</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rate reduction</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4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Change in amortization period</w:t>
            </w: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or maturity</w:t>
            </w:r>
          </w:p>
        </w:tc>
        <w:tc>
          <w:tcPr>
            <w:tcW w:w="260" w:type="dxa"/>
            <w:vAlign w:val="bottom"/>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gridSpan w:val="2"/>
            <w:vMerge w:val="continue"/>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vMerge w:val="continue"/>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76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4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Total loans</w:t>
            </w:r>
          </w:p>
        </w:tc>
        <w:tc>
          <w:tcPr>
            <w:tcW w:w="2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3,204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3,204</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3,204</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6" w:name="page27"/>
    <w:bookmarkEnd w:id="26"/>
    <w:p>
      <w:pPr>
        <w:ind w:left="54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6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Pre-Modification</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Post-Modification</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center"/>
              <w:ind w:right="88"/>
              <w:spacing w:after="0" w:line="14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90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Recorded Investment</w:t>
            </w:r>
          </w:p>
        </w:tc>
        <w:tc>
          <w:tcPr>
            <w:tcW w:w="220" w:type="dxa"/>
            <w:vAlign w:val="bottom"/>
          </w:tcPr>
          <w:p>
            <w:pPr>
              <w:spacing w:after="0"/>
              <w:rPr>
                <w:sz w:val="12"/>
                <w:szCs w:val="12"/>
                <w:color w:val="auto"/>
              </w:rPr>
            </w:pPr>
          </w:p>
        </w:tc>
        <w:tc>
          <w:tcPr>
            <w:tcW w:w="2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Effect Resulting From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Recorded</w:t>
            </w:r>
          </w:p>
        </w:tc>
        <w:tc>
          <w:tcPr>
            <w:tcW w:w="240" w:type="dxa"/>
            <w:vAlign w:val="bottom"/>
          </w:tcPr>
          <w:p>
            <w:pPr>
              <w:spacing w:after="0"/>
              <w:rPr>
                <w:sz w:val="12"/>
                <w:szCs w:val="12"/>
                <w:color w:val="auto"/>
              </w:rPr>
            </w:pPr>
          </w:p>
        </w:tc>
        <w:tc>
          <w:tcPr>
            <w:tcW w:w="15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Recorded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at September 30,</w:t>
            </w:r>
          </w:p>
        </w:tc>
        <w:tc>
          <w:tcPr>
            <w:tcW w:w="22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680" w:type="dxa"/>
            <w:vAlign w:val="bottom"/>
          </w:tcPr>
          <w:p>
            <w:pPr>
              <w:spacing w:after="0"/>
              <w:rPr>
                <w:sz w:val="16"/>
                <w:szCs w:val="16"/>
                <w:color w:val="auto"/>
              </w:rPr>
            </w:pPr>
          </w:p>
        </w:tc>
        <w:tc>
          <w:tcPr>
            <w:tcW w:w="90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1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Modifications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Interest rate reduction</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2,446</w:t>
            </w: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580" w:type="dxa"/>
            <w:vAlign w:val="bottom"/>
            <w:gridSpan w:val="2"/>
            <w:shd w:val="clear" w:color="auto" w:fill="CFF0FC"/>
          </w:tcPr>
          <w:p>
            <w:pPr>
              <w:ind w:left="200"/>
              <w:spacing w:after="0" w:line="153" w:lineRule="exact"/>
              <w:rPr>
                <w:sz w:val="20"/>
                <w:szCs w:val="20"/>
                <w:color w:val="auto"/>
              </w:rPr>
            </w:pPr>
            <w:r>
              <w:rPr>
                <w:rFonts w:ascii="Times New Roman" w:cs="Times New Roman" w:eastAsia="Times New Roman" w:hAnsi="Times New Roman"/>
                <w:sz w:val="14"/>
                <w:szCs w:val="14"/>
                <w:color w:val="auto"/>
              </w:rPr>
              <w:t>Change in amortization period</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5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or maturity</w:t>
            </w:r>
          </w:p>
        </w:tc>
        <w:tc>
          <w:tcPr>
            <w:tcW w:w="1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7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Interest rate reduction</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580" w:type="dxa"/>
            <w:vAlign w:val="bottom"/>
            <w:gridSpan w:val="2"/>
          </w:tcPr>
          <w:p>
            <w:pPr>
              <w:ind w:left="200"/>
              <w:spacing w:after="0" w:line="153" w:lineRule="exact"/>
              <w:rPr>
                <w:sz w:val="20"/>
                <w:szCs w:val="20"/>
                <w:color w:val="auto"/>
              </w:rPr>
            </w:pPr>
            <w:r>
              <w:rPr>
                <w:rFonts w:ascii="Times New Roman" w:cs="Times New Roman" w:eastAsia="Times New Roman" w:hAnsi="Times New Roman"/>
                <w:sz w:val="14"/>
                <w:szCs w:val="14"/>
                <w:color w:val="auto"/>
              </w:rPr>
              <w:t>Change in amortization period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4,643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4,643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4,293</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5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or maturity</w:t>
            </w:r>
          </w:p>
        </w:tc>
        <w:tc>
          <w:tcPr>
            <w:tcW w:w="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SFR mortgage:</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Interest rate reduction</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580" w:type="dxa"/>
            <w:vAlign w:val="bottom"/>
            <w:gridSpan w:val="2"/>
            <w:shd w:val="clear" w:color="auto" w:fill="CFF0FC"/>
          </w:tcPr>
          <w:p>
            <w:pPr>
              <w:ind w:left="200"/>
              <w:spacing w:after="0" w:line="153" w:lineRule="exact"/>
              <w:rPr>
                <w:sz w:val="20"/>
                <w:szCs w:val="20"/>
                <w:color w:val="auto"/>
              </w:rPr>
            </w:pPr>
            <w:r>
              <w:rPr>
                <w:rFonts w:ascii="Times New Roman" w:cs="Times New Roman" w:eastAsia="Times New Roman" w:hAnsi="Times New Roman"/>
                <w:sz w:val="14"/>
                <w:szCs w:val="14"/>
                <w:color w:val="auto"/>
              </w:rPr>
              <w:t>Change in amortization period</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or maturity</w:t>
            </w:r>
          </w:p>
        </w:tc>
        <w:tc>
          <w:tcPr>
            <w:tcW w:w="90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76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8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Total loans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7,096</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7,096</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6,739</w:t>
            </w:r>
          </w:p>
        </w:tc>
        <w:tc>
          <w:tcPr>
            <w:tcW w:w="22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tables above exclude modified loans that were paid off prior to the end of the period.</w:t>
      </w:r>
    </w:p>
    <w:p>
      <w:pPr>
        <w:spacing w:after="0" w:line="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effects resulting from modifications represent charge-offs and current allowance for credit losses at modification date.</w:t>
      </w:r>
    </w:p>
    <w:p>
      <w:pPr>
        <w:spacing w:after="0" w:line="212" w:lineRule="exact"/>
        <w:rPr>
          <w:sz w:val="20"/>
          <w:szCs w:val="20"/>
          <w:color w:val="auto"/>
        </w:rPr>
      </w:pPr>
    </w:p>
    <w:p>
      <w:pPr>
        <w:ind w:right="300" w:firstLine="469"/>
        <w:spacing w:after="0" w:line="266" w:lineRule="auto"/>
        <w:rPr>
          <w:sz w:val="20"/>
          <w:szCs w:val="20"/>
          <w:color w:val="auto"/>
        </w:rPr>
      </w:pPr>
      <w:r>
        <w:rPr>
          <w:rFonts w:ascii="Times New Roman" w:cs="Times New Roman" w:eastAsia="Times New Roman" w:hAnsi="Times New Roman"/>
          <w:sz w:val="18"/>
          <w:szCs w:val="18"/>
          <w:color w:val="auto"/>
        </w:rPr>
        <w:t>As of September 30, 2022 and 2021, there were no loans that were modified as a TDR within the previous 12 months that subsequently defaulted during the nine months ended September 30, 2022 and 2021, respectively.</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7" w:name="page28"/>
    <w:bookmarkEnd w:id="27"/>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EARNINGS PER SHARE RECONCILIATION</w:t>
      </w:r>
    </w:p>
    <w:p>
      <w:pPr>
        <w:spacing w:after="0" w:line="216" w:lineRule="exact"/>
        <w:rPr>
          <w:sz w:val="20"/>
          <w:szCs w:val="20"/>
          <w:color w:val="auto"/>
        </w:rPr>
      </w:pPr>
    </w:p>
    <w:p>
      <w:pPr>
        <w:ind w:right="40" w:firstLine="469"/>
        <w:spacing w:after="0" w:line="247" w:lineRule="auto"/>
        <w:rPr>
          <w:sz w:val="20"/>
          <w:szCs w:val="20"/>
          <w:color w:val="auto"/>
        </w:rPr>
      </w:pPr>
      <w:r>
        <w:rPr>
          <w:rFonts w:ascii="Times New Roman" w:cs="Times New Roman" w:eastAsia="Times New Roman" w:hAnsi="Times New Roman"/>
          <w:sz w:val="18"/>
          <w:szCs w:val="18"/>
          <w:color w:val="auto"/>
        </w:rPr>
        <w:t>Basic earnings per common share are computed by dividing income allocated to common stockholders by the weighted-average number of common shares outstanding during each period. The computation of diluted earnings per common share considers the number of shares issuable upon the assumed exercise of outstanding common stock options. Antidilutive common shares are not included in the calculation of diluted earnings per common share. For the three and nine months ended September 30, 2022 shares deemed to be antidilutive, and thus excluded from the computation of earnings per common share, were 66,000 and 247,000, respectively. For the three and nine months ended September 30, 2021 shares deemed to be antidilutive, and thus excluded from the computation of earnings per common share, were 321,000 and 114,000, respectively.</w:t>
      </w:r>
    </w:p>
    <w:p>
      <w:pPr>
        <w:spacing w:after="0" w:line="166" w:lineRule="exact"/>
        <w:rPr>
          <w:sz w:val="20"/>
          <w:szCs w:val="20"/>
          <w:color w:val="auto"/>
        </w:rPr>
      </w:pPr>
    </w:p>
    <w:p>
      <w:pPr>
        <w:ind w:right="220" w:firstLine="469"/>
        <w:spacing w:after="0" w:line="266" w:lineRule="auto"/>
        <w:rPr>
          <w:sz w:val="20"/>
          <w:szCs w:val="20"/>
          <w:color w:val="auto"/>
        </w:rPr>
      </w:pPr>
      <w:r>
        <w:rPr>
          <w:rFonts w:ascii="Times New Roman" w:cs="Times New Roman" w:eastAsia="Times New Roman" w:hAnsi="Times New Roman"/>
          <w:sz w:val="18"/>
          <w:szCs w:val="18"/>
          <w:color w:val="auto"/>
        </w:rPr>
        <w:t>The table below shows earnings per common share and diluted earnings per common share, and reconciles the numerator and denominator of both earnings per common share calculations.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6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60" w:type="dxa"/>
            <w:vAlign w:val="bottom"/>
            <w:gridSpan w:val="7"/>
          </w:tcPr>
          <w:p>
            <w:pPr>
              <w:ind w:left="220"/>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64,639</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49,753</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169,257</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Less: Net earnings allocated to restricted stock</w:t>
            </w:r>
          </w:p>
        </w:tc>
        <w:tc>
          <w:tcPr>
            <w:tcW w:w="1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earnings allocated to common shareholders</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64,205</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49,526</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168,177</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40" w:type="dxa"/>
            <w:vAlign w:val="bottom"/>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138,888</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135,200</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139,923</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135,226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allocated to common shareholders</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64,205</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49,526</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168,177</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40" w:type="dxa"/>
            <w:vAlign w:val="bottom"/>
            <w:shd w:val="clear" w:color="auto" w:fill="CFF0FC"/>
          </w:tcPr>
          <w:p>
            <w:pPr>
              <w:ind w:left="38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138,888</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135,200</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139,923</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135,226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640" w:type="dxa"/>
            <w:vAlign w:val="bottom"/>
          </w:tcPr>
          <w:p>
            <w:pPr>
              <w:ind w:left="380"/>
              <w:spacing w:after="0" w:line="170" w:lineRule="exact"/>
              <w:rPr>
                <w:sz w:val="20"/>
                <w:szCs w:val="20"/>
                <w:color w:val="auto"/>
              </w:rPr>
            </w:pPr>
            <w:r>
              <w:rPr>
                <w:rFonts w:ascii="Times New Roman" w:cs="Times New Roman" w:eastAsia="Times New Roman" w:hAnsi="Times New Roman"/>
                <w:sz w:val="18"/>
                <w:szCs w:val="18"/>
                <w:color w:val="auto"/>
              </w:rPr>
              <w:t>Incremental shares from assumed exercise of</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outstanding options</w:t>
            </w:r>
          </w:p>
        </w:tc>
        <w:tc>
          <w:tcPr>
            <w:tcW w:w="1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139,347</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135,384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140,223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64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46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-2082165</wp:posOffset>
            </wp:positionV>
            <wp:extent cx="76835" cy="1714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-2082165</wp:posOffset>
            </wp:positionV>
            <wp:extent cx="68580" cy="1714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-2082165</wp:posOffset>
            </wp:positionV>
            <wp:extent cx="68580" cy="1714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17145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8" w:name="page29"/>
    <w:bookmarkEnd w:id="28"/>
    <w:p>
      <w:pPr>
        <w:ind w:left="320" w:hanging="312"/>
        <w:spacing w:after="0"/>
        <w:tabs>
          <w:tab w:leader="none" w:pos="3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216" w:lineRule="exact"/>
        <w:rPr>
          <w:sz w:val="20"/>
          <w:szCs w:val="20"/>
          <w:color w:val="auto"/>
        </w:rPr>
      </w:pPr>
    </w:p>
    <w:p>
      <w:pPr>
        <w:ind w:right="300" w:firstLine="469"/>
        <w:spacing w:after="0" w:line="266" w:lineRule="auto"/>
        <w:rPr>
          <w:sz w:val="20"/>
          <w:szCs w:val="20"/>
          <w:color w:val="auto"/>
        </w:rPr>
      </w:pPr>
      <w:r>
        <w:rPr>
          <w:rFonts w:ascii="Times New Roman" w:cs="Times New Roman" w:eastAsia="Times New Roman" w:hAnsi="Times New Roman"/>
          <w:sz w:val="18"/>
          <w:szCs w:val="18"/>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w:t>
      </w:r>
    </w:p>
    <w:p>
      <w:pPr>
        <w:spacing w:after="0" w:line="162" w:lineRule="exact"/>
        <w:rPr>
          <w:sz w:val="20"/>
          <w:szCs w:val="20"/>
          <w:color w:val="auto"/>
        </w:rPr>
      </w:pPr>
    </w:p>
    <w:p>
      <w:pPr>
        <w:ind w:right="20" w:firstLine="469"/>
        <w:spacing w:after="0" w:line="266" w:lineRule="auto"/>
        <w:rPr>
          <w:sz w:val="20"/>
          <w:szCs w:val="20"/>
          <w:color w:val="auto"/>
        </w:rPr>
      </w:pPr>
      <w:r>
        <w:rPr>
          <w:rFonts w:ascii="Times New Roman" w:cs="Times New Roman" w:eastAsia="Times New Roman" w:hAnsi="Times New Roman"/>
          <w:sz w:val="18"/>
          <w:szCs w:val="18"/>
          <w:color w:val="auto"/>
        </w:rPr>
        <w:t xml:space="preserve">The valuation methodologies for financial assets and liabilities measured at fair value on a recurring and non-recurring basis are described in Note 18 — </w:t>
      </w:r>
      <w:r>
        <w:rPr>
          <w:rFonts w:ascii="Times New Roman" w:cs="Times New Roman" w:eastAsia="Times New Roman" w:hAnsi="Times New Roman"/>
          <w:sz w:val="18"/>
          <w:szCs w:val="18"/>
          <w:i w:val="1"/>
          <w:iCs w:val="1"/>
          <w:color w:val="auto"/>
        </w:rPr>
        <w:t>Fair Value Information,</w:t>
      </w:r>
      <w:r>
        <w:rPr>
          <w:rFonts w:ascii="Times New Roman" w:cs="Times New Roman" w:eastAsia="Times New Roman" w:hAnsi="Times New Roman"/>
          <w:sz w:val="18"/>
          <w:szCs w:val="18"/>
          <w:color w:val="auto"/>
        </w:rPr>
        <w:t xml:space="preserve"> included in our Annual Report on Form 10-K for the year ended December 31, 2021.</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tables below present the balances of assets and liabilities measured at fair value on a recurring basis as of the dates presented.</w:t>
      </w:r>
    </w:p>
    <w:p>
      <w:pPr>
        <w:spacing w:after="0" w:line="21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b w:val="1"/>
          <w:bCs w:val="1"/>
          <w:color w:val="auto"/>
        </w:rPr>
        <w:t>Quoted Prices</w:t>
      </w:r>
    </w:p>
    <w:p>
      <w:pPr>
        <w:ind w:left="5720"/>
        <w:spacing w:after="0" w:line="228" w:lineRule="auto"/>
        <w:rPr>
          <w:sz w:val="20"/>
          <w:szCs w:val="20"/>
          <w:color w:val="auto"/>
        </w:rPr>
      </w:pPr>
      <w:r>
        <w:rPr>
          <w:rFonts w:ascii="Times New Roman" w:cs="Times New Roman" w:eastAsia="Times New Roman" w:hAnsi="Times New Roman"/>
          <w:sz w:val="16"/>
          <w:szCs w:val="16"/>
          <w:b w:val="1"/>
          <w:bCs w:val="1"/>
          <w:color w:val="auto"/>
        </w:rPr>
        <w:t>in Active</w:t>
      </w:r>
    </w:p>
    <w:tbl>
      <w:tblPr>
        <w:tblLayout w:type="fixed"/>
        <w:tblInd w:w="0" w:type="dxa"/>
        <w:tblCellMar>
          <w:top w:w="0" w:type="dxa"/>
          <w:left w:w="0" w:type="dxa"/>
          <w:bottom w:w="0" w:type="dxa"/>
          <w:right w:w="0" w:type="dxa"/>
        </w:tblCellMar>
      </w:tblPr>
      <w:tr>
        <w:trPr>
          <w:trHeight w:val="145"/>
        </w:trPr>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jc w:val="center"/>
              <w:ind w:left="120"/>
              <w:spacing w:after="0" w:line="145" w:lineRule="exact"/>
              <w:rPr>
                <w:sz w:val="20"/>
                <w:szCs w:val="20"/>
                <w:color w:val="auto"/>
              </w:rPr>
            </w:pPr>
            <w:r>
              <w:rPr>
                <w:rFonts w:ascii="Times New Roman" w:cs="Times New Roman" w:eastAsia="Times New Roman" w:hAnsi="Times New Roman"/>
                <w:sz w:val="16"/>
                <w:szCs w:val="16"/>
                <w:b w:val="1"/>
                <w:bCs w:val="1"/>
                <w:color w:val="auto"/>
              </w:rPr>
              <w:t>Markets for</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right"/>
              <w:ind w:right="119"/>
              <w:spacing w:after="0" w:line="145" w:lineRule="exact"/>
              <w:rPr>
                <w:sz w:val="20"/>
                <w:szCs w:val="20"/>
                <w:color w:val="auto"/>
              </w:rPr>
            </w:pPr>
            <w:r>
              <w:rPr>
                <w:rFonts w:ascii="Times New Roman" w:cs="Times New Roman" w:eastAsia="Times New Roman" w:hAnsi="Times New Roman"/>
                <w:sz w:val="16"/>
                <w:szCs w:val="16"/>
                <w:b w:val="1"/>
                <w:bCs w:val="1"/>
                <w:color w:val="auto"/>
              </w:rPr>
              <w:t>Significant Other</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tcPr>
          <w:p>
            <w:pPr>
              <w:jc w:val="right"/>
              <w:ind w:right="139"/>
              <w:spacing w:after="0" w:line="145" w:lineRule="exact"/>
              <w:rPr>
                <w:sz w:val="20"/>
                <w:szCs w:val="20"/>
                <w:color w:val="auto"/>
              </w:rPr>
            </w:pPr>
            <w:r>
              <w:rPr>
                <w:rFonts w:ascii="Times New Roman" w:cs="Times New Roman" w:eastAsia="Times New Roman" w:hAnsi="Times New Roman"/>
                <w:sz w:val="16"/>
                <w:szCs w:val="16"/>
                <w:b w:val="1"/>
                <w:bCs w:val="1"/>
                <w:color w:val="auto"/>
              </w:rPr>
              <w:t>Significant 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Carrying Value at</w:t>
            </w:r>
          </w:p>
        </w:tc>
        <w:tc>
          <w:tcPr>
            <w:tcW w:w="280" w:type="dxa"/>
            <w:vAlign w:val="bottom"/>
          </w:tcPr>
          <w:p>
            <w:pPr>
              <w:spacing w:after="0"/>
              <w:rPr>
                <w:sz w:val="15"/>
                <w:szCs w:val="15"/>
                <w:color w:val="auto"/>
              </w:rPr>
            </w:pPr>
          </w:p>
        </w:tc>
        <w:tc>
          <w:tcPr>
            <w:tcW w:w="1600" w:type="dxa"/>
            <w:vAlign w:val="bottom"/>
          </w:tcPr>
          <w:p>
            <w:pPr>
              <w:jc w:val="center"/>
              <w:ind w:left="120"/>
              <w:spacing w:after="0" w:line="175" w:lineRule="exact"/>
              <w:rPr>
                <w:sz w:val="20"/>
                <w:szCs w:val="20"/>
                <w:color w:val="auto"/>
              </w:rPr>
            </w:pPr>
            <w:r>
              <w:rPr>
                <w:rFonts w:ascii="Times New Roman" w:cs="Times New Roman" w:eastAsia="Times New Roman" w:hAnsi="Times New Roman"/>
                <w:sz w:val="16"/>
                <w:szCs w:val="16"/>
                <w:b w:val="1"/>
                <w:bCs w:val="1"/>
                <w:color w:val="auto"/>
              </w:rPr>
              <w:t>Identical Assets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center"/>
              <w:ind w:right="59"/>
              <w:spacing w:after="0" w:line="175" w:lineRule="exact"/>
              <w:rPr>
                <w:sz w:val="20"/>
                <w:szCs w:val="20"/>
                <w:color w:val="auto"/>
              </w:rPr>
            </w:pPr>
            <w:r>
              <w:rPr>
                <w:rFonts w:ascii="Times New Roman" w:cs="Times New Roman" w:eastAsia="Times New Roman" w:hAnsi="Times New Roman"/>
                <w:sz w:val="16"/>
                <w:szCs w:val="16"/>
                <w:b w:val="1"/>
                <w:bCs w:val="1"/>
                <w:color w:val="auto"/>
              </w:rPr>
              <w:t>Observable Inputs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tcPr>
          <w:p>
            <w:pPr>
              <w:jc w:val="center"/>
              <w:ind w:right="59"/>
              <w:spacing w:after="0" w:line="175"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320" w:type="dxa"/>
            <w:vAlign w:val="bottom"/>
          </w:tcPr>
          <w:p>
            <w:pPr>
              <w:spacing w:after="0"/>
              <w:rPr>
                <w:sz w:val="18"/>
                <w:szCs w:val="18"/>
                <w:color w:val="auto"/>
              </w:rPr>
            </w:pPr>
          </w:p>
        </w:tc>
        <w:tc>
          <w:tcPr>
            <w:tcW w:w="15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80" w:type="dxa"/>
            <w:vAlign w:val="bottom"/>
          </w:tcPr>
          <w:p>
            <w:pPr>
              <w:spacing w:after="0"/>
              <w:rPr>
                <w:sz w:val="18"/>
                <w:szCs w:val="18"/>
                <w:color w:val="auto"/>
              </w:rPr>
            </w:pPr>
          </w:p>
        </w:tc>
        <w:tc>
          <w:tcPr>
            <w:tcW w:w="1600" w:type="dxa"/>
            <w:vAlign w:val="bottom"/>
            <w:tcBorders>
              <w:bottom w:val="single" w:sz="8" w:color="auto"/>
            </w:tcBorders>
          </w:tcPr>
          <w:p>
            <w:pPr>
              <w:jc w:val="center"/>
              <w:ind w:left="12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2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20" w:type="dxa"/>
            <w:vAlign w:val="bottom"/>
            <w:gridSpan w:val="7"/>
          </w:tcPr>
          <w:p>
            <w:pPr>
              <w:jc w:val="right"/>
              <w:ind w:right="799"/>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 of assets</w:t>
            </w: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Investment securities - AFS:</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2,839,929</w:t>
            </w:r>
          </w:p>
        </w:tc>
        <w:tc>
          <w:tcPr>
            <w:tcW w:w="1880" w:type="dxa"/>
            <w:vAlign w:val="bottom"/>
            <w:gridSpan w:val="2"/>
            <w:shd w:val="clear" w:color="auto" w:fill="CFF0FC"/>
          </w:tcPr>
          <w:p>
            <w:pPr>
              <w:jc w:val="right"/>
              <w:ind w:right="14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2,839,929</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CMO/REMIC</w:t>
            </w:r>
          </w:p>
        </w:tc>
        <w:tc>
          <w:tcPr>
            <w:tcW w:w="100" w:type="dxa"/>
            <w:vAlign w:val="bottom"/>
          </w:tcPr>
          <w:p>
            <w:pPr>
              <w:spacing w:after="0"/>
              <w:rPr>
                <w:sz w:val="17"/>
                <w:szCs w:val="17"/>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456,390</w:t>
            </w: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456,390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Municipal bonds</w:t>
            </w:r>
          </w:p>
        </w:tc>
        <w:tc>
          <w:tcPr>
            <w:tcW w:w="10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24,551</w:t>
            </w:r>
          </w:p>
        </w:tc>
        <w:tc>
          <w:tcPr>
            <w:tcW w:w="28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24,551</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securities</w:t>
            </w: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954</w:t>
            </w:r>
          </w:p>
        </w:tc>
        <w:tc>
          <w:tcPr>
            <w:tcW w:w="280" w:type="dxa"/>
            <w:vAlign w:val="bottom"/>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investment securities - AFS</w:t>
            </w:r>
          </w:p>
        </w:tc>
        <w:tc>
          <w:tcPr>
            <w:tcW w:w="10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3,321,824</w:t>
            </w:r>
          </w:p>
        </w:tc>
        <w:tc>
          <w:tcPr>
            <w:tcW w:w="28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3,321,824</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rate swaps</w:t>
            </w: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83</w:t>
            </w:r>
          </w:p>
        </w:tc>
        <w:tc>
          <w:tcPr>
            <w:tcW w:w="280" w:type="dxa"/>
            <w:vAlign w:val="bottom"/>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32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3,321,907</w:t>
            </w:r>
          </w:p>
        </w:tc>
        <w:tc>
          <w:tcPr>
            <w:tcW w:w="280" w:type="dxa"/>
            <w:vAlign w:val="bottom"/>
            <w:tcBorders>
              <w:bottom w:val="single" w:sz="8" w:color="CFF0FC"/>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ind w:right="142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3,321,907</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 of liability</w:t>
            </w: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rate swaps</w:t>
            </w:r>
          </w:p>
        </w:tc>
        <w:tc>
          <w:tcPr>
            <w:tcW w:w="1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83</w:t>
            </w:r>
          </w:p>
        </w:tc>
        <w:tc>
          <w:tcPr>
            <w:tcW w:w="280" w:type="dxa"/>
            <w:vAlign w:val="bottom"/>
            <w:tcBorders>
              <w:bottom w:val="single" w:sz="8" w:color="CFF0FC"/>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ind w:right="142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83</w:t>
            </w:r>
          </w:p>
        </w:tc>
        <w:tc>
          <w:tcPr>
            <w:tcW w:w="1880" w:type="dxa"/>
            <w:vAlign w:val="bottom"/>
            <w:gridSpan w:val="2"/>
          </w:tcPr>
          <w:p>
            <w:pPr>
              <w:jc w:val="right"/>
              <w:ind w:right="14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jc w:val="center"/>
              <w:ind w:left="140"/>
              <w:spacing w:after="0"/>
              <w:rPr>
                <w:sz w:val="20"/>
                <w:szCs w:val="20"/>
                <w:color w:val="auto"/>
              </w:rPr>
            </w:pPr>
            <w:r>
              <w:rPr>
                <w:rFonts w:ascii="Times New Roman" w:cs="Times New Roman" w:eastAsia="Times New Roman" w:hAnsi="Times New Roman"/>
                <w:sz w:val="16"/>
                <w:szCs w:val="16"/>
                <w:b w:val="1"/>
                <w:bCs w:val="1"/>
                <w:color w:val="auto"/>
              </w:rPr>
              <w:t>Quoted Prices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jc w:val="center"/>
              <w:ind w:left="100"/>
              <w:spacing w:after="0" w:line="165" w:lineRule="exact"/>
              <w:rPr>
                <w:sz w:val="20"/>
                <w:szCs w:val="20"/>
                <w:color w:val="auto"/>
              </w:rPr>
            </w:pPr>
            <w:r>
              <w:rPr>
                <w:rFonts w:ascii="Times New Roman" w:cs="Times New Roman" w:eastAsia="Times New Roman" w:hAnsi="Times New Roman"/>
                <w:sz w:val="16"/>
                <w:szCs w:val="16"/>
                <w:b w:val="1"/>
                <w:bCs w:val="1"/>
                <w:color w:val="auto"/>
              </w:rPr>
              <w:t>in Active</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Significant Unobservable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center"/>
              <w:ind w:left="140"/>
              <w:spacing w:after="0" w:line="173" w:lineRule="exact"/>
              <w:rPr>
                <w:sz w:val="20"/>
                <w:szCs w:val="20"/>
                <w:color w:val="auto"/>
              </w:rPr>
            </w:pPr>
            <w:r>
              <w:rPr>
                <w:rFonts w:ascii="Times New Roman" w:cs="Times New Roman" w:eastAsia="Times New Roman" w:hAnsi="Times New Roman"/>
                <w:sz w:val="16"/>
                <w:szCs w:val="16"/>
                <w:b w:val="1"/>
                <w:bCs w:val="1"/>
                <w:color w:val="auto"/>
                <w:w w:val="99"/>
              </w:rPr>
              <w:t>Markets for</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Carrying Value at</w:t>
            </w:r>
          </w:p>
        </w:tc>
        <w:tc>
          <w:tcPr>
            <w:tcW w:w="280" w:type="dxa"/>
            <w:vAlign w:val="bottom"/>
          </w:tcPr>
          <w:p>
            <w:pPr>
              <w:spacing w:after="0"/>
              <w:rPr>
                <w:sz w:val="14"/>
                <w:szCs w:val="14"/>
                <w:color w:val="auto"/>
              </w:rPr>
            </w:pPr>
          </w:p>
        </w:tc>
        <w:tc>
          <w:tcPr>
            <w:tcW w:w="1600" w:type="dxa"/>
            <w:vAlign w:val="bottom"/>
          </w:tcPr>
          <w:p>
            <w:pPr>
              <w:jc w:val="center"/>
              <w:ind w:left="140"/>
              <w:spacing w:after="0" w:line="165" w:lineRule="exact"/>
              <w:rPr>
                <w:sz w:val="20"/>
                <w:szCs w:val="20"/>
                <w:color w:val="auto"/>
              </w:rPr>
            </w:pPr>
            <w:r>
              <w:rPr>
                <w:rFonts w:ascii="Times New Roman" w:cs="Times New Roman" w:eastAsia="Times New Roman" w:hAnsi="Times New Roman"/>
                <w:sz w:val="16"/>
                <w:szCs w:val="16"/>
                <w:b w:val="1"/>
                <w:bCs w:val="1"/>
                <w:color w:val="auto"/>
              </w:rPr>
              <w:t>Identical Assets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ind w:right="19"/>
              <w:spacing w:after="0" w:line="165" w:lineRule="exact"/>
              <w:rPr>
                <w:sz w:val="20"/>
                <w:szCs w:val="20"/>
                <w:color w:val="auto"/>
              </w:rPr>
            </w:pPr>
            <w:r>
              <w:rPr>
                <w:rFonts w:ascii="Times New Roman" w:cs="Times New Roman" w:eastAsia="Times New Roman" w:hAnsi="Times New Roman"/>
                <w:sz w:val="16"/>
                <w:szCs w:val="16"/>
                <w:b w:val="1"/>
                <w:bCs w:val="1"/>
                <w:color w:val="auto"/>
              </w:rPr>
              <w:t>Observable Inputs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tcPr>
          <w:p>
            <w:pPr>
              <w:jc w:val="center"/>
              <w:ind w:right="59"/>
              <w:spacing w:after="0" w:line="165"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bottom w:val="single" w:sz="8" w:color="auto"/>
            </w:tcBorders>
          </w:tcPr>
          <w:p>
            <w:pPr>
              <w:jc w:val="cente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20" w:type="dxa"/>
            <w:vAlign w:val="bottom"/>
            <w:gridSpan w:val="7"/>
          </w:tcPr>
          <w:p>
            <w:pPr>
              <w:jc w:val="right"/>
              <w:ind w:right="799"/>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 of assets</w:t>
            </w: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Investment securities - AFS:</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2,563,214</w:t>
            </w:r>
          </w:p>
        </w:tc>
        <w:tc>
          <w:tcPr>
            <w:tcW w:w="2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14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2,563,214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CMO/REMIC</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590,158</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590,158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Municipal bonds</w:t>
            </w:r>
          </w:p>
        </w:tc>
        <w:tc>
          <w:tcPr>
            <w:tcW w:w="1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29,468</w:t>
            </w: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29,468</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securities</w:t>
            </w: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investment securities - AFS</w:t>
            </w:r>
          </w:p>
        </w:tc>
        <w:tc>
          <w:tcPr>
            <w:tcW w:w="1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3,183,923</w:t>
            </w: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3,183,923</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rate swaps</w:t>
            </w: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14,163</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14,163</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32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3,198,086</w:t>
            </w:r>
          </w:p>
        </w:tc>
        <w:tc>
          <w:tcPr>
            <w:tcW w:w="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ind w:right="142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3,198,086</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 of liability</w:t>
            </w: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rate swaps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14,163</w:t>
            </w:r>
          </w:p>
        </w:tc>
        <w:tc>
          <w:tcPr>
            <w:tcW w:w="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ind w:right="142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14,163</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14,163</w:t>
            </w:r>
          </w:p>
        </w:tc>
        <w:tc>
          <w:tcPr>
            <w:tcW w:w="20" w:type="dxa"/>
            <w:vAlign w:val="bottom"/>
          </w:tcPr>
          <w:p>
            <w:pPr>
              <w:spacing w:after="0"/>
              <w:rPr>
                <w:sz w:val="17"/>
                <w:szCs w:val="17"/>
                <w:color w:val="auto"/>
              </w:rPr>
            </w:pPr>
          </w:p>
        </w:tc>
        <w:tc>
          <w:tcPr>
            <w:tcW w:w="1880" w:type="dxa"/>
            <w:vAlign w:val="bottom"/>
            <w:gridSpan w:val="2"/>
          </w:tcPr>
          <w:p>
            <w:pPr>
              <w:jc w:val="right"/>
              <w:ind w:right="14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-2887980</wp:posOffset>
            </wp:positionV>
            <wp:extent cx="4054475" cy="15430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4054475" cy="15430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-2605405</wp:posOffset>
            </wp:positionV>
            <wp:extent cx="76835" cy="16319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-2605405</wp:posOffset>
            </wp:positionV>
            <wp:extent cx="68580" cy="16319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-2605405</wp:posOffset>
            </wp:positionV>
            <wp:extent cx="68580" cy="16319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16319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-445135</wp:posOffset>
            </wp:positionV>
            <wp:extent cx="4063365" cy="15430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063365" cy="1543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-162560</wp:posOffset>
            </wp:positionV>
            <wp:extent cx="77470" cy="16319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-162560</wp:posOffset>
            </wp:positionV>
            <wp:extent cx="68580" cy="16319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-162560</wp:posOffset>
            </wp:positionV>
            <wp:extent cx="68580" cy="16319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216" w:lineRule="exact"/>
        <w:rPr>
          <w:sz w:val="20"/>
          <w:szCs w:val="20"/>
          <w:color w:val="auto"/>
        </w:rPr>
      </w:pPr>
    </w:p>
    <w:p>
      <w:pPr>
        <w:ind w:right="540" w:firstLine="469"/>
        <w:spacing w:after="0" w:line="266" w:lineRule="auto"/>
        <w:rPr>
          <w:sz w:val="20"/>
          <w:szCs w:val="20"/>
          <w:color w:val="auto"/>
        </w:rPr>
      </w:pPr>
      <w:r>
        <w:rPr>
          <w:rFonts w:ascii="Times New Roman" w:cs="Times New Roman" w:eastAsia="Times New Roman" w:hAnsi="Times New Roman"/>
          <w:sz w:val="18"/>
          <w:szCs w:val="18"/>
          <w:color w:val="auto"/>
        </w:rPr>
        <w:t>We may be required to measure certain assets at fair value on a non-recurring basis in accordance with GAAP. These adjustments to fair value usually result from application of lower of cost or fair value accounting or impairment write-downs of individual assets.</w:t>
      </w:r>
    </w:p>
    <w:p>
      <w:pPr>
        <w:spacing w:after="0" w:line="1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 assets measured at fair value on a non-recurring basis that were held on the balance sheet at September 30, 2022 and December 31, 2021,</w:t>
      </w:r>
    </w:p>
    <w:p>
      <w:pPr>
        <w:spacing w:after="0" w:line="16"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respectively, the following tables provide the level of valuation assumptions used to determine each adjustment and the carrying value of the related assets that had losses during the period. These losses on collateral dependent loans represent the amount of the allowance for credit losses and/or charge-offs during the period applicable to loans held at period-end. The amount of the allowance is included in the ACL.</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3"/>
          </w:tcPr>
          <w:p>
            <w:pPr>
              <w:jc w:val="center"/>
              <w:ind w:right="500"/>
              <w:spacing w:after="0"/>
              <w:rPr>
                <w:sz w:val="20"/>
                <w:szCs w:val="20"/>
                <w:color w:val="auto"/>
              </w:rPr>
            </w:pPr>
            <w:r>
              <w:rPr>
                <w:rFonts w:ascii="Times New Roman" w:cs="Times New Roman" w:eastAsia="Times New Roman" w:hAnsi="Times New Roman"/>
                <w:sz w:val="15"/>
                <w:szCs w:val="15"/>
                <w:b w:val="1"/>
                <w:bCs w:val="1"/>
                <w:color w:val="auto"/>
              </w:rPr>
              <w:t>Quoted Prices</w:t>
            </w: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7"/>
              </w:rPr>
              <w:t>Total Losses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3"/>
          </w:tcPr>
          <w:p>
            <w:pPr>
              <w:jc w:val="center"/>
              <w:ind w:right="480"/>
              <w:spacing w:after="0" w:line="156" w:lineRule="exact"/>
              <w:rPr>
                <w:sz w:val="20"/>
                <w:szCs w:val="20"/>
                <w:color w:val="auto"/>
              </w:rPr>
            </w:pPr>
            <w:r>
              <w:rPr>
                <w:rFonts w:ascii="Times New Roman" w:cs="Times New Roman" w:eastAsia="Times New Roman" w:hAnsi="Times New Roman"/>
                <w:sz w:val="15"/>
                <w:szCs w:val="15"/>
                <w:b w:val="1"/>
                <w:bCs w:val="1"/>
                <w:color w:val="auto"/>
              </w:rPr>
              <w:t>in Active</w:t>
            </w: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center"/>
              <w:ind w:right="580"/>
              <w:spacing w:after="0" w:line="162" w:lineRule="exact"/>
              <w:rPr>
                <w:sz w:val="20"/>
                <w:szCs w:val="20"/>
                <w:color w:val="auto"/>
              </w:rPr>
            </w:pPr>
            <w:r>
              <w:rPr>
                <w:rFonts w:ascii="Times New Roman" w:cs="Times New Roman" w:eastAsia="Times New Roman" w:hAnsi="Times New Roman"/>
                <w:sz w:val="15"/>
                <w:szCs w:val="15"/>
                <w:b w:val="1"/>
                <w:bCs w:val="1"/>
                <w:color w:val="auto"/>
              </w:rPr>
              <w:t>Carrying</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tcPr>
          <w:p>
            <w:pPr>
              <w:jc w:val="center"/>
              <w:ind w:right="480"/>
              <w:spacing w:after="0" w:line="162" w:lineRule="exact"/>
              <w:rPr>
                <w:sz w:val="20"/>
                <w:szCs w:val="20"/>
                <w:color w:val="auto"/>
              </w:rPr>
            </w:pPr>
            <w:r>
              <w:rPr>
                <w:rFonts w:ascii="Times New Roman" w:cs="Times New Roman" w:eastAsia="Times New Roman" w:hAnsi="Times New Roman"/>
                <w:sz w:val="15"/>
                <w:szCs w:val="15"/>
                <w:b w:val="1"/>
                <w:bCs w:val="1"/>
                <w:color w:val="auto"/>
              </w:rPr>
              <w:t>Markets for</w:t>
            </w:r>
          </w:p>
        </w:tc>
        <w:tc>
          <w:tcPr>
            <w:tcW w:w="100" w:type="dxa"/>
            <w:vAlign w:val="bottom"/>
          </w:tcPr>
          <w:p>
            <w:pPr>
              <w:spacing w:after="0"/>
              <w:rPr>
                <w:sz w:val="14"/>
                <w:szCs w:val="14"/>
                <w:color w:val="auto"/>
              </w:rPr>
            </w:pPr>
          </w:p>
        </w:tc>
        <w:tc>
          <w:tcPr>
            <w:tcW w:w="152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b w:val="1"/>
                <w:bCs w:val="1"/>
                <w:color w:val="auto"/>
              </w:rPr>
              <w:t>Significant Other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3"/>
          </w:tcPr>
          <w:p>
            <w:pPr>
              <w:jc w:val="center"/>
              <w:ind w:right="540"/>
              <w:spacing w:after="0" w:line="162" w:lineRule="exact"/>
              <w:rPr>
                <w:sz w:val="20"/>
                <w:szCs w:val="20"/>
                <w:color w:val="auto"/>
              </w:rPr>
            </w:pPr>
            <w:r>
              <w:rPr>
                <w:rFonts w:ascii="Times New Roman" w:cs="Times New Roman" w:eastAsia="Times New Roman" w:hAnsi="Times New Roman"/>
                <w:sz w:val="15"/>
                <w:szCs w:val="15"/>
                <w:b w:val="1"/>
                <w:bCs w:val="1"/>
                <w:color w:val="auto"/>
              </w:rPr>
              <w:t>Significant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rPr>
              <w:t>For the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center"/>
              <w:ind w:right="620"/>
              <w:spacing w:after="0" w:line="162" w:lineRule="exact"/>
              <w:rPr>
                <w:sz w:val="20"/>
                <w:szCs w:val="20"/>
                <w:color w:val="auto"/>
              </w:rPr>
            </w:pPr>
            <w:r>
              <w:rPr>
                <w:rFonts w:ascii="Times New Roman" w:cs="Times New Roman" w:eastAsia="Times New Roman" w:hAnsi="Times New Roman"/>
                <w:sz w:val="15"/>
                <w:szCs w:val="15"/>
                <w:b w:val="1"/>
                <w:bCs w:val="1"/>
                <w:color w:val="auto"/>
                <w:w w:val="96"/>
              </w:rPr>
              <w:t>Value at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tcPr>
          <w:p>
            <w:pPr>
              <w:jc w:val="center"/>
              <w:ind w:right="480"/>
              <w:spacing w:after="0" w:line="162" w:lineRule="exact"/>
              <w:rPr>
                <w:sz w:val="20"/>
                <w:szCs w:val="20"/>
                <w:color w:val="auto"/>
              </w:rPr>
            </w:pPr>
            <w:r>
              <w:rPr>
                <w:rFonts w:ascii="Times New Roman" w:cs="Times New Roman" w:eastAsia="Times New Roman" w:hAnsi="Times New Roman"/>
                <w:sz w:val="15"/>
                <w:szCs w:val="15"/>
                <w:b w:val="1"/>
                <w:bCs w:val="1"/>
                <w:color w:val="auto"/>
              </w:rPr>
              <w:t>Identical Assets</w:t>
            </w:r>
          </w:p>
        </w:tc>
        <w:tc>
          <w:tcPr>
            <w:tcW w:w="100" w:type="dxa"/>
            <w:vAlign w:val="bottom"/>
          </w:tcPr>
          <w:p>
            <w:pPr>
              <w:spacing w:after="0"/>
              <w:rPr>
                <w:sz w:val="14"/>
                <w:szCs w:val="14"/>
                <w:color w:val="auto"/>
              </w:rPr>
            </w:pPr>
          </w:p>
        </w:tc>
        <w:tc>
          <w:tcPr>
            <w:tcW w:w="152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b w:val="1"/>
                <w:bCs w:val="1"/>
                <w:color w:val="auto"/>
              </w:rPr>
              <w:t>Observable Inputs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Unobservable Inputs</w:t>
            </w:r>
          </w:p>
        </w:tc>
        <w:tc>
          <w:tcPr>
            <w:tcW w:w="80" w:type="dxa"/>
            <w:vAlign w:val="bottom"/>
          </w:tcPr>
          <w:p>
            <w:pPr>
              <w:spacing w:after="0"/>
              <w:rPr>
                <w:sz w:val="14"/>
                <w:szCs w:val="14"/>
                <w:color w:val="auto"/>
              </w:rPr>
            </w:pPr>
          </w:p>
        </w:tc>
        <w:tc>
          <w:tcPr>
            <w:tcW w:w="146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5"/>
                <w:szCs w:val="15"/>
                <w:b w:val="1"/>
                <w:bCs w:val="1"/>
                <w:color w:val="auto"/>
              </w:rPr>
              <w:t>Nine Months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660" w:type="dxa"/>
            <w:vAlign w:val="bottom"/>
            <w:gridSpan w:val="5"/>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center"/>
              <w:ind w:right="480"/>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100" w:type="dxa"/>
            <w:vAlign w:val="bottom"/>
          </w:tcPr>
          <w:p>
            <w:pPr>
              <w:spacing w:after="0"/>
              <w:rPr>
                <w:sz w:val="17"/>
                <w:szCs w:val="17"/>
                <w:color w:val="auto"/>
              </w:rPr>
            </w:pPr>
          </w:p>
        </w:tc>
        <w:tc>
          <w:tcPr>
            <w:tcW w:w="1520" w:type="dxa"/>
            <w:vAlign w:val="bottom"/>
          </w:tcPr>
          <w:p>
            <w:pPr>
              <w:ind w:left="48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3"/>
          </w:tcPr>
          <w:p>
            <w:pPr>
              <w:jc w:val="center"/>
              <w:ind w:right="500"/>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80" w:type="dxa"/>
            <w:vAlign w:val="bottom"/>
          </w:tcPr>
          <w:p>
            <w:pPr>
              <w:spacing w:after="0"/>
              <w:rPr>
                <w:sz w:val="17"/>
                <w:szCs w:val="17"/>
                <w:color w:val="auto"/>
              </w:rPr>
            </w:pP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Description of assets</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00" w:type="dxa"/>
            <w:vAlign w:val="bottom"/>
            <w:tcBorders>
              <w:right w:val="single" w:sz="8" w:color="CFF0FC"/>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3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Loans: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shd w:val="clear" w:color="auto" w:fill="CFF0FC"/>
          </w:tcPr>
          <w:p>
            <w:pPr>
              <w:spacing w:after="0"/>
              <w:rPr>
                <w:sz w:val="16"/>
                <w:szCs w:val="16"/>
                <w:color w:val="auto"/>
              </w:rPr>
            </w:pPr>
          </w:p>
        </w:tc>
        <w:tc>
          <w:tcPr>
            <w:tcW w:w="23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Commercial real estate</w:t>
            </w:r>
          </w:p>
        </w:tc>
        <w:tc>
          <w:tcPr>
            <w:tcW w:w="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2,639</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8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2,639</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3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Construction</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shd w:val="clear" w:color="auto" w:fill="CFF0FC"/>
          </w:tcPr>
          <w:p>
            <w:pPr>
              <w:spacing w:after="0"/>
              <w:rPr>
                <w:sz w:val="16"/>
                <w:szCs w:val="16"/>
                <w:color w:val="auto"/>
              </w:rPr>
            </w:pPr>
          </w:p>
        </w:tc>
        <w:tc>
          <w:tcPr>
            <w:tcW w:w="23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SBA</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279</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279</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6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26</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3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SBA - PPP</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shd w:val="clear" w:color="auto" w:fill="CFF0FC"/>
          </w:tcPr>
          <w:p>
            <w:pPr>
              <w:spacing w:after="0"/>
              <w:rPr>
                <w:sz w:val="16"/>
                <w:szCs w:val="16"/>
                <w:color w:val="auto"/>
              </w:rPr>
            </w:pPr>
          </w:p>
        </w:tc>
        <w:tc>
          <w:tcPr>
            <w:tcW w:w="23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Commercial and industrial</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270</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270</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6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326</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2380" w:type="dxa"/>
            <w:vAlign w:val="bottom"/>
          </w:tcPr>
          <w:p>
            <w:pPr>
              <w:ind w:left="220"/>
              <w:spacing w:after="0" w:line="145" w:lineRule="exact"/>
              <w:rPr>
                <w:sz w:val="20"/>
                <w:szCs w:val="20"/>
                <w:color w:val="auto"/>
              </w:rPr>
            </w:pPr>
            <w:r>
              <w:rPr>
                <w:rFonts w:ascii="Times New Roman" w:cs="Times New Roman" w:eastAsia="Times New Roman" w:hAnsi="Times New Roman"/>
                <w:sz w:val="15"/>
                <w:szCs w:val="15"/>
                <w:color w:val="auto"/>
              </w:rPr>
              <w:t>Dairy &amp; livestock and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23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agribusiness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80" w:type="dxa"/>
            <w:vAlign w:val="bottom"/>
            <w:shd w:val="clear" w:color="auto" w:fill="CFF0FC"/>
          </w:tcPr>
          <w:p>
            <w:pPr>
              <w:spacing w:after="0"/>
              <w:rPr>
                <w:sz w:val="12"/>
                <w:szCs w:val="12"/>
                <w:color w:val="auto"/>
              </w:rPr>
            </w:pPr>
          </w:p>
        </w:tc>
        <w:tc>
          <w:tcPr>
            <w:tcW w:w="2380" w:type="dxa"/>
            <w:vAlign w:val="bottom"/>
            <w:shd w:val="clear" w:color="auto" w:fill="CFF0FC"/>
          </w:tcPr>
          <w:p>
            <w:pPr>
              <w:ind w:left="220"/>
              <w:spacing w:after="0" w:line="149" w:lineRule="exact"/>
              <w:rPr>
                <w:sz w:val="20"/>
                <w:szCs w:val="20"/>
                <w:color w:val="auto"/>
              </w:rPr>
            </w:pPr>
            <w:r>
              <w:rPr>
                <w:rFonts w:ascii="Times New Roman" w:cs="Times New Roman" w:eastAsia="Times New Roman" w:hAnsi="Times New Roman"/>
                <w:sz w:val="15"/>
                <w:szCs w:val="15"/>
                <w:color w:val="auto"/>
              </w:rPr>
              <w:t>Municipal lease finance</w:t>
            </w: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80" w:type="dxa"/>
            <w:vAlign w:val="bottom"/>
            <w:shd w:val="clear" w:color="auto" w:fill="CFF0FC"/>
          </w:tcPr>
          <w:p>
            <w:pPr>
              <w:spacing w:after="0"/>
              <w:rPr>
                <w:sz w:val="17"/>
                <w:szCs w:val="17"/>
                <w:color w:val="auto"/>
              </w:rPr>
            </w:pPr>
          </w:p>
        </w:tc>
        <w:tc>
          <w:tcPr>
            <w:tcW w:w="23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5"/>
                <w:szCs w:val="15"/>
                <w:color w:val="auto"/>
              </w:rPr>
              <w:t>receivables</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3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SFR mortgage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shd w:val="clear" w:color="auto" w:fill="CFF0FC"/>
          </w:tcPr>
          <w:p>
            <w:pPr>
              <w:spacing w:after="0"/>
              <w:rPr>
                <w:sz w:val="16"/>
                <w:szCs w:val="16"/>
                <w:color w:val="auto"/>
              </w:rPr>
            </w:pPr>
          </w:p>
        </w:tc>
        <w:tc>
          <w:tcPr>
            <w:tcW w:w="23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Consumer and other loans</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6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2</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3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Other real estate owned</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Borders>
              <w:bottom w:val="single" w:sz="8" w:color="CFF0FC"/>
            </w:tcBorders>
            <w:shd w:val="clear" w:color="auto" w:fill="CFF0FC"/>
          </w:tcPr>
          <w:p>
            <w:pPr>
              <w:spacing w:after="0"/>
              <w:rPr>
                <w:sz w:val="16"/>
                <w:szCs w:val="16"/>
                <w:color w:val="auto"/>
              </w:rPr>
            </w:pPr>
          </w:p>
        </w:tc>
        <w:tc>
          <w:tcPr>
            <w:tcW w:w="23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5"/>
                <w:szCs w:val="15"/>
                <w:color w:val="auto"/>
              </w:rPr>
              <w:t>Asset held-for-sale</w:t>
            </w:r>
          </w:p>
        </w:tc>
        <w:tc>
          <w:tcPr>
            <w:tcW w:w="16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23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Total assets</w:t>
            </w:r>
          </w:p>
        </w:tc>
        <w:tc>
          <w:tcPr>
            <w:tcW w:w="1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3,383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3,383</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551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Carrying</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Quoted Prices</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3"/>
          </w:tcPr>
          <w:p>
            <w:pPr>
              <w:jc w:val="center"/>
              <w:ind w:right="280"/>
              <w:spacing w:after="0" w:line="156" w:lineRule="exact"/>
              <w:rPr>
                <w:sz w:val="20"/>
                <w:szCs w:val="20"/>
                <w:color w:val="auto"/>
              </w:rPr>
            </w:pPr>
            <w:r>
              <w:rPr>
                <w:rFonts w:ascii="Times New Roman" w:cs="Times New Roman" w:eastAsia="Times New Roman" w:hAnsi="Times New Roman"/>
                <w:sz w:val="15"/>
                <w:szCs w:val="15"/>
                <w:b w:val="1"/>
                <w:bCs w:val="1"/>
                <w:color w:val="auto"/>
              </w:rPr>
              <w:t>in Active</w:t>
            </w: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center"/>
              <w:ind w:right="320"/>
              <w:spacing w:after="0" w:line="162" w:lineRule="exact"/>
              <w:rPr>
                <w:sz w:val="20"/>
                <w:szCs w:val="20"/>
                <w:color w:val="auto"/>
              </w:rPr>
            </w:pPr>
            <w:r>
              <w:rPr>
                <w:rFonts w:ascii="Times New Roman" w:cs="Times New Roman" w:eastAsia="Times New Roman" w:hAnsi="Times New Roman"/>
                <w:sz w:val="15"/>
                <w:szCs w:val="15"/>
                <w:b w:val="1"/>
                <w:bCs w:val="1"/>
                <w:color w:val="auto"/>
              </w:rPr>
              <w:t>Value at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tcPr>
          <w:p>
            <w:pPr>
              <w:jc w:val="center"/>
              <w:ind w:right="280"/>
              <w:spacing w:after="0" w:line="162" w:lineRule="exact"/>
              <w:rPr>
                <w:sz w:val="20"/>
                <w:szCs w:val="20"/>
                <w:color w:val="auto"/>
              </w:rPr>
            </w:pPr>
            <w:r>
              <w:rPr>
                <w:rFonts w:ascii="Times New Roman" w:cs="Times New Roman" w:eastAsia="Times New Roman" w:hAnsi="Times New Roman"/>
                <w:sz w:val="15"/>
                <w:szCs w:val="15"/>
                <w:b w:val="1"/>
                <w:bCs w:val="1"/>
                <w:color w:val="auto"/>
              </w:rPr>
              <w:t>Markets for</w:t>
            </w:r>
          </w:p>
        </w:tc>
        <w:tc>
          <w:tcPr>
            <w:tcW w:w="100" w:type="dxa"/>
            <w:vAlign w:val="bottom"/>
          </w:tcPr>
          <w:p>
            <w:pPr>
              <w:spacing w:after="0"/>
              <w:rPr>
                <w:sz w:val="14"/>
                <w:szCs w:val="14"/>
                <w:color w:val="auto"/>
              </w:rPr>
            </w:pPr>
          </w:p>
        </w:tc>
        <w:tc>
          <w:tcPr>
            <w:tcW w:w="1520" w:type="dxa"/>
            <w:vAlign w:val="bottom"/>
          </w:tcPr>
          <w:p>
            <w:pPr>
              <w:jc w:val="center"/>
              <w:ind w:left="86"/>
              <w:spacing w:after="0" w:line="162" w:lineRule="exact"/>
              <w:rPr>
                <w:sz w:val="20"/>
                <w:szCs w:val="20"/>
                <w:color w:val="auto"/>
              </w:rPr>
            </w:pPr>
            <w:r>
              <w:rPr>
                <w:rFonts w:ascii="Times New Roman" w:cs="Times New Roman" w:eastAsia="Times New Roman" w:hAnsi="Times New Roman"/>
                <w:sz w:val="15"/>
                <w:szCs w:val="15"/>
                <w:b w:val="1"/>
                <w:bCs w:val="1"/>
                <w:color w:val="auto"/>
              </w:rPr>
              <w:t>Significant Other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3"/>
          </w:tcPr>
          <w:p>
            <w:pPr>
              <w:jc w:val="center"/>
              <w:ind w:right="380"/>
              <w:spacing w:after="0" w:line="162" w:lineRule="exact"/>
              <w:rPr>
                <w:sz w:val="20"/>
                <w:szCs w:val="20"/>
                <w:color w:val="auto"/>
              </w:rPr>
            </w:pPr>
            <w:r>
              <w:rPr>
                <w:rFonts w:ascii="Times New Roman" w:cs="Times New Roman" w:eastAsia="Times New Roman" w:hAnsi="Times New Roman"/>
                <w:sz w:val="15"/>
                <w:szCs w:val="15"/>
                <w:b w:val="1"/>
                <w:bCs w:val="1"/>
                <w:color w:val="auto"/>
              </w:rPr>
              <w:t>Significant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rPr>
              <w:t>Total Losses For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center"/>
              <w:ind w:right="280"/>
              <w:spacing w:after="0" w:line="162"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tcPr>
          <w:p>
            <w:pPr>
              <w:jc w:val="center"/>
              <w:ind w:right="280"/>
              <w:spacing w:after="0" w:line="162" w:lineRule="exact"/>
              <w:rPr>
                <w:sz w:val="20"/>
                <w:szCs w:val="20"/>
                <w:color w:val="auto"/>
              </w:rPr>
            </w:pPr>
            <w:r>
              <w:rPr>
                <w:rFonts w:ascii="Times New Roman" w:cs="Times New Roman" w:eastAsia="Times New Roman" w:hAnsi="Times New Roman"/>
                <w:sz w:val="15"/>
                <w:szCs w:val="15"/>
                <w:b w:val="1"/>
                <w:bCs w:val="1"/>
                <w:color w:val="auto"/>
              </w:rPr>
              <w:t>Identical Assets</w:t>
            </w:r>
          </w:p>
        </w:tc>
        <w:tc>
          <w:tcPr>
            <w:tcW w:w="100" w:type="dxa"/>
            <w:vAlign w:val="bottom"/>
          </w:tcPr>
          <w:p>
            <w:pPr>
              <w:spacing w:after="0"/>
              <w:rPr>
                <w:sz w:val="14"/>
                <w:szCs w:val="14"/>
                <w:color w:val="auto"/>
              </w:rPr>
            </w:pPr>
          </w:p>
        </w:tc>
        <w:tc>
          <w:tcPr>
            <w:tcW w:w="1520" w:type="dxa"/>
            <w:vAlign w:val="bottom"/>
          </w:tcPr>
          <w:p>
            <w:pPr>
              <w:jc w:val="center"/>
              <w:ind w:left="126"/>
              <w:spacing w:after="0" w:line="162" w:lineRule="exact"/>
              <w:rPr>
                <w:sz w:val="20"/>
                <w:szCs w:val="20"/>
                <w:color w:val="auto"/>
              </w:rPr>
            </w:pPr>
            <w:r>
              <w:rPr>
                <w:rFonts w:ascii="Times New Roman" w:cs="Times New Roman" w:eastAsia="Times New Roman" w:hAnsi="Times New Roman"/>
                <w:sz w:val="15"/>
                <w:szCs w:val="15"/>
                <w:b w:val="1"/>
                <w:bCs w:val="1"/>
                <w:color w:val="auto"/>
              </w:rPr>
              <w:t>Observable Inputs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4"/>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Unobservable Inputs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w w:val="99"/>
              </w:rPr>
              <w:t>the Year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(Level 1)</w:t>
            </w:r>
          </w:p>
        </w:tc>
        <w:tc>
          <w:tcPr>
            <w:tcW w:w="100" w:type="dxa"/>
            <w:vAlign w:val="bottom"/>
          </w:tcPr>
          <w:p>
            <w:pPr>
              <w:spacing w:after="0"/>
              <w:rPr>
                <w:sz w:val="17"/>
                <w:szCs w:val="17"/>
                <w:color w:val="auto"/>
              </w:rPr>
            </w:pPr>
          </w:p>
        </w:tc>
        <w:tc>
          <w:tcPr>
            <w:tcW w:w="1520" w:type="dxa"/>
            <w:vAlign w:val="bottom"/>
          </w:tcPr>
          <w:p>
            <w:pPr>
              <w:jc w:val="center"/>
              <w:ind w:left="126"/>
              <w:spacing w:after="0"/>
              <w:rPr>
                <w:sz w:val="20"/>
                <w:szCs w:val="20"/>
                <w:color w:val="auto"/>
              </w:rPr>
            </w:pPr>
            <w:r>
              <w:rPr>
                <w:rFonts w:ascii="Times New Roman" w:cs="Times New Roman" w:eastAsia="Times New Roman" w:hAnsi="Times New Roman"/>
                <w:sz w:val="15"/>
                <w:szCs w:val="15"/>
                <w:b w:val="1"/>
                <w:bCs w:val="1"/>
                <w:color w:val="auto"/>
                <w:w w:val="99"/>
              </w:rPr>
              <w:t>(Level 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3"/>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80" w:type="dxa"/>
            <w:vAlign w:val="bottom"/>
          </w:tcPr>
          <w:p>
            <w:pPr>
              <w:spacing w:after="0"/>
              <w:rPr>
                <w:sz w:val="17"/>
                <w:szCs w:val="17"/>
                <w:color w:val="auto"/>
              </w:rPr>
            </w:pP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December 31, 2021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Description of assets</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00" w:type="dxa"/>
            <w:vAlign w:val="bottom"/>
            <w:tcBorders>
              <w:right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Loans: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3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5"/>
                <w:szCs w:val="15"/>
                <w:color w:val="auto"/>
              </w:rPr>
              <w:t>Commercial real estate</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1346"/>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26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right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3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Construction</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3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5"/>
                <w:szCs w:val="15"/>
                <w:color w:val="auto"/>
              </w:rPr>
              <w:t>SBA</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646</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646</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255</w:t>
            </w:r>
          </w:p>
        </w:tc>
        <w:tc>
          <w:tcPr>
            <w:tcW w:w="100" w:type="dxa"/>
            <w:vAlign w:val="bottom"/>
            <w:tcBorders>
              <w:right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3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Commercial and industrial</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340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340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3,275</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2380" w:type="dxa"/>
            <w:vAlign w:val="bottom"/>
            <w:shd w:val="clear" w:color="auto" w:fill="CFF0FC"/>
          </w:tcPr>
          <w:p>
            <w:pPr>
              <w:ind w:left="280"/>
              <w:spacing w:after="0" w:line="145" w:lineRule="exact"/>
              <w:rPr>
                <w:sz w:val="20"/>
                <w:szCs w:val="20"/>
                <w:color w:val="auto"/>
              </w:rPr>
            </w:pPr>
            <w:r>
              <w:rPr>
                <w:rFonts w:ascii="Times New Roman" w:cs="Times New Roman" w:eastAsia="Times New Roman" w:hAnsi="Times New Roman"/>
                <w:sz w:val="15"/>
                <w:szCs w:val="15"/>
                <w:color w:val="auto"/>
              </w:rPr>
              <w:t>Dairy &amp; livestock and</w:t>
            </w: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2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agribusiness</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38</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38</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100" w:type="dxa"/>
            <w:vAlign w:val="bottom"/>
            <w:tcBorders>
              <w:right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2380" w:type="dxa"/>
            <w:vAlign w:val="bottom"/>
          </w:tcPr>
          <w:p>
            <w:pPr>
              <w:ind w:left="280"/>
              <w:spacing w:after="0" w:line="145" w:lineRule="exact"/>
              <w:rPr>
                <w:sz w:val="20"/>
                <w:szCs w:val="20"/>
                <w:color w:val="auto"/>
              </w:rPr>
            </w:pPr>
            <w:r>
              <w:rPr>
                <w:rFonts w:ascii="Times New Roman" w:cs="Times New Roman" w:eastAsia="Times New Roman" w:hAnsi="Times New Roman"/>
                <w:sz w:val="15"/>
                <w:szCs w:val="15"/>
                <w:color w:val="auto"/>
              </w:rPr>
              <w:t>Municipal lease finance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23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receivables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23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5"/>
                <w:szCs w:val="15"/>
                <w:color w:val="auto"/>
              </w:rPr>
              <w:t>SFR mortgage</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right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3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Consumer and other loans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5"/>
                <w:szCs w:val="15"/>
                <w:color w:val="auto"/>
              </w:rPr>
              <w:t>Other real estate owned</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right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Asset held-for-sale</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38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5"/>
                <w:szCs w:val="15"/>
                <w:color w:val="auto"/>
              </w:rPr>
              <w:t>Total assets</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1,024</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1346"/>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1,024</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3,659</w:t>
            </w:r>
          </w:p>
        </w:tc>
        <w:tc>
          <w:tcPr>
            <w:tcW w:w="100" w:type="dxa"/>
            <w:vAlign w:val="bottom"/>
            <w:tcBorders>
              <w:bottom w:val="single" w:sz="8" w:color="CFF0FC"/>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-2871470</wp:posOffset>
            </wp:positionV>
            <wp:extent cx="76835" cy="15430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-2871470</wp:posOffset>
            </wp:positionV>
            <wp:extent cx="68580" cy="15430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-2871470</wp:posOffset>
            </wp:positionV>
            <wp:extent cx="68580" cy="15430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-2871470</wp:posOffset>
            </wp:positionV>
            <wp:extent cx="68580" cy="15430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-2871470</wp:posOffset>
            </wp:positionV>
            <wp:extent cx="68580" cy="15430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-24765</wp:posOffset>
            </wp:positionV>
            <wp:extent cx="7683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-7620</wp:posOffset>
            </wp:positionV>
            <wp:extent cx="7683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-24765</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-7620</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16" w:lineRule="exact"/>
        <w:rPr>
          <w:sz w:val="20"/>
          <w:szCs w:val="20"/>
          <w:color w:val="auto"/>
        </w:rPr>
      </w:pPr>
    </w:p>
    <w:p>
      <w:pPr>
        <w:ind w:right="20" w:firstLine="469"/>
        <w:spacing w:after="0" w:line="246" w:lineRule="auto"/>
        <w:rPr>
          <w:sz w:val="20"/>
          <w:szCs w:val="20"/>
          <w:color w:val="auto"/>
        </w:rPr>
      </w:pPr>
      <w:r>
        <w:rPr>
          <w:rFonts w:ascii="Times New Roman" w:cs="Times New Roman" w:eastAsia="Times New Roman" w:hAnsi="Times New Roman"/>
          <w:sz w:val="18"/>
          <w:szCs w:val="18"/>
          <w:color w:val="auto"/>
        </w:rPr>
        <w:t>The following disclosure presents estimated fair value of our financial instruments. The estimated fair value amounts have been determined by the Company using available market information and appropriate valuation methodologies. However, considerable judgment is required to develop the estimates of fair value. Accordingly, the estimates presented below are not necessarily indicative of the amounts the Company may realize in a current market exchange as of September 30, 2022 and December 31, 2021, respectively. The use of different market assumptions and/or estimation methodologies may have a material effect on the estimated fair value amounts.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9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Estimated Fair Value</w:t>
            </w: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08"/>
        </w:trPr>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w w:val="96"/>
              </w:rPr>
              <w:t>(Dollars in thousands)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318,539</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318,539</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318,539</w:t>
            </w:r>
          </w:p>
        </w:tc>
        <w:tc>
          <w:tcPr>
            <w:tcW w:w="100" w:type="dxa"/>
            <w:vAlign w:val="bottom"/>
          </w:tcPr>
          <w:p>
            <w:pPr>
              <w:spacing w:after="0"/>
              <w:rPr>
                <w:sz w:val="18"/>
                <w:szCs w:val="18"/>
                <w:color w:val="auto"/>
              </w:rPr>
            </w:pPr>
          </w:p>
        </w:tc>
      </w:tr>
      <w:tr>
        <w:trPr>
          <w:trHeight w:val="171"/>
        </w:trPr>
        <w:tc>
          <w:tcPr>
            <w:tcW w:w="430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Interest-earning balances due from</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43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depository institutions</w:t>
            </w: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7,594</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7,594</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7,594</w:t>
            </w:r>
          </w:p>
        </w:tc>
        <w:tc>
          <w:tcPr>
            <w:tcW w:w="100" w:type="dxa"/>
            <w:vAlign w:val="bottom"/>
            <w:shd w:val="clear" w:color="auto" w:fill="CFF0FC"/>
          </w:tcPr>
          <w:p>
            <w:pPr>
              <w:spacing w:after="0"/>
              <w:rPr>
                <w:sz w:val="20"/>
                <w:szCs w:val="20"/>
                <w:color w:val="auto"/>
              </w:rPr>
            </w:pPr>
          </w:p>
        </w:tc>
      </w:tr>
      <w:tr>
        <w:trPr>
          <w:trHeight w:val="216"/>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3,321,824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3,321,824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3,321,824</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2,557,922</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2,150,988</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2,150,988</w:t>
            </w:r>
          </w:p>
        </w:tc>
        <w:tc>
          <w:tcPr>
            <w:tcW w:w="100" w:type="dxa"/>
            <w:vAlign w:val="bottom"/>
            <w:shd w:val="clear" w:color="auto" w:fill="CFF0FC"/>
          </w:tcPr>
          <w:p>
            <w:pPr>
              <w:spacing w:after="0"/>
              <w:rPr>
                <w:sz w:val="18"/>
                <w:szCs w:val="18"/>
                <w:color w:val="auto"/>
              </w:rPr>
            </w:pPr>
          </w:p>
        </w:tc>
      </w:tr>
      <w:tr>
        <w:trPr>
          <w:trHeight w:val="171"/>
        </w:trPr>
        <w:tc>
          <w:tcPr>
            <w:tcW w:w="430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Total loans, net of allowance for credit</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losses</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8,691,535</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7,981,839</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7,981,839</w:t>
            </w:r>
          </w:p>
        </w:tc>
        <w:tc>
          <w:tcPr>
            <w:tcW w:w="100" w:type="dxa"/>
            <w:vAlign w:val="bottom"/>
          </w:tcPr>
          <w:p>
            <w:pPr>
              <w:spacing w:after="0"/>
              <w:rPr>
                <w:sz w:val="20"/>
                <w:szCs w:val="20"/>
                <w:color w:val="auto"/>
              </w:rPr>
            </w:pPr>
          </w:p>
        </w:tc>
      </w:tr>
      <w:tr>
        <w:trPr>
          <w:trHeight w:val="216"/>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Swaps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Interest-bearing</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5,107,843</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5,101,099</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5,101,099</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Borrowings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467,844</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377,440</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377,440</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Junior subordinated debentures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Swaps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18"/>
                <w:szCs w:val="18"/>
                <w:color w:val="auto"/>
              </w:rPr>
            </w:pPr>
          </w:p>
        </w:tc>
      </w:tr>
    </w:tbl>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 Fair Value</w:t>
            </w: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08"/>
        </w:trPr>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4"/>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1,732,548</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1,732,548</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1,732,548</w:t>
            </w:r>
          </w:p>
        </w:tc>
        <w:tc>
          <w:tcPr>
            <w:tcW w:w="100" w:type="dxa"/>
            <w:vAlign w:val="bottom"/>
          </w:tcPr>
          <w:p>
            <w:pPr>
              <w:spacing w:after="0"/>
              <w:rPr>
                <w:sz w:val="18"/>
                <w:szCs w:val="18"/>
                <w:color w:val="auto"/>
              </w:rPr>
            </w:pPr>
          </w:p>
        </w:tc>
      </w:tr>
      <w:tr>
        <w:trPr>
          <w:trHeight w:val="171"/>
        </w:trPr>
        <w:tc>
          <w:tcPr>
            <w:tcW w:w="430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Interest-earning balances due from</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43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depository institutions</w:t>
            </w: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25,999</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25,999</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25,999</w:t>
            </w:r>
          </w:p>
        </w:tc>
        <w:tc>
          <w:tcPr>
            <w:tcW w:w="100" w:type="dxa"/>
            <w:vAlign w:val="bottom"/>
            <w:shd w:val="clear" w:color="auto" w:fill="CFF0FC"/>
          </w:tcPr>
          <w:p>
            <w:pPr>
              <w:spacing w:after="0"/>
              <w:rPr>
                <w:sz w:val="20"/>
                <w:szCs w:val="20"/>
                <w:color w:val="auto"/>
              </w:rPr>
            </w:pPr>
          </w:p>
        </w:tc>
      </w:tr>
      <w:tr>
        <w:trPr>
          <w:trHeight w:val="216"/>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3,183,923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3,183,923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3,183,923</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1,925,970</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1,921,693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1,921,693</w:t>
            </w:r>
          </w:p>
        </w:tc>
        <w:tc>
          <w:tcPr>
            <w:tcW w:w="100" w:type="dxa"/>
            <w:vAlign w:val="bottom"/>
            <w:shd w:val="clear" w:color="auto" w:fill="CFF0FC"/>
          </w:tcPr>
          <w:p>
            <w:pPr>
              <w:spacing w:after="0"/>
              <w:rPr>
                <w:sz w:val="18"/>
                <w:szCs w:val="18"/>
                <w:color w:val="auto"/>
              </w:rPr>
            </w:pPr>
          </w:p>
        </w:tc>
      </w:tr>
      <w:tr>
        <w:trPr>
          <w:trHeight w:val="171"/>
        </w:trPr>
        <w:tc>
          <w:tcPr>
            <w:tcW w:w="430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Total loans, net of allowance for credit</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losses</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7,822,694</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7,696,210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7,696,210</w:t>
            </w:r>
          </w:p>
        </w:tc>
        <w:tc>
          <w:tcPr>
            <w:tcW w:w="100" w:type="dxa"/>
            <w:vAlign w:val="bottom"/>
          </w:tcPr>
          <w:p>
            <w:pPr>
              <w:spacing w:after="0"/>
              <w:rPr>
                <w:sz w:val="20"/>
                <w:szCs w:val="20"/>
                <w:color w:val="auto"/>
              </w:rPr>
            </w:pPr>
          </w:p>
        </w:tc>
      </w:tr>
      <w:tr>
        <w:trPr>
          <w:trHeight w:val="216"/>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Swaps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Interest-bearing</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4,872,386</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4,871,531</w:t>
            </w:r>
          </w:p>
        </w:tc>
        <w:tc>
          <w:tcPr>
            <w:tcW w:w="5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4,871,531</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Borrowings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644,669</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586,645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586,645</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Junior subordinated debentures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Swaps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right="200" w:firstLine="469"/>
        <w:spacing w:after="0" w:line="250" w:lineRule="auto"/>
        <w:rPr>
          <w:sz w:val="20"/>
          <w:szCs w:val="20"/>
          <w:color w:val="auto"/>
        </w:rPr>
      </w:pPr>
      <w:r>
        <w:rPr>
          <w:rFonts w:ascii="Times New Roman" w:cs="Times New Roman" w:eastAsia="Times New Roman" w:hAnsi="Times New Roman"/>
          <w:sz w:val="18"/>
          <w:szCs w:val="18"/>
          <w:color w:val="auto"/>
        </w:rPr>
        <w:t>The fair value estimates presented herein are based on pertinent information available to management as of September 30, 2022 and December 31, 2021. Although management is not aware of any factors that would significantly affect the estimated fair value amounts, such amounts have not been comprehensively revalued for purposes of these financial statements since that date, and therefore, current estimates of fair value may differ significantly from the amounts presented above.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1" w:name="page32"/>
    <w:bookmarkEnd w:id="31"/>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DERIVATIVE FINANCIAL INSTRUMENTS</w:t>
      </w:r>
    </w:p>
    <w:p>
      <w:pPr>
        <w:spacing w:after="0" w:line="216" w:lineRule="exact"/>
        <w:rPr>
          <w:sz w:val="20"/>
          <w:szCs w:val="20"/>
          <w:color w:val="auto"/>
        </w:rPr>
      </w:pPr>
    </w:p>
    <w:p>
      <w:pPr>
        <w:ind w:right="340" w:firstLine="469"/>
        <w:spacing w:after="0" w:line="247" w:lineRule="auto"/>
        <w:rPr>
          <w:sz w:val="20"/>
          <w:szCs w:val="20"/>
          <w:color w:val="auto"/>
        </w:rPr>
      </w:pPr>
      <w:r>
        <w:rPr>
          <w:rFonts w:ascii="Times New Roman" w:cs="Times New Roman" w:eastAsia="Times New Roman" w:hAnsi="Times New Roman"/>
          <w:sz w:val="18"/>
          <w:szCs w:val="18"/>
          <w:color w:val="auto"/>
        </w:rPr>
        <w:t>The Bank is exposed to certain risks relating to its ongoing business operations and utilizes interest rate swap agreements (“swaps”) as part of its asset/liability management strategy to help manage its interest rate risk position. As of September 30, 2022, the Bank has entered into 127 interest-rate swap agreements with customers with a notional amount totaling $436.9 million. The Bank then entered into identical offsetting swaps with a counterparties. The swap agreements are not designated as hedging instruments. The purpose of entering into offsetting derivatives not designated as a hedging instrument is to provide the Bank a variable-rate loan receivable and to provide the customer the financial effects of a fixed-rate loan without creating significant volatility in the Bank’s earnings.</w:t>
      </w:r>
    </w:p>
    <w:p>
      <w:pPr>
        <w:spacing w:after="0" w:line="166" w:lineRule="exact"/>
        <w:rPr>
          <w:sz w:val="20"/>
          <w:szCs w:val="20"/>
          <w:color w:val="auto"/>
        </w:rPr>
      </w:pPr>
    </w:p>
    <w:p>
      <w:pPr>
        <w:ind w:firstLine="469"/>
        <w:spacing w:after="0" w:line="243" w:lineRule="auto"/>
        <w:rPr>
          <w:sz w:val="20"/>
          <w:szCs w:val="20"/>
          <w:color w:val="auto"/>
        </w:rPr>
      </w:pPr>
      <w:r>
        <w:rPr>
          <w:rFonts w:ascii="Times New Roman" w:cs="Times New Roman" w:eastAsia="Times New Roman" w:hAnsi="Times New Roman"/>
          <w:sz w:val="18"/>
          <w:szCs w:val="18"/>
          <w:color w:val="auto"/>
        </w:rPr>
        <w:t>The structure of the swaps is as follows. The Bank enters into an interest rate swap with its customers in which the Bank pays the customer a variable rate and the customer pays the Bank a fixed rate, therefore allowing customers to convert variable rate loans to fixed rate loans. At the same time, the Bank enters into a swap with the counterparty bank in which the Bank pays the counterparty a fixed rate and the counterparty in return pays the Bank a variable rate. The net effect of the transaction allows the Bank to receive interest on the loan from the customer at a variable rate based on LIBOR, plus a spread. As LIBOR is expected to be phased out in 2023, the Bank will use multiple alternative indices as replacements for LIBOR. The changes in the fair value of the swaps primarily offset each other and therefore should not have a significant impact on the Company’s results of operations, although the Company does incur credit and counterparty risk with respect to performance on the swap agreements by the Bank’s customer and counterparty, respectively. As a result of the Bank exceeding $10 billion in assets, federal regulations required the Bank, beginning in January 2019, to clear most interest rate swaps through a clearing house (“centrally cleared”). These instruments contain language outlining collateral pledging requirements for each counterparty, in which collateral must be posted if market value exceeds certain agreed upon threshold limits. Cash or securities are pledged as collateral. Our interest rate swap derivatives are subject to a master netting arrangement with our counterparties. None of our derivative assets and liabilities are offset in the Company’s condensed consolidated balance sheet.</w:t>
      </w:r>
    </w:p>
    <w:p>
      <w:pPr>
        <w:spacing w:after="0" w:line="172" w:lineRule="exact"/>
        <w:rPr>
          <w:sz w:val="20"/>
          <w:szCs w:val="20"/>
          <w:color w:val="auto"/>
        </w:rPr>
      </w:pPr>
    </w:p>
    <w:p>
      <w:pPr>
        <w:ind w:right="280" w:firstLine="469"/>
        <w:spacing w:after="0" w:line="258" w:lineRule="auto"/>
        <w:rPr>
          <w:sz w:val="20"/>
          <w:szCs w:val="20"/>
          <w:color w:val="auto"/>
        </w:rPr>
      </w:pPr>
      <w:r>
        <w:rPr>
          <w:rFonts w:ascii="Times New Roman" w:cs="Times New Roman" w:eastAsia="Times New Roman" w:hAnsi="Times New Roman"/>
          <w:sz w:val="18"/>
          <w:szCs w:val="18"/>
          <w:color w:val="auto"/>
        </w:rPr>
        <w:t>We believe our risk of loss associated with our counterparty borrowers related to interest rate swaps is mitigated as the loans with swaps are underwritten to take into account potential additional exposure, although there can be no assurances in this regard since the performance of our swaps is subject to market and counterparty risk.</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Classification of Derivative Financial Instruments</w:t>
      </w:r>
    </w:p>
    <w:p>
      <w:pPr>
        <w:spacing w:after="0" w:line="216" w:lineRule="exact"/>
        <w:rPr>
          <w:sz w:val="20"/>
          <w:szCs w:val="20"/>
          <w:color w:val="auto"/>
        </w:rPr>
      </w:pPr>
    </w:p>
    <w:p>
      <w:pPr>
        <w:ind w:right="480" w:firstLine="469"/>
        <w:spacing w:after="0" w:line="266" w:lineRule="auto"/>
        <w:rPr>
          <w:sz w:val="20"/>
          <w:szCs w:val="20"/>
          <w:color w:val="auto"/>
        </w:rPr>
      </w:pPr>
      <w:r>
        <w:rPr>
          <w:rFonts w:ascii="Times New Roman" w:cs="Times New Roman" w:eastAsia="Times New Roman" w:hAnsi="Times New Roman"/>
          <w:sz w:val="18"/>
          <w:szCs w:val="18"/>
          <w:color w:val="auto"/>
        </w:rPr>
        <w:t>As of September 30, 2022 and December 31, 2021, the total notional amount of the Company’s swaps was $436.9 million, and $493.2 million, respectively. The location of the asset and liability, and their respective fair values, are summarized in the tables below.</w:t>
      </w:r>
    </w:p>
    <w:p>
      <w:pPr>
        <w:sectPr>
          <w:pgSz w:w="11900" w:h="16838" w:orient="portrait"/>
          <w:cols w:equalWidth="0" w:num="1">
            <w:col w:w="11240"/>
          </w:cols>
          <w:pgMar w:left="320" w:top="3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p>
      <w:pPr>
        <w:spacing w:after="0" w:line="27" w:lineRule="exact"/>
        <w:rPr>
          <w:sz w:val="20"/>
          <w:szCs w:val="20"/>
          <w:color w:val="auto"/>
        </w:rPr>
      </w:pPr>
    </w:p>
    <w:p>
      <w:pPr>
        <w:jc w:val="right"/>
        <w:ind w:right="2880"/>
        <w:spacing w:after="0"/>
        <w:rPr>
          <w:sz w:val="20"/>
          <w:szCs w:val="20"/>
          <w:color w:val="auto"/>
        </w:rPr>
      </w:pPr>
      <w:r>
        <w:rPr>
          <w:rFonts w:ascii="Times New Roman" w:cs="Times New Roman" w:eastAsia="Times New Roman" w:hAnsi="Times New Roman"/>
          <w:sz w:val="18"/>
          <w:szCs w:val="18"/>
          <w:color w:val="auto"/>
        </w:rPr>
        <w:t>Interest rate swaps</w:t>
      </w:r>
    </w:p>
    <w:p>
      <w:pPr>
        <w:spacing w:after="0" w:line="45" w:lineRule="exact"/>
        <w:rPr>
          <w:sz w:val="20"/>
          <w:szCs w:val="20"/>
          <w:color w:val="auto"/>
        </w:rPr>
      </w:pPr>
    </w:p>
    <w:p>
      <w:pPr>
        <w:jc w:val="right"/>
        <w:ind w:right="2940"/>
        <w:spacing w:after="0"/>
        <w:rPr>
          <w:sz w:val="20"/>
          <w:szCs w:val="20"/>
          <w:color w:val="auto"/>
        </w:rPr>
      </w:pPr>
      <w:r>
        <w:rPr>
          <w:rFonts w:ascii="Times New Roman" w:cs="Times New Roman" w:eastAsia="Times New Roman" w:hAnsi="Times New Roman"/>
          <w:sz w:val="18"/>
          <w:szCs w:val="18"/>
          <w:color w:val="auto"/>
        </w:rPr>
        <w:t>Total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p>
      <w:pPr>
        <w:spacing w:after="0" w:line="27" w:lineRule="exact"/>
        <w:rPr>
          <w:sz w:val="20"/>
          <w:szCs w:val="20"/>
          <w:color w:val="auto"/>
        </w:rPr>
      </w:pPr>
    </w:p>
    <w:p>
      <w:pPr>
        <w:jc w:val="right"/>
        <w:ind w:right="2880"/>
        <w:spacing w:after="0"/>
        <w:rPr>
          <w:sz w:val="20"/>
          <w:szCs w:val="20"/>
          <w:color w:val="auto"/>
        </w:rPr>
      </w:pPr>
      <w:r>
        <w:rPr>
          <w:rFonts w:ascii="Times New Roman" w:cs="Times New Roman" w:eastAsia="Times New Roman" w:hAnsi="Times New Roman"/>
          <w:sz w:val="18"/>
          <w:szCs w:val="18"/>
          <w:color w:val="auto"/>
        </w:rPr>
        <w:t>Interest rate swaps</w:t>
      </w:r>
    </w:p>
    <w:p>
      <w:pPr>
        <w:spacing w:after="0" w:line="45" w:lineRule="exact"/>
        <w:rPr>
          <w:sz w:val="20"/>
          <w:szCs w:val="20"/>
          <w:color w:val="auto"/>
        </w:rPr>
      </w:pPr>
    </w:p>
    <w:p>
      <w:pPr>
        <w:jc w:val="right"/>
        <w:ind w:right="2940"/>
        <w:spacing w:after="0"/>
        <w:rPr>
          <w:sz w:val="20"/>
          <w:szCs w:val="20"/>
          <w:color w:val="auto"/>
        </w:rPr>
      </w:pPr>
      <w:r>
        <w:rPr>
          <w:rFonts w:ascii="Times New Roman" w:cs="Times New Roman" w:eastAsia="Times New Roman" w:hAnsi="Times New Roman"/>
          <w:sz w:val="18"/>
          <w:szCs w:val="18"/>
          <w:color w:val="auto"/>
        </w:rPr>
        <w:t>Total derivatives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0" w:type="dxa"/>
            <w:vAlign w:val="bottom"/>
            <w:tcBorders>
              <w:top w:val="single" w:sz="8" w:color="auto"/>
              <w:bottom w:val="single" w:sz="8" w:color="auto"/>
            </w:tcBorders>
          </w:tcPr>
          <w:p>
            <w:pPr>
              <w:spacing w:after="0"/>
              <w:rPr>
                <w:sz w:val="18"/>
                <w:szCs w:val="18"/>
                <w:color w:val="auto"/>
              </w:rPr>
            </w:pPr>
          </w:p>
        </w:tc>
        <w:tc>
          <w:tcPr>
            <w:tcW w:w="2140" w:type="dxa"/>
            <w:vAlign w:val="bottom"/>
            <w:tcBorders>
              <w:top w:val="single" w:sz="8" w:color="auto"/>
              <w:bottom w:val="single" w:sz="8" w:color="auto"/>
            </w:tcBorders>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6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280" w:type="dxa"/>
            <w:vAlign w:val="bottom"/>
            <w:tcBorders>
              <w:top w:val="single" w:sz="8" w:color="auto"/>
              <w:bottom w:val="single" w:sz="8" w:color="auto"/>
            </w:tcBorders>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5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1620" w:type="dxa"/>
            <w:vAlign w:val="bottom"/>
          </w:tcPr>
          <w:p>
            <w:pPr>
              <w:ind w:left="200"/>
              <w:spacing w:after="0" w:line="160"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60" w:type="dxa"/>
            <w:vAlign w:val="bottom"/>
          </w:tcPr>
          <w:p>
            <w:pPr>
              <w:spacing w:after="0"/>
              <w:rPr>
                <w:sz w:val="13"/>
                <w:szCs w:val="13"/>
                <w:color w:val="auto"/>
              </w:rPr>
            </w:pPr>
          </w:p>
        </w:tc>
        <w:tc>
          <w:tcPr>
            <w:tcW w:w="1660" w:type="dxa"/>
            <w:vAlign w:val="bottom"/>
          </w:tcPr>
          <w:p>
            <w:pPr>
              <w:ind w:left="240"/>
              <w:spacing w:after="0" w:line="160"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16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5"/>
            <w:vMerge w:val="continue"/>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in</w:t>
            </w:r>
          </w:p>
        </w:tc>
        <w:tc>
          <w:tcPr>
            <w:tcW w:w="1720" w:type="dxa"/>
            <w:vAlign w:val="bottom"/>
            <w:tcBorders>
              <w:top w:val="single" w:sz="8" w:color="auto"/>
            </w:tcBorders>
            <w:gridSpan w:val="2"/>
          </w:tcPr>
          <w:p>
            <w:pPr>
              <w:jc w:val="right"/>
              <w:ind w:right="1031"/>
              <w:spacing w:after="0"/>
              <w:rPr>
                <w:sz w:val="20"/>
                <w:szCs w:val="20"/>
                <w:color w:val="auto"/>
              </w:rPr>
            </w:pPr>
            <w:r>
              <w:rPr>
                <w:rFonts w:ascii="Times New Roman" w:cs="Times New Roman" w:eastAsia="Times New Roman" w:hAnsi="Times New Roman"/>
                <w:sz w:val="16"/>
                <w:szCs w:val="16"/>
                <w:i w:val="1"/>
                <w:iCs w:val="1"/>
                <w:color w:val="auto"/>
                <w:w w:val="82"/>
              </w:rPr>
              <w:t>thousands)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36"/>
        </w:trPr>
        <w:tc>
          <w:tcPr>
            <w:tcW w:w="100" w:type="dxa"/>
            <w:vAlign w:val="bottom"/>
          </w:tcPr>
          <w:p>
            <w:pPr>
              <w:spacing w:after="0"/>
              <w:rPr>
                <w:sz w:val="24"/>
                <w:szCs w:val="24"/>
                <w:color w:val="auto"/>
              </w:rPr>
            </w:pPr>
          </w:p>
        </w:tc>
        <w:tc>
          <w:tcPr>
            <w:tcW w:w="1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assets</w:t>
            </w:r>
          </w:p>
        </w:tc>
        <w:tc>
          <w:tcPr>
            <w:tcW w:w="52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62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0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971"/>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21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6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8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620" w:type="dxa"/>
            <w:vAlign w:val="bottom"/>
          </w:tcPr>
          <w:p>
            <w:pPr>
              <w:ind w:left="280"/>
              <w:spacing w:after="0" w:line="156"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4"/>
            <w:vMerge w:val="restart"/>
          </w:tcPr>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60" w:type="dxa"/>
            <w:vAlign w:val="bottom"/>
          </w:tcPr>
          <w:p>
            <w:pPr>
              <w:spacing w:after="0"/>
              <w:rPr>
                <w:sz w:val="13"/>
                <w:szCs w:val="13"/>
                <w:color w:val="auto"/>
              </w:rPr>
            </w:pPr>
          </w:p>
        </w:tc>
        <w:tc>
          <w:tcPr>
            <w:tcW w:w="1660" w:type="dxa"/>
            <w:vAlign w:val="bottom"/>
          </w:tcPr>
          <w:p>
            <w:pPr>
              <w:ind w:left="300"/>
              <w:spacing w:after="0" w:line="156"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16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4"/>
            <w:vMerge w:val="continue"/>
          </w:tcPr>
          <w:p>
            <w:pPr>
              <w:spacing w:after="0"/>
              <w:rPr>
                <w:sz w:val="21"/>
                <w:szCs w:val="21"/>
                <w:color w:val="auto"/>
              </w:rPr>
            </w:pPr>
          </w:p>
        </w:tc>
        <w:tc>
          <w:tcPr>
            <w:tcW w:w="60" w:type="dxa"/>
            <w:vAlign w:val="bottom"/>
          </w:tcPr>
          <w:p>
            <w:pPr>
              <w:spacing w:after="0"/>
              <w:rPr>
                <w:sz w:val="21"/>
                <w:szCs w:val="21"/>
                <w:color w:val="auto"/>
              </w:rPr>
            </w:pPr>
          </w:p>
        </w:tc>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2"/>
          </w:tcPr>
          <w:p>
            <w:pPr>
              <w:jc w:val="center"/>
              <w:ind w:left="33"/>
              <w:spacing w:after="0"/>
              <w:rPr>
                <w:sz w:val="20"/>
                <w:szCs w:val="20"/>
                <w:color w:val="auto"/>
              </w:rPr>
            </w:pPr>
            <w:r>
              <w:rPr>
                <w:rFonts w:ascii="Times New Roman" w:cs="Times New Roman" w:eastAsia="Times New Roman" w:hAnsi="Times New Roman"/>
                <w:sz w:val="16"/>
                <w:szCs w:val="16"/>
                <w:i w:val="1"/>
                <w:iCs w:val="1"/>
                <w:color w:val="auto"/>
                <w:w w:val="99"/>
              </w:rPr>
              <w:t>(Dollars</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in</w:t>
            </w:r>
          </w:p>
        </w:tc>
        <w:tc>
          <w:tcPr>
            <w:tcW w:w="1660" w:type="dxa"/>
            <w:vAlign w:val="bottom"/>
            <w:tcBorders>
              <w:top w:val="single" w:sz="8" w:color="auto"/>
            </w:tcBorders>
          </w:tcPr>
          <w:p>
            <w:pPr>
              <w:jc w:val="right"/>
              <w:ind w:right="971"/>
              <w:spacing w:after="0"/>
              <w:rPr>
                <w:sz w:val="20"/>
                <w:szCs w:val="20"/>
                <w:color w:val="auto"/>
              </w:rPr>
            </w:pPr>
            <w:r>
              <w:rPr>
                <w:rFonts w:ascii="Times New Roman" w:cs="Times New Roman" w:eastAsia="Times New Roman" w:hAnsi="Times New Roman"/>
                <w:sz w:val="16"/>
                <w:szCs w:val="16"/>
                <w:i w:val="1"/>
                <w:iCs w:val="1"/>
                <w:color w:val="auto"/>
                <w:w w:val="82"/>
              </w:rPr>
              <w:t>thousands)</w:t>
            </w:r>
          </w:p>
        </w:tc>
        <w:tc>
          <w:tcPr>
            <w:tcW w:w="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36"/>
        </w:trPr>
        <w:tc>
          <w:tcPr>
            <w:tcW w:w="100" w:type="dxa"/>
            <w:vAlign w:val="bottom"/>
          </w:tcPr>
          <w:p>
            <w:pPr>
              <w:spacing w:after="0"/>
              <w:rPr>
                <w:sz w:val="24"/>
                <w:szCs w:val="24"/>
                <w:color w:val="auto"/>
              </w:rPr>
            </w:pPr>
          </w:p>
        </w:tc>
        <w:tc>
          <w:tcPr>
            <w:tcW w:w="1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assets</w:t>
            </w:r>
          </w:p>
        </w:tc>
        <w:tc>
          <w:tcPr>
            <w:tcW w:w="5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center"/>
              <w:ind w:left="53"/>
              <w:spacing w:after="0"/>
              <w:rPr>
                <w:sz w:val="20"/>
                <w:szCs w:val="20"/>
                <w:color w:val="auto"/>
              </w:rPr>
            </w:pPr>
            <w:r>
              <w:rPr>
                <w:rFonts w:ascii="Times New Roman" w:cs="Times New Roman" w:eastAsia="Times New Roman" w:hAnsi="Times New Roman"/>
                <w:sz w:val="18"/>
                <w:szCs w:val="18"/>
                <w:color w:val="auto"/>
                <w:w w:val="96"/>
              </w:rPr>
              <w:t>14,163</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liabilities</w:t>
            </w:r>
          </w:p>
        </w:tc>
        <w:tc>
          <w:tcPr>
            <w:tcW w:w="6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gridSpan w:val="3"/>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gridSpan w:val="2"/>
          </w:tcPr>
          <w:p>
            <w:pPr>
              <w:jc w:val="center"/>
              <w:ind w:left="53"/>
              <w:spacing w:after="0"/>
              <w:rPr>
                <w:sz w:val="20"/>
                <w:szCs w:val="20"/>
                <w:color w:val="auto"/>
              </w:rPr>
            </w:pPr>
            <w:r>
              <w:rPr>
                <w:rFonts w:ascii="Times New Roman" w:cs="Times New Roman" w:eastAsia="Times New Roman" w:hAnsi="Times New Roman"/>
                <w:sz w:val="18"/>
                <w:szCs w:val="18"/>
                <w:color w:val="auto"/>
                <w:w w:val="96"/>
              </w:rPr>
              <w:t>14,163</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gridSpan w:val="3"/>
          </w:tcPr>
          <w:p>
            <w:pPr>
              <w:spacing w:after="0"/>
              <w:rPr>
                <w:sz w:val="18"/>
                <w:szCs w:val="18"/>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-1851025</wp:posOffset>
            </wp:positionV>
            <wp:extent cx="7132320" cy="13716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-1567815</wp:posOffset>
            </wp:positionV>
            <wp:extent cx="7132320" cy="16319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-445135</wp:posOffset>
            </wp:positionV>
            <wp:extent cx="7132320" cy="13716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-161925</wp:posOffset>
            </wp:positionV>
            <wp:extent cx="7132320" cy="16256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4340" w:space="720"/>
            <w:col w:w="6180"/>
          </w:cols>
          <w:pgMar w:left="320" w:top="32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Effect of Derivative Financial Instruments on the Condensed Consolidated Statements of Earnings</w:t>
      </w:r>
    </w:p>
    <w:p>
      <w:pPr>
        <w:spacing w:after="0" w:line="202" w:lineRule="exact"/>
        <w:rPr>
          <w:sz w:val="20"/>
          <w:szCs w:val="20"/>
          <w:color w:val="auto"/>
        </w:rPr>
      </w:pPr>
    </w:p>
    <w:p>
      <w:pPr>
        <w:ind w:right="200" w:firstLine="46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derivative financial instruments on the condensed consolidated statements of earnings for the periods presented.</w:t>
      </w:r>
    </w:p>
    <w:p>
      <w:pPr>
        <w:sectPr>
          <w:pgSz w:w="11900" w:h="16838" w:orient="portrait"/>
          <w:cols w:equalWidth="0" w:num="1">
            <w:col w:w="11240"/>
          </w:cols>
          <w:pgMar w:left="320" w:top="320" w:right="339" w:bottom="1440" w:gutter="0" w:footer="0" w:header="0"/>
          <w:type w:val="continuous"/>
        </w:sectPr>
      </w:pPr>
    </w:p>
    <w:p>
      <w:pPr>
        <w:spacing w:after="0" w:line="142" w:lineRule="exact"/>
        <w:rPr>
          <w:sz w:val="20"/>
          <w:szCs w:val="20"/>
          <w:color w:val="auto"/>
        </w:rPr>
      </w:pPr>
    </w:p>
    <w:p>
      <w:pPr>
        <w:ind w:left="540"/>
        <w:spacing w:after="0"/>
        <w:tabs>
          <w:tab w:leader="none" w:pos="3540" w:val="left"/>
        </w:tabs>
        <w:rPr>
          <w:sz w:val="20"/>
          <w:szCs w:val="20"/>
          <w:color w:val="auto"/>
        </w:rPr>
      </w:pPr>
      <w:r>
        <w:rPr>
          <w:rFonts w:ascii="Times New Roman" w:cs="Times New Roman" w:eastAsia="Times New Roman" w:hAnsi="Times New Roman"/>
          <w:sz w:val="14"/>
          <w:szCs w:val="14"/>
          <w:b w:val="1"/>
          <w:bCs w:val="1"/>
          <w:color w:val="auto"/>
        </w:rPr>
        <w:t>Derivatives Not Designated</w:t>
      </w:r>
      <w:r>
        <w:rPr>
          <w:sz w:val="20"/>
          <w:szCs w:val="20"/>
          <w:color w:val="auto"/>
        </w:rPr>
        <w:tab/>
      </w:r>
      <w:r>
        <w:rPr>
          <w:rFonts w:ascii="Times New Roman" w:cs="Times New Roman" w:eastAsia="Times New Roman" w:hAnsi="Times New Roman"/>
          <w:sz w:val="14"/>
          <w:szCs w:val="14"/>
          <w:b w:val="1"/>
          <w:bCs w:val="1"/>
          <w:color w:val="auto"/>
        </w:rPr>
        <w:t>Location of Gain Recognized in</w:t>
      </w:r>
    </w:p>
    <w:p>
      <w:pPr>
        <w:spacing w:after="0" w:line="13" w:lineRule="exact"/>
        <w:rPr>
          <w:sz w:val="20"/>
          <w:szCs w:val="20"/>
          <w:color w:val="auto"/>
        </w:rPr>
      </w:pPr>
    </w:p>
    <w:p>
      <w:pPr>
        <w:ind w:left="660"/>
        <w:spacing w:after="0"/>
        <w:tabs>
          <w:tab w:leader="none" w:pos="3480" w:val="left"/>
        </w:tabs>
        <w:rPr>
          <w:sz w:val="20"/>
          <w:szCs w:val="20"/>
          <w:color w:val="auto"/>
        </w:rPr>
      </w:pPr>
      <w:r>
        <w:rPr>
          <w:rFonts w:ascii="Times New Roman" w:cs="Times New Roman" w:eastAsia="Times New Roman" w:hAnsi="Times New Roman"/>
          <w:sz w:val="14"/>
          <w:szCs w:val="14"/>
          <w:b w:val="1"/>
          <w:bCs w:val="1"/>
          <w:color w:val="auto"/>
        </w:rPr>
        <w:t>as Hedging Instruments</w:t>
      </w:r>
      <w:r>
        <w:rPr>
          <w:sz w:val="20"/>
          <w:szCs w:val="20"/>
          <w:color w:val="auto"/>
        </w:rPr>
        <w:tab/>
      </w:r>
      <w:r>
        <w:rPr>
          <w:rFonts w:ascii="Times New Roman" w:cs="Times New Roman" w:eastAsia="Times New Roman" w:hAnsi="Times New Roman"/>
          <w:sz w:val="14"/>
          <w:szCs w:val="14"/>
          <w:b w:val="1"/>
          <w:bCs w:val="1"/>
          <w:color w:val="auto"/>
        </w:rPr>
        <w:t>Income on Derivative Instruments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Amount of Gain Recognized in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on Derivative Instruments</w:t>
      </w:r>
    </w:p>
    <w:p>
      <w:pPr>
        <w:spacing w:after="0" w:line="1" w:lineRule="exact"/>
        <w:rPr>
          <w:sz w:val="20"/>
          <w:szCs w:val="20"/>
          <w:color w:val="auto"/>
        </w:rPr>
      </w:pPr>
    </w:p>
    <w:p>
      <w:pPr>
        <w:sectPr>
          <w:pgSz w:w="11900" w:h="16838" w:orient="portrait"/>
          <w:cols w:equalWidth="0" w:num="2">
            <w:col w:w="6920" w:space="720"/>
            <w:col w:w="3600"/>
          </w:cols>
          <w:pgMar w:left="320" w:top="320" w:right="339" w:bottom="1440" w:gutter="0" w:footer="0" w:header="0"/>
          <w:type w:val="continuous"/>
        </w:sectPr>
      </w:pPr>
    </w:p>
    <w:tbl>
      <w:tblPr>
        <w:tblLayout w:type="fixed"/>
        <w:tblInd w:w="0" w:type="dxa"/>
        <w:tblCellMar>
          <w:top w:w="0" w:type="dxa"/>
          <w:left w:w="0" w:type="dxa"/>
          <w:bottom w:w="0" w:type="dxa"/>
          <w:right w:w="0" w:type="dxa"/>
        </w:tblCellMar>
      </w:tblPr>
      <w:tr>
        <w:trPr>
          <w:trHeight w:val="144"/>
        </w:trPr>
        <w:tc>
          <w:tcPr>
            <w:tcW w:w="2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80" w:type="dxa"/>
            <w:vAlign w:val="bottom"/>
            <w:tcBorders>
              <w:top w:val="single" w:sz="8" w:color="auto"/>
            </w:tcBorders>
            <w:gridSpan w:val="5"/>
          </w:tcPr>
          <w:p>
            <w:pPr>
              <w:jc w:val="right"/>
              <w:ind w:right="428"/>
              <w:spacing w:after="0" w:line="145"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4"/>
          </w:tcPr>
          <w:p>
            <w:pPr>
              <w:jc w:val="right"/>
              <w:ind w:right="488"/>
              <w:spacing w:after="0" w:line="145"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2"/>
                <w:szCs w:val="12"/>
                <w:color w:val="auto"/>
              </w:rPr>
            </w:pPr>
          </w:p>
        </w:tc>
      </w:tr>
      <w:tr>
        <w:trPr>
          <w:trHeight w:val="173"/>
        </w:trPr>
        <w:tc>
          <w:tcPr>
            <w:tcW w:w="2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4"/>
                <w:szCs w:val="14"/>
                <w:color w:val="auto"/>
              </w:rPr>
            </w:pPr>
          </w:p>
        </w:tc>
      </w:tr>
      <w:tr>
        <w:trPr>
          <w:trHeight w:val="169"/>
        </w:trPr>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(Dollars</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w:t>
            </w:r>
          </w:p>
        </w:tc>
        <w:tc>
          <w:tcPr>
            <w:tcW w:w="102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i w:val="1"/>
                <w:iCs w:val="1"/>
                <w:color w:val="auto"/>
                <w:w w:val="87"/>
              </w:rPr>
              <w:t>thousands)</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2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200" w:type="dxa"/>
            <w:vAlign w:val="bottom"/>
            <w:tcBorders>
              <w:bottom w:val="single" w:sz="8" w:color="CFF0FC"/>
            </w:tcBorders>
            <w:shd w:val="clear" w:color="auto" w:fill="CFF0FC"/>
          </w:tcPr>
          <w:p>
            <w:pPr>
              <w:spacing w:after="0"/>
              <w:rPr>
                <w:sz w:val="15"/>
                <w:szCs w:val="15"/>
                <w:color w:val="auto"/>
              </w:rPr>
            </w:pPr>
          </w:p>
        </w:tc>
        <w:tc>
          <w:tcPr>
            <w:tcW w:w="3120" w:type="dxa"/>
            <w:vAlign w:val="bottom"/>
            <w:tcBorders>
              <w:bottom w:val="single" w:sz="8" w:color="CFF0FC"/>
            </w:tcBorders>
            <w:shd w:val="clear" w:color="auto" w:fill="CFF0FC"/>
          </w:tcPr>
          <w:p>
            <w:pPr>
              <w:ind w:left="1180"/>
              <w:spacing w:after="0"/>
              <w:rPr>
                <w:sz w:val="20"/>
                <w:szCs w:val="20"/>
                <w:color w:val="auto"/>
              </w:rPr>
            </w:pPr>
            <w:r>
              <w:rPr>
                <w:rFonts w:ascii="Times New Roman" w:cs="Times New Roman" w:eastAsia="Times New Roman" w:hAnsi="Times New Roman"/>
                <w:sz w:val="14"/>
                <w:szCs w:val="14"/>
                <w:color w:val="auto"/>
              </w:rPr>
              <w:t>Other income</w:t>
            </w:r>
          </w:p>
        </w:tc>
        <w:tc>
          <w:tcPr>
            <w:tcW w:w="18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278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60" w:type="dxa"/>
            <w:vAlign w:val="bottom"/>
            <w:gridSpan w:val="2"/>
          </w:tcPr>
          <w:p>
            <w:pPr>
              <w:jc w:val="right"/>
              <w:ind w:right="5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167</w:t>
            </w:r>
          </w:p>
        </w:tc>
        <w:tc>
          <w:tcPr>
            <w:tcW w:w="480" w:type="dxa"/>
            <w:vAlign w:val="bottom"/>
            <w:gridSpan w:val="2"/>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382</w:t>
            </w:r>
          </w:p>
        </w:tc>
        <w:tc>
          <w:tcPr>
            <w:tcW w:w="100" w:type="dxa"/>
            <w:vAlign w:val="bottom"/>
          </w:tcPr>
          <w:p>
            <w:pPr>
              <w:spacing w:after="0"/>
              <w:rPr>
                <w:sz w:val="14"/>
                <w:szCs w:val="14"/>
                <w:color w:val="auto"/>
              </w:rPr>
            </w:pPr>
          </w:p>
        </w:tc>
      </w:tr>
      <w:tr>
        <w:trPr>
          <w:trHeight w:val="20"/>
        </w:trPr>
        <w:tc>
          <w:tcPr>
            <w:tcW w:w="2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-145415</wp:posOffset>
            </wp:positionV>
            <wp:extent cx="77470" cy="14605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-145415</wp:posOffset>
            </wp:positionV>
            <wp:extent cx="68580" cy="14605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-145415</wp:posOffset>
            </wp:positionV>
            <wp:extent cx="68580" cy="14605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bookmarkStart w:id="33" w:name="page34"/>
    <w:bookmarkEnd w:id="33"/>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OTHER COMPREHENSIVE INCOME</w:t>
      </w: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table below provides a summary of the components of other comprehensive income (“OCI”) for the periods presented.</w:t>
      </w:r>
    </w:p>
    <w:p>
      <w:pPr>
        <w:spacing w:after="0" w:line="21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6" w:lineRule="exact"/>
        <w:rPr>
          <w:sz w:val="20"/>
          <w:szCs w:val="20"/>
          <w:color w:val="auto"/>
        </w:rPr>
      </w:pPr>
    </w:p>
    <w:tbl>
      <w:tblPr>
        <w:tblLayout w:type="fixed"/>
        <w:tblInd w:w="4840" w:type="dxa"/>
        <w:tblCellMar>
          <w:top w:w="0" w:type="dxa"/>
          <w:left w:w="0" w:type="dxa"/>
          <w:bottom w:w="0" w:type="dxa"/>
          <w:right w:w="0" w:type="dxa"/>
        </w:tblCellMar>
      </w:tblPr>
      <w:tr>
        <w:trPr>
          <w:trHeight w:val="169"/>
        </w:trPr>
        <w:tc>
          <w:tcPr>
            <w:tcW w:w="8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r>
      <w:tr>
        <w:trPr>
          <w:trHeight w:val="169"/>
        </w:trPr>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Before-tax</w:t>
            </w:r>
          </w:p>
        </w:tc>
        <w:tc>
          <w:tcPr>
            <w:tcW w:w="240" w:type="dxa"/>
            <w:vAlign w:val="bottom"/>
          </w:tcPr>
          <w:p>
            <w:pPr>
              <w:spacing w:after="0"/>
              <w:rPr>
                <w:sz w:val="14"/>
                <w:szCs w:val="14"/>
                <w:color w:val="auto"/>
              </w:rPr>
            </w:pPr>
          </w:p>
        </w:tc>
        <w:tc>
          <w:tcPr>
            <w:tcW w:w="8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220" w:type="dxa"/>
            <w:vAlign w:val="bottom"/>
          </w:tcPr>
          <w:p>
            <w:pPr>
              <w:spacing w:after="0"/>
              <w:rPr>
                <w:sz w:val="14"/>
                <w:szCs w:val="14"/>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240" w:type="dxa"/>
            <w:vAlign w:val="bottom"/>
          </w:tcPr>
          <w:p>
            <w:pPr>
              <w:spacing w:after="0"/>
              <w:rPr>
                <w:sz w:val="14"/>
                <w:szCs w:val="14"/>
                <w:color w:val="auto"/>
              </w:rPr>
            </w:pP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Before-tax</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220" w:type="dxa"/>
            <w:vAlign w:val="bottom"/>
          </w:tcPr>
          <w:p>
            <w:pPr>
              <w:spacing w:after="0"/>
              <w:rPr>
                <w:sz w:val="14"/>
                <w:szCs w:val="14"/>
                <w:color w:val="auto"/>
              </w:rPr>
            </w:pPr>
          </w:p>
        </w:tc>
        <w:tc>
          <w:tcPr>
            <w:tcW w:w="9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After-tax</w:t>
            </w:r>
          </w:p>
        </w:tc>
      </w:tr>
      <w:tr>
        <w:trPr>
          <w:trHeight w:val="176"/>
        </w:trPr>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14"/>
                <w:szCs w:val="14"/>
                <w:i w:val="1"/>
                <w:iCs w:val="1"/>
                <w:color w:val="auto"/>
              </w:rPr>
              <w:t>(Dollars</w:t>
            </w:r>
          </w:p>
        </w:tc>
        <w:tc>
          <w:tcPr>
            <w:tcW w:w="2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w:t>
            </w:r>
          </w:p>
        </w:tc>
        <w:tc>
          <w:tcPr>
            <w:tcW w:w="7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thousands)</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1176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Investment securities:</w:t>
      </w:r>
    </w:p>
    <w:p>
      <w:pPr>
        <w:sectPr>
          <w:pgSz w:w="11900" w:h="16838" w:orient="portrait"/>
          <w:cols w:equalWidth="0" w:num="1">
            <w:col w:w="11240"/>
          </w:cols>
          <w:pgMar w:left="320" w:top="320" w:right="339" w:bottom="1440" w:gutter="0" w:footer="0" w:header="0"/>
        </w:sectPr>
      </w:pP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Net change in fair value recorded in accumulated OCI</w:t>
      </w:r>
    </w:p>
    <w:p>
      <w:pPr>
        <w:spacing w:after="0" w:line="15" w:lineRule="exact"/>
        <w:rPr>
          <w:sz w:val="20"/>
          <w:szCs w:val="20"/>
          <w:color w:val="auto"/>
        </w:rPr>
      </w:pPr>
    </w:p>
    <w:p>
      <w:pPr>
        <w:ind w:left="300" w:right="700" w:hanging="107"/>
        <w:spacing w:after="0" w:line="243" w:lineRule="auto"/>
        <w:rPr>
          <w:sz w:val="20"/>
          <w:szCs w:val="20"/>
          <w:color w:val="auto"/>
        </w:rPr>
      </w:pPr>
      <w:r>
        <w:rPr>
          <w:rFonts w:ascii="Times New Roman" w:cs="Times New Roman" w:eastAsia="Times New Roman" w:hAnsi="Times New Roman"/>
          <w:sz w:val="14"/>
          <w:szCs w:val="14"/>
          <w:color w:val="auto"/>
        </w:rPr>
        <w:t>Amortization of net unrealized losses on securities transferred from available-for-sale to held-to-maturity</w:t>
      </w:r>
    </w:p>
    <w:p>
      <w:pPr>
        <w:spacing w:after="0" w:line="2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Net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Investment securities: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(194,111 )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57,386</w:t>
            </w:r>
          </w:p>
        </w:tc>
        <w:tc>
          <w:tcPr>
            <w:tcW w:w="10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(136,725 )</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(14,515 )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4,291</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(10,224 )</w:t>
            </w:r>
          </w:p>
        </w:tc>
      </w:tr>
      <w:tr>
        <w:trPr>
          <w:trHeight w:val="294"/>
        </w:trPr>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(28 )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(21 )</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60" w:type="dxa"/>
            <w:vAlign w:val="bottom"/>
          </w:tcPr>
          <w:p>
            <w:pPr>
              <w:spacing w:after="0"/>
              <w:rPr>
                <w:sz w:val="24"/>
                <w:szCs w:val="24"/>
                <w:color w:val="auto"/>
              </w:rPr>
            </w:pPr>
          </w:p>
        </w:tc>
      </w:tr>
      <w:tr>
        <w:trPr>
          <w:trHeight w:val="169"/>
        </w:trPr>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(194,016</w:t>
            </w:r>
          </w:p>
        </w:tc>
        <w:tc>
          <w:tcPr>
            <w:tcW w:w="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57,358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(136,658</w:t>
            </w:r>
          </w:p>
        </w:tc>
        <w:tc>
          <w:tcPr>
            <w:tcW w:w="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(14,443</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4,270</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(10,173</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106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Before-tax</w:t>
            </w: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240" w:type="dxa"/>
            <w:vAlign w:val="bottom"/>
          </w:tcPr>
          <w:p>
            <w:pPr>
              <w:spacing w:after="0"/>
              <w:rPr>
                <w:sz w:val="14"/>
                <w:szCs w:val="14"/>
                <w:color w:val="auto"/>
              </w:rPr>
            </w:pP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Before-tax</w:t>
            </w:r>
          </w:p>
        </w:tc>
        <w:tc>
          <w:tcPr>
            <w:tcW w:w="10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60" w:type="dxa"/>
            <w:vAlign w:val="bottom"/>
          </w:tcPr>
          <w:p>
            <w:pPr>
              <w:spacing w:after="0"/>
              <w:rPr>
                <w:sz w:val="14"/>
                <w:szCs w:val="14"/>
                <w:color w:val="auto"/>
              </w:rPr>
            </w:pPr>
          </w:p>
        </w:tc>
      </w:tr>
      <w:tr>
        <w:trPr>
          <w:trHeight w:val="184"/>
        </w:trPr>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(Dollars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i w:val="1"/>
                <w:iCs w:val="1"/>
                <w:color w:val="auto"/>
                <w:w w:val="72"/>
              </w:rPr>
              <w:t>in</w:t>
            </w:r>
          </w:p>
        </w:tc>
        <w:tc>
          <w:tcPr>
            <w:tcW w:w="7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w:t>
            </w: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-951865</wp:posOffset>
            </wp:positionV>
            <wp:extent cx="7132320" cy="3429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-8890</wp:posOffset>
            </wp:positionV>
            <wp:extent cx="7132320" cy="11176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spacing w:after="0" w:line="164" w:lineRule="exact"/>
        <w:rPr>
          <w:sz w:val="20"/>
          <w:szCs w:val="20"/>
          <w:color w:val="auto"/>
        </w:rPr>
      </w:pPr>
    </w:p>
    <w:p>
      <w:pPr>
        <w:sectPr>
          <w:pgSz w:w="11900" w:h="16838" w:orient="portrait"/>
          <w:cols w:equalWidth="0" w:num="2">
            <w:col w:w="4120" w:space="720"/>
            <w:col w:w="6400"/>
          </w:cols>
          <w:pgMar w:left="320" w:top="320" w:right="33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4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change in fair value recorded in accumulated OCI</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(539,066 )</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159,367</w:t>
            </w:r>
          </w:p>
        </w:tc>
        <w:tc>
          <w:tcPr>
            <w:tcW w:w="22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(379,699 )</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(45,989 )</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13,596</w:t>
            </w:r>
          </w:p>
        </w:tc>
        <w:tc>
          <w:tcPr>
            <w:tcW w:w="22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(32,393 )</w:t>
            </w:r>
          </w:p>
        </w:tc>
        <w:tc>
          <w:tcPr>
            <w:tcW w:w="0" w:type="dxa"/>
            <w:vAlign w:val="bottom"/>
          </w:tcPr>
          <w:p>
            <w:pPr>
              <w:spacing w:after="0"/>
              <w:rPr>
                <w:sz w:val="1"/>
                <w:szCs w:val="1"/>
                <w:color w:val="auto"/>
              </w:rPr>
            </w:pPr>
          </w:p>
        </w:tc>
      </w:tr>
      <w:tr>
        <w:trPr>
          <w:trHeight w:val="139"/>
        </w:trPr>
        <w:tc>
          <w:tcPr>
            <w:tcW w:w="484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Amortization of net unrealized losses on securities</w:t>
            </w:r>
          </w:p>
        </w:tc>
        <w:tc>
          <w:tcPr>
            <w:tcW w:w="18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(72 )</w:t>
            </w:r>
          </w:p>
        </w:tc>
        <w:tc>
          <w:tcPr>
            <w:tcW w:w="22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(51 )</w:t>
            </w:r>
          </w:p>
        </w:tc>
        <w:tc>
          <w:tcPr>
            <w:tcW w:w="28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transferred from available-for-sale to held-to-maturity</w:t>
            </w:r>
          </w:p>
        </w:tc>
        <w:tc>
          <w:tcPr>
            <w:tcW w:w="18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840" w:type="dxa"/>
            <w:vAlign w:val="bottom"/>
          </w:tcPr>
          <w:p>
            <w:pPr>
              <w:ind w:left="560"/>
              <w:spacing w:after="0" w:line="155" w:lineRule="exact"/>
              <w:rPr>
                <w:sz w:val="20"/>
                <w:szCs w:val="20"/>
                <w:color w:val="auto"/>
              </w:rPr>
            </w:pPr>
            <w:r>
              <w:rPr>
                <w:rFonts w:ascii="Times New Roman" w:cs="Times New Roman" w:eastAsia="Times New Roman" w:hAnsi="Times New Roman"/>
                <w:sz w:val="14"/>
                <w:szCs w:val="14"/>
                <w:color w:val="auto"/>
              </w:rPr>
              <w:t>Net change</w:t>
            </w:r>
          </w:p>
        </w:tc>
        <w:tc>
          <w:tcPr>
            <w:tcW w:w="18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(538,825 )</w:t>
            </w:r>
          </w:p>
        </w:tc>
        <w:tc>
          <w:tcPr>
            <w:tcW w:w="22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159,296</w:t>
            </w:r>
          </w:p>
        </w:tc>
        <w:tc>
          <w:tcPr>
            <w:tcW w:w="220" w:type="dxa"/>
            <w:vAlign w:val="bottom"/>
          </w:tcPr>
          <w:p>
            <w:pPr>
              <w:spacing w:after="0"/>
              <w:rPr>
                <w:sz w:val="14"/>
                <w:szCs w:val="14"/>
                <w:color w:val="auto"/>
              </w:rPr>
            </w:pPr>
          </w:p>
        </w:tc>
        <w:tc>
          <w:tcPr>
            <w:tcW w:w="22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(379,529 )</w:t>
            </w:r>
          </w:p>
        </w:tc>
        <w:tc>
          <w:tcPr>
            <w:tcW w:w="20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(45,816 )</w:t>
            </w:r>
          </w:p>
        </w:tc>
        <w:tc>
          <w:tcPr>
            <w:tcW w:w="26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13,545</w:t>
            </w:r>
          </w:p>
        </w:tc>
        <w:tc>
          <w:tcPr>
            <w:tcW w:w="220" w:type="dxa"/>
            <w:vAlign w:val="bottom"/>
          </w:tcPr>
          <w:p>
            <w:pPr>
              <w:spacing w:after="0"/>
              <w:rPr>
                <w:sz w:val="14"/>
                <w:szCs w:val="14"/>
                <w:color w:val="auto"/>
              </w:rPr>
            </w:pPr>
          </w:p>
        </w:tc>
        <w:tc>
          <w:tcPr>
            <w:tcW w:w="28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(32,271 )</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-145415</wp:posOffset>
            </wp:positionV>
            <wp:extent cx="77470" cy="1460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-145415</wp:posOffset>
            </wp:positionV>
            <wp:extent cx="68580" cy="1460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-145415</wp:posOffset>
            </wp:positionV>
            <wp:extent cx="68580" cy="14605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-145415</wp:posOffset>
            </wp:positionV>
            <wp:extent cx="68580" cy="1460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-145415</wp:posOffset>
            </wp:positionV>
            <wp:extent cx="68580" cy="1460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11.  BALANCE SHEET OFFSETTING</w:t>
      </w:r>
    </w:p>
    <w:p>
      <w:pPr>
        <w:spacing w:after="0" w:line="216" w:lineRule="exact"/>
        <w:rPr>
          <w:sz w:val="20"/>
          <w:szCs w:val="20"/>
          <w:color w:val="auto"/>
        </w:rPr>
      </w:pPr>
    </w:p>
    <w:p>
      <w:pPr>
        <w:ind w:right="60" w:firstLine="374"/>
        <w:spacing w:after="0" w:line="243" w:lineRule="auto"/>
        <w:rPr>
          <w:sz w:val="20"/>
          <w:szCs w:val="20"/>
          <w:color w:val="auto"/>
        </w:rPr>
      </w:pPr>
      <w:r>
        <w:rPr>
          <w:rFonts w:ascii="Times New Roman" w:cs="Times New Roman" w:eastAsia="Times New Roman" w:hAnsi="Times New Roman"/>
          <w:sz w:val="18"/>
          <w:szCs w:val="18"/>
          <w:color w:val="auto"/>
        </w:rPr>
        <w:t>Assets and liabilities relating to certain financial instruments, including, derivatives and securities sold under repurchase agreements (“repurchase agreements”), may be eligible for offset in the condensed consolidated balance sheets as permitted under accounting guidance. As noted above, our interest rate swap derivatives are subject to master netting arrangements. Our interest rate swap derivatives require the Company to pledge investment securities as collateral based on certain risk thresholds. Investment securities that have been pledged by the Company to counterparties continue to be reported in the Company’s condensed consolidated balance sheets unless the Company defaults. We offer a repurchase agreement product to our customers, which include master netting agreements that allow for the netting of collateral positions. This product, known as Citizens Sweep Manager, sells certain of our securities overnight to our customers under an agreement to repurchase them the next day. The repurchase agreements are not offset in the Company’s condensed consolidated balances.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20" w:type="dxa"/>
            <w:vAlign w:val="bottom"/>
          </w:tcPr>
          <w:p>
            <w:pPr>
              <w:spacing w:after="0"/>
              <w:rPr>
                <w:sz w:val="13"/>
                <w:szCs w:val="13"/>
                <w:color w:val="auto"/>
              </w:rPr>
            </w:pPr>
          </w:p>
        </w:tc>
        <w:tc>
          <w:tcPr>
            <w:tcW w:w="1420" w:type="dxa"/>
            <w:vAlign w:val="bottom"/>
            <w:gridSpan w:val="2"/>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100" w:type="dxa"/>
            <w:vAlign w:val="bottom"/>
          </w:tcPr>
          <w:p>
            <w:pPr>
              <w:spacing w:after="0"/>
              <w:rPr>
                <w:sz w:val="13"/>
                <w:szCs w:val="13"/>
                <w:color w:val="auto"/>
              </w:rPr>
            </w:pPr>
          </w:p>
        </w:tc>
        <w:tc>
          <w:tcPr>
            <w:tcW w:w="2060" w:type="dxa"/>
            <w:vAlign w:val="bottom"/>
            <w:gridSpan w:val="3"/>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the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20" w:type="dxa"/>
            <w:vAlign w:val="bottom"/>
          </w:tcPr>
          <w:p>
            <w:pPr>
              <w:spacing w:after="0"/>
              <w:rPr>
                <w:sz w:val="12"/>
                <w:szCs w:val="12"/>
                <w:color w:val="auto"/>
              </w:rPr>
            </w:pPr>
          </w:p>
        </w:tc>
        <w:tc>
          <w:tcPr>
            <w:tcW w:w="1420" w:type="dxa"/>
            <w:vAlign w:val="bottom"/>
            <w:gridSpan w:val="2"/>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00" w:type="dxa"/>
            <w:vAlign w:val="bottom"/>
          </w:tcPr>
          <w:p>
            <w:pPr>
              <w:spacing w:after="0"/>
              <w:rPr>
                <w:sz w:val="12"/>
                <w:szCs w:val="12"/>
                <w:color w:val="auto"/>
              </w:rPr>
            </w:pPr>
          </w:p>
        </w:tc>
        <w:tc>
          <w:tcPr>
            <w:tcW w:w="2800" w:type="dxa"/>
            <w:vAlign w:val="bottom"/>
            <w:gridSpan w:val="5"/>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 the Condensed Consolidated Balance</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Condensed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Condensed</w:t>
            </w:r>
          </w:p>
        </w:tc>
        <w:tc>
          <w:tcPr>
            <w:tcW w:w="120" w:type="dxa"/>
            <w:vAlign w:val="bottom"/>
          </w:tcPr>
          <w:p>
            <w:pPr>
              <w:spacing w:after="0"/>
              <w:rPr>
                <w:sz w:val="16"/>
                <w:szCs w:val="16"/>
                <w:color w:val="auto"/>
              </w:rPr>
            </w:pPr>
          </w:p>
        </w:tc>
        <w:tc>
          <w:tcPr>
            <w:tcW w:w="1420" w:type="dxa"/>
            <w:vAlign w:val="bottom"/>
            <w:gridSpan w:val="2"/>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Condensed</w:t>
            </w: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Sheets</w:t>
            </w:r>
          </w:p>
        </w:tc>
        <w:tc>
          <w:tcPr>
            <w:tcW w:w="5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right="68"/>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1"/>
                <w:szCs w:val="11"/>
                <w:color w:val="auto"/>
              </w:rPr>
            </w:pPr>
          </w:p>
        </w:tc>
        <w:tc>
          <w:tcPr>
            <w:tcW w:w="1420" w:type="dxa"/>
            <w:vAlign w:val="bottom"/>
            <w:gridSpan w:val="2"/>
          </w:tcPr>
          <w:p>
            <w:pPr>
              <w:jc w:val="center"/>
              <w:ind w:right="308"/>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1"/>
                <w:szCs w:val="11"/>
                <w:color w:val="auto"/>
              </w:rPr>
            </w:pPr>
          </w:p>
        </w:tc>
        <w:tc>
          <w:tcPr>
            <w:tcW w:w="1120" w:type="dxa"/>
            <w:vAlign w:val="bottom"/>
          </w:tcPr>
          <w:p>
            <w:pPr>
              <w:jc w:val="right"/>
              <w:ind w:right="268"/>
              <w:spacing w:after="0" w:line="131"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220" w:type="dxa"/>
            <w:vAlign w:val="bottom"/>
          </w:tcPr>
          <w:p>
            <w:pPr>
              <w:spacing w:after="0"/>
              <w:rPr>
                <w:sz w:val="11"/>
                <w:szCs w:val="11"/>
                <w:color w:val="auto"/>
              </w:rPr>
            </w:pP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Collateral Pledged</w:t>
            </w:r>
          </w:p>
        </w:tc>
        <w:tc>
          <w:tcPr>
            <w:tcW w:w="2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20" w:type="dxa"/>
            <w:vAlign w:val="bottom"/>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(Dollars in</w:t>
            </w:r>
          </w:p>
        </w:tc>
        <w:tc>
          <w:tcPr>
            <w:tcW w:w="1440" w:type="dxa"/>
            <w:vAlign w:val="bottom"/>
            <w:gridSpan w:val="3"/>
          </w:tcPr>
          <w:p>
            <w:pPr>
              <w:jc w:val="right"/>
              <w:ind w:right="748"/>
              <w:spacing w:after="0"/>
              <w:rPr>
                <w:sz w:val="20"/>
                <w:szCs w:val="20"/>
                <w:color w:val="auto"/>
              </w:rPr>
            </w:pPr>
            <w:r>
              <w:rPr>
                <w:rFonts w:ascii="Times New Roman" w:cs="Times New Roman" w:eastAsia="Times New Roman" w:hAnsi="Times New Roman"/>
                <w:sz w:val="14"/>
                <w:szCs w:val="14"/>
                <w:i w:val="1"/>
                <w:iCs w:val="1"/>
                <w:color w:val="auto"/>
                <w:w w:val="97"/>
              </w:rPr>
              <w:t>thousands)</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3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Derivatives not designated as</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40" w:type="dxa"/>
            <w:vAlign w:val="bottom"/>
            <w:vMerge w:val="restart"/>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20" w:type="dxa"/>
            <w:vAlign w:val="bottom"/>
            <w:vMerge w:val="restart"/>
            <w:shd w:val="clear" w:color="auto" w:fill="CFF0FC"/>
          </w:tcPr>
          <w:p>
            <w:pPr>
              <w:spacing w:after="0"/>
              <w:rPr>
                <w:sz w:val="12"/>
                <w:szCs w:val="12"/>
                <w:color w:val="auto"/>
              </w:rPr>
            </w:pPr>
          </w:p>
        </w:tc>
        <w:tc>
          <w:tcPr>
            <w:tcW w:w="720" w:type="dxa"/>
            <w:vAlign w:val="bottom"/>
            <w:vMerge w:val="restart"/>
            <w:shd w:val="clear" w:color="auto" w:fill="CFF0FC"/>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8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hedging instruments</w:t>
            </w: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124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vMerge w:val="continue"/>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122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120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vMerge w:val="continue"/>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54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108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940" w:type="dxa"/>
            <w:vAlign w:val="bottom"/>
            <w:gridSpan w:val="2"/>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1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3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Derivatives not designated as</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57,776</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(57,693 )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57,693</w:t>
            </w:r>
          </w:p>
        </w:tc>
        <w:tc>
          <w:tcPr>
            <w:tcW w:w="940" w:type="dxa"/>
            <w:vAlign w:val="bottom"/>
            <w:gridSpan w:val="2"/>
            <w:vMerge w:val="restart"/>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(16,346 )</w:t>
            </w: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41,430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hedging instruments</w:t>
            </w:r>
          </w:p>
        </w:tc>
        <w:tc>
          <w:tcPr>
            <w:tcW w:w="10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Repurchase agreements</w:t>
            </w:r>
          </w:p>
        </w:tc>
        <w:tc>
          <w:tcPr>
            <w:tcW w:w="10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467,844</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467,844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99"/>
              </w:rPr>
              <w:t>(603,609 )</w:t>
            </w:r>
          </w:p>
        </w:tc>
        <w:tc>
          <w:tcPr>
            <w:tcW w:w="1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(135,765 )</w:t>
            </w:r>
          </w:p>
        </w:tc>
        <w:tc>
          <w:tcPr>
            <w:tcW w:w="0" w:type="dxa"/>
            <w:vAlign w:val="bottom"/>
          </w:tcPr>
          <w:p>
            <w:pPr>
              <w:spacing w:after="0"/>
              <w:rPr>
                <w:sz w:val="1"/>
                <w:szCs w:val="1"/>
                <w:color w:val="auto"/>
              </w:rPr>
            </w:pPr>
          </w:p>
        </w:tc>
      </w:tr>
      <w:tr>
        <w:trPr>
          <w:trHeight w:val="20"/>
        </w:trPr>
        <w:tc>
          <w:tcPr>
            <w:tcW w:w="2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525,620</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(57,693 )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467,927</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57,693</w:t>
            </w:r>
          </w:p>
        </w:tc>
        <w:tc>
          <w:tcPr>
            <w:tcW w:w="940" w:type="dxa"/>
            <w:vAlign w:val="bottom"/>
            <w:gridSpan w:val="2"/>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(619,955 )</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(94,335 )</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3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Derivatives not designated as</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14,163</w:t>
            </w:r>
          </w:p>
        </w:tc>
        <w:tc>
          <w:tcPr>
            <w:tcW w:w="240" w:type="dxa"/>
            <w:vAlign w:val="bottom"/>
            <w:vMerge w:val="restart"/>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14,163</w:t>
            </w:r>
          </w:p>
        </w:tc>
        <w:tc>
          <w:tcPr>
            <w:tcW w:w="220" w:type="dxa"/>
            <w:vAlign w:val="bottom"/>
            <w:vMerge w:val="restart"/>
            <w:shd w:val="clear" w:color="auto" w:fill="CFF0FC"/>
          </w:tcPr>
          <w:p>
            <w:pPr>
              <w:spacing w:after="0"/>
              <w:rPr>
                <w:sz w:val="12"/>
                <w:szCs w:val="12"/>
                <w:color w:val="auto"/>
              </w:rPr>
            </w:pPr>
          </w:p>
        </w:tc>
        <w:tc>
          <w:tcPr>
            <w:tcW w:w="720" w:type="dxa"/>
            <w:vAlign w:val="bottom"/>
            <w:vMerge w:val="restart"/>
            <w:shd w:val="clear" w:color="auto" w:fill="CFF0FC"/>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8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14,163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hedging instruments</w:t>
            </w: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124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vMerge w:val="continue"/>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122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120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vMerge w:val="continue"/>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54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108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14,163</w:t>
            </w:r>
          </w:p>
        </w:tc>
        <w:tc>
          <w:tcPr>
            <w:tcW w:w="940" w:type="dxa"/>
            <w:vAlign w:val="bottom"/>
            <w:gridSpan w:val="2"/>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1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3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Derivatives not designated as</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23,502</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(9,339 )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14,163</w:t>
            </w:r>
          </w:p>
        </w:tc>
        <w:tc>
          <w:tcPr>
            <w:tcW w:w="2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9,339</w:t>
            </w:r>
          </w:p>
        </w:tc>
        <w:tc>
          <w:tcPr>
            <w:tcW w:w="940" w:type="dxa"/>
            <w:vAlign w:val="bottom"/>
            <w:gridSpan w:val="2"/>
            <w:vMerge w:val="restart"/>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(37,285 )</w:t>
            </w: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(13,783 )</w:t>
            </w:r>
          </w:p>
        </w:tc>
        <w:tc>
          <w:tcPr>
            <w:tcW w:w="0" w:type="dxa"/>
            <w:vAlign w:val="bottom"/>
          </w:tcPr>
          <w:p>
            <w:pPr>
              <w:spacing w:after="0"/>
              <w:rPr>
                <w:sz w:val="1"/>
                <w:szCs w:val="1"/>
                <w:color w:val="auto"/>
              </w:rPr>
            </w:pPr>
          </w:p>
        </w:tc>
      </w:tr>
      <w:tr>
        <w:trPr>
          <w:trHeight w:val="185"/>
        </w:trPr>
        <w:tc>
          <w:tcPr>
            <w:tcW w:w="2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hedging instruments</w:t>
            </w:r>
          </w:p>
        </w:tc>
        <w:tc>
          <w:tcPr>
            <w:tcW w:w="10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Repurchase agreements</w:t>
            </w:r>
          </w:p>
        </w:tc>
        <w:tc>
          <w:tcPr>
            <w:tcW w:w="10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642,388</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642,388</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99"/>
              </w:rPr>
              <w:t>(683,923 )</w:t>
            </w:r>
          </w:p>
        </w:tc>
        <w:tc>
          <w:tcPr>
            <w:tcW w:w="1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(41,535 )</w:t>
            </w:r>
          </w:p>
        </w:tc>
        <w:tc>
          <w:tcPr>
            <w:tcW w:w="0" w:type="dxa"/>
            <w:vAlign w:val="bottom"/>
          </w:tcPr>
          <w:p>
            <w:pPr>
              <w:spacing w:after="0"/>
              <w:rPr>
                <w:sz w:val="1"/>
                <w:szCs w:val="1"/>
                <w:color w:val="auto"/>
              </w:rPr>
            </w:pPr>
          </w:p>
        </w:tc>
      </w:tr>
      <w:tr>
        <w:trPr>
          <w:trHeight w:val="20"/>
        </w:trPr>
        <w:tc>
          <w:tcPr>
            <w:tcW w:w="2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665,890</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(9,339 )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656,551</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9,339</w:t>
            </w:r>
          </w:p>
        </w:tc>
        <w:tc>
          <w:tcPr>
            <w:tcW w:w="940" w:type="dxa"/>
            <w:vAlign w:val="bottom"/>
            <w:gridSpan w:val="2"/>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(721,208 )</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(55,318 )</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-2305685</wp:posOffset>
            </wp:positionV>
            <wp:extent cx="76835" cy="25717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-2305685</wp:posOffset>
            </wp:positionV>
            <wp:extent cx="68580" cy="25717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-2305685</wp:posOffset>
            </wp:positionV>
            <wp:extent cx="68580" cy="25717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-2305685</wp:posOffset>
            </wp:positionV>
            <wp:extent cx="68580" cy="25717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-2305685</wp:posOffset>
            </wp:positionV>
            <wp:extent cx="68580" cy="25717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-2305685</wp:posOffset>
            </wp:positionV>
            <wp:extent cx="68580" cy="25717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-1619885</wp:posOffset>
            </wp:positionV>
            <wp:extent cx="76835" cy="3689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6835" cy="36893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-1619885</wp:posOffset>
            </wp:positionV>
            <wp:extent cx="68580" cy="3689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36893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-1619885</wp:posOffset>
            </wp:positionV>
            <wp:extent cx="68580" cy="3689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36893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-1619885</wp:posOffset>
            </wp:positionV>
            <wp:extent cx="68580" cy="3689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36893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-1619885</wp:posOffset>
            </wp:positionV>
            <wp:extent cx="68580" cy="3689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36893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-1619885</wp:posOffset>
            </wp:positionV>
            <wp:extent cx="68580" cy="3689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36893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-831215</wp:posOffset>
            </wp:positionV>
            <wp:extent cx="76835" cy="25717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-831215</wp:posOffset>
            </wp:positionV>
            <wp:extent cx="68580" cy="25717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-831215</wp:posOffset>
            </wp:positionV>
            <wp:extent cx="68580" cy="25717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-831215</wp:posOffset>
            </wp:positionV>
            <wp:extent cx="68580" cy="25717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-831215</wp:posOffset>
            </wp:positionV>
            <wp:extent cx="68580" cy="25717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25717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-145415</wp:posOffset>
            </wp:positionV>
            <wp:extent cx="76835" cy="14605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-145415</wp:posOffset>
            </wp:positionV>
            <wp:extent cx="68580" cy="14605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-145415</wp:posOffset>
            </wp:positionV>
            <wp:extent cx="68580" cy="14605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-145415</wp:posOffset>
            </wp:positionV>
            <wp:extent cx="68580" cy="14605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-145415</wp:posOffset>
            </wp:positionV>
            <wp:extent cx="68580" cy="14605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216" w:lineRule="exact"/>
        <w:rPr>
          <w:sz w:val="20"/>
          <w:szCs w:val="20"/>
          <w:color w:val="auto"/>
        </w:rPr>
      </w:pPr>
    </w:p>
    <w:p>
      <w:pPr>
        <w:ind w:right="160" w:firstLine="374"/>
        <w:spacing w:after="0" w:line="280" w:lineRule="auto"/>
        <w:rPr>
          <w:sz w:val="20"/>
          <w:szCs w:val="20"/>
          <w:color w:val="auto"/>
        </w:rPr>
      </w:pPr>
      <w:r>
        <w:rPr>
          <w:rFonts w:ascii="Times New Roman" w:cs="Times New Roman" w:eastAsia="Times New Roman" w:hAnsi="Times New Roman"/>
          <w:sz w:val="17"/>
          <w:szCs w:val="17"/>
          <w:color w:val="auto"/>
        </w:rPr>
        <w:t>The Company’s operating leases, where the Company is a lessee, include real estate, such as office space and banking centers. Lease expense for operating leases is recognized on a straight-line basis over the term of the lease and is reflected in the consolidated statement of earnings. Right-of-use (“ROU”) assets and lease liabilities are included in other assets and other liabilities, respectively, on the Company’s condensed consolidated balance sheet.</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While the Company has, as a lessor, certain equipment finance leases, such leases are not material to the Company’s consolidated financial statements.</w:t>
      </w: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tables below present the components of lease costs and supplemental information related to leases as of and for the periods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7"/>
                <w:szCs w:val="17"/>
                <w:color w:val="auto"/>
              </w:rPr>
            </w:pPr>
          </w:p>
        </w:tc>
      </w:tr>
      <w:tr>
        <w:trPr>
          <w:trHeight w:val="238"/>
        </w:trPr>
        <w:tc>
          <w:tcPr>
            <w:tcW w:w="7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8"/>
        </w:trPr>
        <w:tc>
          <w:tcPr>
            <w:tcW w:w="7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2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w:t>
            </w:r>
          </w:p>
        </w:tc>
        <w:tc>
          <w:tcPr>
            <w:tcW w:w="15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100" w:type="dxa"/>
            <w:vAlign w:val="bottom"/>
          </w:tcPr>
          <w:p>
            <w:pPr>
              <w:spacing w:after="0"/>
              <w:rPr>
                <w:sz w:val="18"/>
                <w:szCs w:val="18"/>
                <w:color w:val="auto"/>
              </w:rPr>
            </w:pPr>
          </w:p>
        </w:tc>
      </w:tr>
      <w:tr>
        <w:trPr>
          <w:trHeight w:val="218"/>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Lease Assets and Liabilities</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ROU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23,560</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19,274</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25,092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20,864</w:t>
            </w:r>
          </w:p>
        </w:tc>
        <w:tc>
          <w:tcPr>
            <w:tcW w:w="100" w:type="dxa"/>
            <w:vAlign w:val="bottom"/>
            <w:shd w:val="clear" w:color="auto" w:fill="CFF0FC"/>
          </w:tcPr>
          <w:p>
            <w:pPr>
              <w:spacing w:after="0"/>
              <w:rPr>
                <w:sz w:val="18"/>
                <w:szCs w:val="18"/>
                <w:color w:val="auto"/>
              </w:rPr>
            </w:pPr>
          </w:p>
        </w:tc>
      </w:tr>
    </w:tbl>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17"/>
                <w:szCs w:val="17"/>
                <w:color w:val="auto"/>
              </w:rPr>
            </w:pPr>
          </w:p>
        </w:tc>
        <w:tc>
          <w:tcPr>
            <w:tcW w:w="3280" w:type="dxa"/>
            <w:vAlign w:val="bottom"/>
            <w:gridSpan w:val="5"/>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0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Pr>
          <w:p>
            <w:pPr>
              <w:spacing w:after="0"/>
              <w:rPr>
                <w:sz w:val="17"/>
                <w:szCs w:val="17"/>
                <w:color w:val="auto"/>
              </w:rPr>
            </w:pPr>
          </w:p>
        </w:tc>
      </w:tr>
      <w:tr>
        <w:trPr>
          <w:trHeight w:val="238"/>
        </w:trPr>
        <w:tc>
          <w:tcPr>
            <w:tcW w:w="43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3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8"/>
        </w:trPr>
        <w:tc>
          <w:tcPr>
            <w:tcW w:w="4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740" w:type="dxa"/>
            <w:vAlign w:val="bottom"/>
            <w:gridSpan w:val="4"/>
          </w:tcPr>
          <w:p>
            <w:pPr>
              <w:jc w:val="right"/>
              <w:ind w:right="79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9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expense (1)</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w:t>
            </w:r>
          </w:p>
        </w:tc>
        <w:tc>
          <w:tcPr>
            <w:tcW w:w="100" w:type="dxa"/>
            <w:vAlign w:val="bottom"/>
          </w:tcPr>
          <w:p>
            <w:pPr>
              <w:spacing w:after="0"/>
              <w:rPr>
                <w:sz w:val="18"/>
                <w:szCs w:val="18"/>
                <w:color w:val="auto"/>
              </w:rPr>
            </w:pPr>
          </w:p>
        </w:tc>
      </w:tr>
      <w:tr>
        <w:trPr>
          <w:trHeight w:val="216"/>
        </w:trPr>
        <w:tc>
          <w:tcPr>
            <w:tcW w:w="4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Sublease income</w:t>
            </w:r>
          </w:p>
        </w:tc>
        <w:tc>
          <w:tcPr>
            <w:tcW w:w="98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lease expense</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w:t>
            </w:r>
          </w:p>
        </w:tc>
        <w:tc>
          <w:tcPr>
            <w:tcW w:w="100" w:type="dxa"/>
            <w:vAlign w:val="bottom"/>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-170815</wp:posOffset>
            </wp:positionV>
            <wp:extent cx="77470" cy="17145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-170815</wp:posOffset>
            </wp:positionV>
            <wp:extent cx="68580" cy="17145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68580" cy="17145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55" w:lineRule="exact"/>
        <w:rPr>
          <w:sz w:val="20"/>
          <w:szCs w:val="20"/>
          <w:color w:val="auto"/>
        </w:rPr>
      </w:pPr>
    </w:p>
    <w:p>
      <w:pPr>
        <w:ind w:left="1140" w:hanging="383"/>
        <w:spacing w:after="0"/>
        <w:tabs>
          <w:tab w:leader="none" w:pos="11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short-term leases and variable lease costs, which are immaterial.</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171"/>
        </w:trPr>
        <w:tc>
          <w:tcPr>
            <w:tcW w:w="3740" w:type="dxa"/>
            <w:vAlign w:val="bottom"/>
          </w:tcPr>
          <w:p>
            <w:pPr>
              <w:ind w:left="120"/>
              <w:spacing w:after="0" w:line="170" w:lineRule="exact"/>
              <w:rPr>
                <w:sz w:val="20"/>
                <w:szCs w:val="20"/>
                <w:color w:val="auto"/>
              </w:rPr>
            </w:pPr>
            <w:r>
              <w:rPr>
                <w:rFonts w:ascii="Times New Roman" w:cs="Times New Roman" w:eastAsia="Times New Roman" w:hAnsi="Times New Roman"/>
                <w:sz w:val="18"/>
                <w:szCs w:val="18"/>
                <w:color w:val="auto"/>
              </w:rPr>
              <w:t>Cash paid for amounts included in the</w:t>
            </w: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4"/>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measurement of lease liabilities:</w:t>
            </w:r>
          </w:p>
        </w:tc>
        <w:tc>
          <w:tcPr>
            <w:tcW w:w="1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71"/>
        </w:trPr>
        <w:tc>
          <w:tcPr>
            <w:tcW w:w="3740" w:type="dxa"/>
            <w:vAlign w:val="bottom"/>
            <w:shd w:val="clear" w:color="auto" w:fill="CFF0FC"/>
          </w:tcPr>
          <w:p>
            <w:pPr>
              <w:ind w:left="300"/>
              <w:spacing w:after="0" w:line="170" w:lineRule="exact"/>
              <w:rPr>
                <w:sz w:val="20"/>
                <w:szCs w:val="20"/>
                <w:color w:val="auto"/>
              </w:rPr>
            </w:pPr>
            <w:r>
              <w:rPr>
                <w:rFonts w:ascii="Times New Roman" w:cs="Times New Roman" w:eastAsia="Times New Roman" w:hAnsi="Times New Roman"/>
                <w:sz w:val="18"/>
                <w:szCs w:val="18"/>
                <w:color w:val="auto"/>
              </w:rPr>
              <w:t>Operating cash outflows from operating</w:t>
            </w:r>
          </w:p>
        </w:tc>
        <w:tc>
          <w:tcPr>
            <w:tcW w:w="11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r>
      <w:tr>
        <w:trPr>
          <w:trHeight w:val="234"/>
        </w:trPr>
        <w:tc>
          <w:tcPr>
            <w:tcW w:w="3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leases, net</w:t>
            </w:r>
          </w:p>
        </w:tc>
        <w:tc>
          <w:tcPr>
            <w:tcW w:w="116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1,882</w:t>
            </w:r>
          </w:p>
        </w:tc>
        <w:tc>
          <w:tcPr>
            <w:tcW w:w="76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1,700</w:t>
            </w:r>
          </w:p>
        </w:tc>
        <w:tc>
          <w:tcPr>
            <w:tcW w:w="4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5,593</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585"/>
        </w:trPr>
        <w:tc>
          <w:tcPr>
            <w:tcW w:w="3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4"/>
                <w:szCs w:val="24"/>
                <w:color w:val="auto"/>
              </w:rPr>
            </w:pPr>
          </w:p>
        </w:tc>
        <w:tc>
          <w:tcPr>
            <w:tcW w:w="15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Lease Term and Discount Rate</w:t>
            </w:r>
          </w:p>
        </w:tc>
        <w:tc>
          <w:tcPr>
            <w:tcW w:w="1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171"/>
        </w:trPr>
        <w:tc>
          <w:tcPr>
            <w:tcW w:w="374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Weighted average remaining lease term</w:t>
            </w: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4"/>
        </w:trPr>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(years)</w:t>
            </w:r>
          </w:p>
        </w:tc>
        <w:tc>
          <w:tcPr>
            <w:tcW w:w="1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4.24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2.72 %</w:t>
            </w:r>
          </w:p>
        </w:tc>
        <w:tc>
          <w:tcPr>
            <w:tcW w:w="24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2.41 %</w:t>
            </w:r>
          </w:p>
        </w:tc>
      </w:tr>
      <w:tr>
        <w:trPr>
          <w:trHeight w:val="418"/>
        </w:trPr>
        <w:tc>
          <w:tcPr>
            <w:tcW w:w="3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36</w:t>
            </w: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8"/>
        </w:trPr>
        <w:tc>
          <w:tcPr>
            <w:tcW w:w="37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3716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320" w:right="279" w:bottom="1440" w:gutter="0" w:footer="0" w:header="0"/>
        </w:sectPr>
      </w:pPr>
    </w:p>
    <w:bookmarkStart w:id="36" w:name="page37"/>
    <w:bookmarkEnd w:id="36"/>
    <w:p>
      <w:pPr>
        <w:jc w:val="both"/>
        <w:ind w:right="180" w:firstLine="374"/>
        <w:spacing w:after="0" w:line="250" w:lineRule="auto"/>
        <w:rPr>
          <w:sz w:val="20"/>
          <w:szCs w:val="20"/>
          <w:color w:val="auto"/>
        </w:rPr>
      </w:pPr>
      <w:r>
        <w:rPr>
          <w:rFonts w:ascii="Times New Roman" w:cs="Times New Roman" w:eastAsia="Times New Roman" w:hAnsi="Times New Roman"/>
          <w:sz w:val="18"/>
          <w:szCs w:val="18"/>
          <w:color w:val="auto"/>
        </w:rPr>
        <w:t>The Company’s lease arrangements that have not yet commenced as of September 30, 2022 and the Company’s short-term lease costs and variable lease costs, for the nine months ended September 30, 2022 and 2021 are not material to the consolidated financial statements. The future lease payments required for leases that have initial or remaining non-cancelable lease terms in excess of one year as of September 30, 2022, excluding property taxes and insurance,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September 30, 2022</w:t>
            </w:r>
          </w:p>
        </w:tc>
      </w:tr>
      <w:tr>
        <w:trPr>
          <w:trHeight w:val="208"/>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 w:type="dxa"/>
            <w:vAlign w:val="bottom"/>
          </w:tcPr>
          <w:p>
            <w:pPr>
              <w:spacing w:after="0"/>
              <w:rPr>
                <w:sz w:val="18"/>
                <w:szCs w:val="18"/>
                <w:color w:val="auto"/>
              </w:rPr>
            </w:pPr>
          </w:p>
        </w:tc>
      </w:tr>
      <w:tr>
        <w:trPr>
          <w:trHeight w:val="177"/>
        </w:trPr>
        <w:tc>
          <w:tcPr>
            <w:tcW w:w="20" w:type="dxa"/>
            <w:vAlign w:val="bottom"/>
            <w:shd w:val="clear" w:color="auto" w:fill="CFF0FC"/>
          </w:tcPr>
          <w:p>
            <w:pPr>
              <w:spacing w:after="0"/>
              <w:rPr>
                <w:sz w:val="15"/>
                <w:szCs w:val="15"/>
                <w:color w:val="auto"/>
              </w:rPr>
            </w:pPr>
          </w:p>
        </w:tc>
        <w:tc>
          <w:tcPr>
            <w:tcW w:w="9160" w:type="dxa"/>
            <w:vAlign w:val="bottom"/>
            <w:gridSpan w:val="2"/>
            <w:shd w:val="clear" w:color="auto" w:fill="CFF0FC"/>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Year:</w:t>
            </w:r>
          </w:p>
        </w:tc>
        <w:tc>
          <w:tcPr>
            <w:tcW w:w="160" w:type="dxa"/>
            <w:vAlign w:val="bottom"/>
            <w:shd w:val="clear" w:color="auto" w:fill="CFF0FC"/>
          </w:tcPr>
          <w:p>
            <w:pPr>
              <w:spacing w:after="0"/>
              <w:rPr>
                <w:sz w:val="15"/>
                <w:szCs w:val="15"/>
                <w:color w:val="auto"/>
              </w:rPr>
            </w:pPr>
          </w:p>
        </w:tc>
        <w:tc>
          <w:tcPr>
            <w:tcW w:w="1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CFF0FC"/>
          </w:tcPr>
          <w:p>
            <w:pPr>
              <w:spacing w:after="0" w:line="20" w:lineRule="exact"/>
              <w:rPr>
                <w:sz w:val="1"/>
                <w:szCs w:val="1"/>
                <w:color w:val="auto"/>
              </w:rPr>
            </w:pPr>
          </w:p>
        </w:tc>
        <w:tc>
          <w:tcPr>
            <w:tcW w:w="87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2022 (excluding the nine months ended September 30, 2022)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00" w:type="dxa"/>
            <w:vAlign w:val="bottom"/>
          </w:tcPr>
          <w:p>
            <w:pPr>
              <w:spacing w:after="0"/>
              <w:rPr>
                <w:sz w:val="18"/>
                <w:szCs w:val="18"/>
                <w:color w:val="auto"/>
              </w:rPr>
            </w:pPr>
          </w:p>
        </w:tc>
      </w:tr>
      <w:tr>
        <w:trPr>
          <w:trHeight w:val="216"/>
        </w:trPr>
        <w:tc>
          <w:tcPr>
            <w:tcW w:w="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6,964</w:t>
            </w:r>
          </w:p>
        </w:tc>
        <w:tc>
          <w:tcPr>
            <w:tcW w:w="100" w:type="dxa"/>
            <w:vAlign w:val="bottom"/>
            <w:shd w:val="clear" w:color="auto" w:fill="CFF0FC"/>
          </w:tcPr>
          <w:p>
            <w:pPr>
              <w:spacing w:after="0"/>
              <w:rPr>
                <w:sz w:val="18"/>
                <w:szCs w:val="18"/>
                <w:color w:val="auto"/>
              </w:rPr>
            </w:pPr>
          </w:p>
        </w:tc>
      </w:tr>
      <w:tr>
        <w:trPr>
          <w:trHeight w:val="216"/>
        </w:trPr>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100" w:type="dxa"/>
            <w:vAlign w:val="bottom"/>
          </w:tcPr>
          <w:p>
            <w:pPr>
              <w:spacing w:after="0"/>
              <w:rPr>
                <w:sz w:val="18"/>
                <w:szCs w:val="18"/>
                <w:color w:val="auto"/>
              </w:rPr>
            </w:pPr>
          </w:p>
        </w:tc>
      </w:tr>
      <w:tr>
        <w:trPr>
          <w:trHeight w:val="216"/>
        </w:trPr>
        <w:tc>
          <w:tcPr>
            <w:tcW w:w="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100" w:type="dxa"/>
            <w:vAlign w:val="bottom"/>
            <w:shd w:val="clear" w:color="auto" w:fill="CFF0FC"/>
          </w:tcPr>
          <w:p>
            <w:pPr>
              <w:spacing w:after="0"/>
              <w:rPr>
                <w:sz w:val="18"/>
                <w:szCs w:val="18"/>
                <w:color w:val="auto"/>
              </w:rPr>
            </w:pPr>
          </w:p>
        </w:tc>
      </w:tr>
      <w:tr>
        <w:trPr>
          <w:trHeight w:val="216"/>
        </w:trPr>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100" w:type="dxa"/>
            <w:vAlign w:val="bottom"/>
          </w:tcPr>
          <w:p>
            <w:pPr>
              <w:spacing w:after="0"/>
              <w:rPr>
                <w:sz w:val="18"/>
                <w:szCs w:val="18"/>
                <w:color w:val="auto"/>
              </w:rPr>
            </w:pPr>
          </w:p>
        </w:tc>
      </w:tr>
      <w:tr>
        <w:trPr>
          <w:trHeight w:val="216"/>
        </w:trPr>
        <w:tc>
          <w:tcPr>
            <w:tcW w:w="91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26,636</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91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(1,544 )</w:t>
            </w:r>
          </w:p>
        </w:tc>
      </w:tr>
      <w:tr>
        <w:trPr>
          <w:trHeight w:val="209"/>
        </w:trPr>
        <w:tc>
          <w:tcPr>
            <w:tcW w:w="9180" w:type="dxa"/>
            <w:vAlign w:val="bottom"/>
            <w:tcBorders>
              <w:top w:val="single" w:sz="8" w:color="CFF0FC"/>
            </w:tcBorders>
            <w:gridSpan w:val="3"/>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25,092</w:t>
            </w:r>
          </w:p>
        </w:tc>
        <w:tc>
          <w:tcPr>
            <w:tcW w:w="10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14605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REVENUE RECOGNITION</w:t>
      </w:r>
    </w:p>
    <w:p>
      <w:pPr>
        <w:spacing w:after="0" w:line="202" w:lineRule="exact"/>
        <w:rPr>
          <w:sz w:val="20"/>
          <w:szCs w:val="20"/>
          <w:color w:val="auto"/>
        </w:rPr>
      </w:pPr>
    </w:p>
    <w:p>
      <w:pPr>
        <w:ind w:right="380" w:firstLine="469"/>
        <w:spacing w:after="0" w:line="266" w:lineRule="auto"/>
        <w:rPr>
          <w:sz w:val="20"/>
          <w:szCs w:val="20"/>
          <w:color w:val="auto"/>
        </w:rPr>
      </w:pPr>
      <w:r>
        <w:rPr>
          <w:rFonts w:ascii="Times New Roman" w:cs="Times New Roman" w:eastAsia="Times New Roman" w:hAnsi="Times New Roman"/>
          <w:sz w:val="18"/>
          <w:szCs w:val="18"/>
          <w:color w:val="auto"/>
        </w:rPr>
        <w:t>The following table presents noninterest income, segregated by revenue streams in-scope and out-of-scope of ASU No. 2014-09 “Revenue from Contracts with Customers (Topic 606)”, for the periods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60" w:type="dxa"/>
            <w:vAlign w:val="bottom"/>
            <w:gridSpan w:val="4"/>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8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Pr>
          <w:p>
            <w:pPr>
              <w:spacing w:after="0"/>
              <w:rPr>
                <w:sz w:val="17"/>
                <w:szCs w:val="17"/>
                <w:color w:val="auto"/>
              </w:rPr>
            </w:pPr>
          </w:p>
        </w:tc>
      </w:tr>
      <w:tr>
        <w:trPr>
          <w:trHeight w:val="238"/>
        </w:trPr>
        <w:tc>
          <w:tcPr>
            <w:tcW w:w="5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8"/>
                <w:szCs w:val="18"/>
                <w:color w:val="auto"/>
              </w:rPr>
            </w:pPr>
          </w:p>
        </w:tc>
      </w:tr>
      <w:tr>
        <w:trPr>
          <w:trHeight w:val="208"/>
        </w:trPr>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1540" w:type="dxa"/>
            <w:vAlign w:val="bottom"/>
            <w:gridSpan w:val="3"/>
          </w:tcPr>
          <w:p>
            <w:pPr>
              <w:jc w:val="right"/>
              <w:ind w:right="590"/>
              <w:spacing w:after="0"/>
              <w:rPr>
                <w:sz w:val="20"/>
                <w:szCs w:val="20"/>
                <w:color w:val="auto"/>
              </w:rPr>
            </w:pPr>
            <w:r>
              <w:rPr>
                <w:rFonts w:ascii="Times New Roman" w:cs="Times New Roman" w:eastAsia="Times New Roman" w:hAnsi="Times New Roman"/>
                <w:sz w:val="16"/>
                <w:szCs w:val="16"/>
                <w:i w:val="1"/>
                <w:iCs w:val="1"/>
                <w:color w:val="auto"/>
                <w:w w:val="96"/>
              </w:rPr>
              <w:t>in thousands)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In-scope of Topic 606:</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7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15,625</w:t>
            </w:r>
          </w:p>
        </w:tc>
        <w:tc>
          <w:tcPr>
            <w:tcW w:w="7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12,667</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Trust and investment services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8,651</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8,459</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Bankcard services</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3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Gain on OREO, net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8"/>
                <w:szCs w:val="18"/>
                <w:color w:val="auto"/>
              </w:rPr>
            </w:pPr>
          </w:p>
        </w:tc>
      </w:tr>
      <w:tr>
        <w:trPr>
          <w:trHeight w:val="216"/>
        </w:trPr>
        <w:tc>
          <w:tcPr>
            <w:tcW w:w="52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3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3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8,207</w:t>
            </w:r>
          </w:p>
        </w:tc>
        <w:tc>
          <w:tcPr>
            <w:tcW w:w="2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Noninterest Income (in-scope of Topic 606)</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9,603</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33,585</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27,718</w:t>
            </w:r>
          </w:p>
        </w:tc>
        <w:tc>
          <w:tcPr>
            <w:tcW w:w="100" w:type="dxa"/>
            <w:vAlign w:val="bottom"/>
          </w:tcPr>
          <w:p>
            <w:pPr>
              <w:spacing w:after="0"/>
              <w:rPr>
                <w:sz w:val="18"/>
                <w:szCs w:val="18"/>
                <w:color w:val="auto"/>
              </w:rPr>
            </w:pPr>
          </w:p>
        </w:tc>
      </w:tr>
      <w:tr>
        <w:trPr>
          <w:trHeight w:val="216"/>
        </w:trPr>
        <w:tc>
          <w:tcPr>
            <w:tcW w:w="52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Noninterest Income (out-of-scope of Topic 606)</w:t>
            </w: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3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3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2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2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noninterest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11,590</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10,483</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37,524</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-453390</wp:posOffset>
            </wp:positionV>
            <wp:extent cx="77470" cy="14605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-453390</wp:posOffset>
            </wp:positionV>
            <wp:extent cx="68580" cy="14605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-453390</wp:posOffset>
            </wp:positionV>
            <wp:extent cx="68580" cy="14605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14605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-170815</wp:posOffset>
            </wp:positionV>
            <wp:extent cx="77470" cy="17145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-170815</wp:posOffset>
            </wp:positionV>
            <wp:extent cx="68580" cy="17145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-170815</wp:posOffset>
            </wp:positionV>
            <wp:extent cx="68580" cy="17145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2" w:lineRule="exact"/>
        <w:rPr>
          <w:sz w:val="20"/>
          <w:szCs w:val="20"/>
          <w:color w:val="auto"/>
        </w:rPr>
      </w:pPr>
    </w:p>
    <w:p>
      <w:pPr>
        <w:ind w:right="40" w:firstLine="469"/>
        <w:spacing w:after="0" w:line="284" w:lineRule="auto"/>
        <w:rPr>
          <w:sz w:val="20"/>
          <w:szCs w:val="20"/>
          <w:color w:val="auto"/>
        </w:rPr>
      </w:pPr>
      <w:r>
        <w:rPr>
          <w:rFonts w:ascii="Times New Roman" w:cs="Times New Roman" w:eastAsia="Times New Roman" w:hAnsi="Times New Roman"/>
          <w:sz w:val="18"/>
          <w:szCs w:val="18"/>
          <w:color w:val="auto"/>
        </w:rPr>
        <w:t xml:space="preserve">Refer to Note 3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and Note 23 –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included in our Annual Report on Form 10-K for the year ended December 31, 2021 for a more detailed discussion about noninterest revenue streams that are in-scope of Topic 606.</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6" w:lineRule="exact"/>
        <w:rPr>
          <w:sz w:val="20"/>
          <w:szCs w:val="20"/>
          <w:color w:val="auto"/>
        </w:rPr>
      </w:pPr>
    </w:p>
    <w:p>
      <w:pPr>
        <w:ind w:right="140" w:firstLine="469"/>
        <w:spacing w:after="0" w:line="247" w:lineRule="auto"/>
        <w:rPr>
          <w:sz w:val="20"/>
          <w:szCs w:val="20"/>
          <w:color w:val="auto"/>
        </w:rPr>
      </w:pPr>
      <w:r>
        <w:rPr>
          <w:rFonts w:ascii="Times New Roman" w:cs="Times New Roman" w:eastAsia="Times New Roman" w:hAnsi="Times New Roman"/>
          <w:sz w:val="18"/>
          <w:szCs w:val="18"/>
          <w:color w:val="auto"/>
        </w:rPr>
        <w:t>The following discussion provides information about the results of operations, financial condition, liquidity and capital resources of CVB Financial Corp. (referred to herein on an unconsolidated basis as “CVB” and on a consolidated basis as “we,” “our” or the “Company”) and its wholly owned bank subsidiary, Citizens Business Bank (the “Bank” or “CBB”). This information is intended to facilitate the understanding and assessment of significant changes and trends related to our financial condition and the results of our operations. This discussion and analysis should be read in conjunction with our Annual Report on Form 10-K for the year ended December 31, 2021 and the unaudited condensed consolidated financial statements and accompanying notes presented elsewhere in this report.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216" w:lineRule="exact"/>
        <w:rPr>
          <w:sz w:val="20"/>
          <w:szCs w:val="20"/>
          <w:color w:val="auto"/>
        </w:rPr>
      </w:pPr>
    </w:p>
    <w:p>
      <w:pPr>
        <w:ind w:right="140" w:firstLine="749"/>
        <w:spacing w:after="0" w:line="243" w:lineRule="auto"/>
        <w:rPr>
          <w:sz w:val="20"/>
          <w:szCs w:val="20"/>
          <w:color w:val="auto"/>
        </w:rPr>
      </w:pPr>
      <w:r>
        <w:rPr>
          <w:rFonts w:ascii="Times New Roman" w:cs="Times New Roman" w:eastAsia="Times New Roman" w:hAnsi="Times New Roman"/>
          <w:sz w:val="18"/>
          <w:szCs w:val="18"/>
          <w:color w:val="auto"/>
        </w:rPr>
        <w:t>The spread of COVID-19 starting in 2020 created a global public health crisis that has resulted in unprecedented volatility and disruption in financial markets and deterioration in economic activity and market conditions in the markets we serve. The pandemic affected our customers and the communities we serve. We recorded a $23.5 million provision for credit losses for the year ended December 31, 2020 due to the forecast, at that time, of a severe economic downturn resulting from the onset of the COVID-19 pandemic. In response to the anticipated effects of the pandemic on the U.S. economy, the Board of Governors of the Federal Reserve System (“FRB”) took significant actions, including a reduction in the target range of the federal funds rate to 0.0% to 0.25% in 2020 and established a program of purchases of Treasury and mortgage-backed securities. A $19.5 million recapture of provision for credit losses was recorded in the first quarter of 2021, resulting from improvements in our economic forecast of certain macroeconomic variables resulting from significant monetary and fiscal stimulus, as well as the wide availability of vaccines.</w:t>
      </w:r>
    </w:p>
    <w:p>
      <w:pPr>
        <w:spacing w:after="0" w:line="186"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(“CARES”) Act was signed into law. It contained substantial tax and spending provisions intended to address the impact of the COVID-19 pandemic. The CARES Act included the Paycheck Protection Program (“PPP”), a $349 billion program designed to aid small- and medium-sized businesses through 100% Small Business Administration (“SBA”) guaranteed loans distributed through banks. These loans were intended to guarantee 24 weeks of payroll and other costs to help those businesses remain viable and keep their workers employed. Legislation passed on April 24, 2020 provided additional PPP funds of $310 billion. During 2020, we originated and funded approximately 4,100 loans, totaling $1.1 billion. In response to the COVID-19 pandemic and the CARES Act, we also implemented a short-term loan modification program in 2020 to provide temporary payment relief to certain of our borrowers who meet the program’s qualifications. On January 13, 2021, the SBA reopened the PPP for Second Draw loans to small businesses and non-profit organizations that did receive a loan through the initial PPP phase. At least $25 billion was set aside for Second Draw (“round two”) PPP loans to eligible borrowers with a maximum of 10 employees or for loans of $250,000 or less to eligible borrowers in low or moderate income neighborhoods. Generally speaking, businesses with more than 300 employees and/or less than a 25% reduction in gross receipts between comparable quarters in 2019 and 2020 were not eligible for Second Draw loans. Further, maximum loan amounts were increased for accommodation and food service businesses. We originated approximately 1,900 round two loans totaling $420 million. The Paycheck Protection Program officially ended on May 31, 2021. As of September 30, 2022, the remaining outstanding balance of PPP loans was $17.3 million, as approximately 99% of PPP loans have been granted forgiveness.</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16" w:lineRule="exact"/>
        <w:rPr>
          <w:sz w:val="20"/>
          <w:szCs w:val="20"/>
          <w:color w:val="auto"/>
        </w:rPr>
      </w:pPr>
    </w:p>
    <w:p>
      <w:pPr>
        <w:ind w:right="40" w:firstLine="469"/>
        <w:spacing w:after="0" w:line="246" w:lineRule="auto"/>
        <w:rPr>
          <w:sz w:val="20"/>
          <w:szCs w:val="20"/>
          <w:color w:val="auto"/>
        </w:rPr>
      </w:pPr>
      <w:r>
        <w:rPr>
          <w:rFonts w:ascii="Times New Roman" w:cs="Times New Roman" w:eastAsia="Times New Roman" w:hAnsi="Times New Roman"/>
          <w:sz w:val="18"/>
          <w:szCs w:val="18"/>
          <w:color w:val="auto"/>
        </w:rPr>
        <w:t>The discussion and analysis of the Company’s unaudited condensed consolidated financial statements are based upon the Company’s unaudited condensed consolidated financial statements, which have been prepared in accordance with accounting principles generally accepted in the United States of America. The preparation of these unaudited condensed consolidated financial statements requires management to make estimates and judgments that affect the reported amounts of assets and liabilities, revenues and expenses, and related disclosures of contingent assets and liabilities at the date of our financial statements. Actual results may differ from these estimates under different assumptions or conditions.</w:t>
      </w:r>
    </w:p>
    <w:p>
      <w:pPr>
        <w:spacing w:after="0" w:line="181" w:lineRule="exact"/>
        <w:rPr>
          <w:sz w:val="20"/>
          <w:szCs w:val="20"/>
          <w:color w:val="auto"/>
        </w:rPr>
      </w:pPr>
    </w:p>
    <w:p>
      <w:pPr>
        <w:ind w:right="260" w:firstLine="469"/>
        <w:spacing w:after="0" w:line="246" w:lineRule="auto"/>
        <w:rPr>
          <w:sz w:val="20"/>
          <w:szCs w:val="20"/>
          <w:color w:val="auto"/>
        </w:rPr>
      </w:pPr>
      <w:r>
        <w:rPr>
          <w:rFonts w:ascii="Times New Roman" w:cs="Times New Roman" w:eastAsia="Times New Roman" w:hAnsi="Times New Roman"/>
          <w:sz w:val="18"/>
          <w:szCs w:val="18"/>
          <w:color w:val="auto"/>
        </w:rPr>
        <w:t>Critical accounting policies are defined as those that are reflective of significant judgments and uncertainties, and are essential to understanding Management’s Discussion and Analysis of Financial Condition and Results of Operations. The following is a summary of the more judgmental and complex accounting estimates and principles. In each area, we have identified the variables we believe are most important in our estimation process. We utilize information available to us to make the necessary estimates to value the related assets and liabilities. Actual performance that differs from our estimates and future changes in the key variables and information could change future valuations and impact the results of operations.</w:t>
      </w:r>
    </w:p>
    <w:p>
      <w:pPr>
        <w:spacing w:after="0" w:line="181" w:lineRule="exact"/>
        <w:rPr>
          <w:sz w:val="20"/>
          <w:szCs w:val="20"/>
          <w:color w:val="auto"/>
        </w:rPr>
      </w:pPr>
    </w:p>
    <w:p>
      <w:pPr>
        <w:ind w:left="1040" w:hanging="470"/>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Credit Losses (“ACL”)</w:t>
      </w:r>
    </w:p>
    <w:p>
      <w:pPr>
        <w:spacing w:after="0" w:line="15" w:lineRule="exact"/>
        <w:rPr>
          <w:rFonts w:ascii="Times New Roman" w:cs="Times New Roman" w:eastAsia="Times New Roman" w:hAnsi="Times New Roman"/>
          <w:sz w:val="18"/>
          <w:szCs w:val="18"/>
          <w:color w:val="auto"/>
        </w:rPr>
      </w:pPr>
    </w:p>
    <w:p>
      <w:pPr>
        <w:ind w:left="1040" w:hanging="470"/>
        <w:spacing w:after="0" w:line="234"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w:t>
      </w:r>
    </w:p>
    <w:p>
      <w:pPr>
        <w:ind w:left="1040" w:hanging="462"/>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and Recoverability of Goodwill</w:t>
      </w:r>
    </w:p>
    <w:p>
      <w:pPr>
        <w:spacing w:after="0" w:line="7" w:lineRule="exact"/>
        <w:rPr>
          <w:rFonts w:ascii="Times New Roman" w:cs="Times New Roman" w:eastAsia="Times New Roman" w:hAnsi="Times New Roman"/>
          <w:sz w:val="18"/>
          <w:szCs w:val="18"/>
          <w:color w:val="auto"/>
        </w:rPr>
      </w:pPr>
    </w:p>
    <w:p>
      <w:pPr>
        <w:ind w:left="1040" w:hanging="470"/>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88" w:lineRule="exact"/>
        <w:rPr>
          <w:sz w:val="20"/>
          <w:szCs w:val="20"/>
          <w:color w:val="auto"/>
        </w:rPr>
      </w:pPr>
    </w:p>
    <w:p>
      <w:pPr>
        <w:ind w:right="280" w:firstLine="464"/>
        <w:spacing w:after="0" w:line="250" w:lineRule="auto"/>
        <w:rPr>
          <w:sz w:val="20"/>
          <w:szCs w:val="20"/>
          <w:color w:val="auto"/>
        </w:rPr>
      </w:pPr>
      <w:r>
        <w:rPr>
          <w:rFonts w:ascii="Times New Roman" w:cs="Times New Roman" w:eastAsia="Times New Roman" w:hAnsi="Times New Roman"/>
          <w:sz w:val="18"/>
          <w:szCs w:val="18"/>
          <w:color w:val="auto"/>
        </w:rPr>
        <w:t xml:space="preserve">Our significant accounting policies are described in greater detail in our 2021 Annual Report on Form 10-K in the “Critical Accounting Policies” section of Management’s Discussion and Analysis of Financial Condition and Results of Operations and in Note 3 –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included in our Annual Report on Form 10-K for the year ended December 31, 2021, which are essential to understanding Management’s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Discussion and Analysis of Financial Condition and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but Not Adopted as of September 30, 2022</w:t>
      </w:r>
    </w:p>
    <w:p>
      <w:pPr>
        <w:sectPr>
          <w:pgSz w:w="11900" w:h="16838" w:orient="portrait"/>
          <w:cols w:equalWidth="0" w:num="1">
            <w:col w:w="11240"/>
          </w:cols>
          <w:pgMar w:left="320" w:top="320" w:right="339" w:bottom="1440" w:gutter="0" w:footer="0" w:header="0"/>
        </w:sectPr>
      </w:pPr>
    </w:p>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120015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186" w:lineRule="exact"/>
        <w:rPr>
          <w:sz w:val="20"/>
          <w:szCs w:val="20"/>
          <w:color w:val="auto"/>
        </w:rPr>
      </w:pPr>
    </w:p>
    <w:p>
      <w:pPr>
        <w:ind w:left="20"/>
        <w:spacing w:after="0" w:line="243" w:lineRule="auto"/>
        <w:rPr>
          <w:sz w:val="20"/>
          <w:szCs w:val="20"/>
          <w:color w:val="auto"/>
        </w:rPr>
      </w:pPr>
      <w:r>
        <w:rPr>
          <w:rFonts w:ascii="Times New Roman" w:cs="Times New Roman" w:eastAsia="Times New Roman" w:hAnsi="Times New Roman"/>
          <w:sz w:val="14"/>
          <w:szCs w:val="14"/>
          <w:color w:val="auto"/>
        </w:rPr>
        <w:t>ASU No. 2020-04, Reference Rate Reform (Topic 848):</w:t>
      </w:r>
    </w:p>
    <w:p>
      <w:pPr>
        <w:spacing w:after="0" w:line="1" w:lineRule="exact"/>
        <w:rPr>
          <w:sz w:val="20"/>
          <w:szCs w:val="20"/>
          <w:color w:val="auto"/>
        </w:rPr>
      </w:pPr>
    </w:p>
    <w:p>
      <w:pPr>
        <w:ind w:left="20" w:right="80"/>
        <w:spacing w:after="0" w:line="233" w:lineRule="auto"/>
        <w:rPr>
          <w:sz w:val="20"/>
          <w:szCs w:val="20"/>
          <w:color w:val="auto"/>
        </w:rPr>
      </w:pPr>
      <w:r>
        <w:rPr>
          <w:rFonts w:ascii="Times New Roman" w:cs="Times New Roman" w:eastAsia="Times New Roman" w:hAnsi="Times New Roman"/>
          <w:sz w:val="14"/>
          <w:szCs w:val="14"/>
          <w:color w:val="auto"/>
        </w:rPr>
        <w:t>Facilitation of the Effects of Reference Rate Reform on Financial Reporting</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Issued March 2020</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480" w:type="dxa"/>
            <w:vAlign w:val="bottom"/>
            <w:vMerge w:val="restart"/>
          </w:tcPr>
          <w:p>
            <w:pPr>
              <w:ind w:left="18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3"/>
                <w:szCs w:val="13"/>
                <w:color w:val="auto"/>
              </w:rPr>
            </w:pPr>
          </w:p>
        </w:tc>
        <w:tc>
          <w:tcPr>
            <w:tcW w:w="10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Adoption</w:t>
            </w:r>
          </w:p>
        </w:tc>
        <w:tc>
          <w:tcPr>
            <w:tcW w:w="3540" w:type="dxa"/>
            <w:vAlign w:val="bottom"/>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Impact on Financial Statements</w:t>
            </w:r>
          </w:p>
        </w:tc>
        <w:tc>
          <w:tcPr>
            <w:tcW w:w="0" w:type="dxa"/>
            <w:vAlign w:val="bottom"/>
          </w:tcPr>
          <w:p>
            <w:pPr>
              <w:spacing w:after="0"/>
              <w:rPr>
                <w:sz w:val="1"/>
                <w:szCs w:val="1"/>
                <w:color w:val="auto"/>
              </w:rPr>
            </w:pPr>
          </w:p>
        </w:tc>
      </w:tr>
      <w:tr>
        <w:trPr>
          <w:trHeight w:val="187"/>
        </w:trPr>
        <w:tc>
          <w:tcPr>
            <w:tcW w:w="44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Timing</w:t>
            </w:r>
          </w:p>
        </w:tc>
        <w:tc>
          <w:tcPr>
            <w:tcW w:w="3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The FASB issued ASU 2020-04, Reference Rate Reform: Facilitation of the</w:t>
            </w: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1st Quarter 2020</w:t>
            </w:r>
          </w:p>
        </w:tc>
        <w:tc>
          <w:tcPr>
            <w:tcW w:w="35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The Company established a LIBOR Transition Task Force</w:t>
            </w:r>
          </w:p>
        </w:tc>
        <w:tc>
          <w:tcPr>
            <w:tcW w:w="0" w:type="dxa"/>
            <w:vAlign w:val="bottom"/>
          </w:tcPr>
          <w:p>
            <w:pPr>
              <w:spacing w:after="0"/>
              <w:rPr>
                <w:sz w:val="1"/>
                <w:szCs w:val="1"/>
                <w:color w:val="auto"/>
              </w:rPr>
            </w:pPr>
          </w:p>
        </w:tc>
      </w:tr>
      <w:tr>
        <w:trPr>
          <w:trHeight w:val="162"/>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Effects of Reference Rate Reform on Financial Reporting. The amendments</w:t>
            </w:r>
          </w:p>
        </w:tc>
        <w:tc>
          <w:tcPr>
            <w:tcW w:w="120" w:type="dxa"/>
            <w:vAlign w:val="bottom"/>
          </w:tcPr>
          <w:p>
            <w:pPr>
              <w:spacing w:after="0"/>
              <w:rPr>
                <w:sz w:val="14"/>
                <w:szCs w:val="14"/>
                <w:color w:val="auto"/>
              </w:rPr>
            </w:pPr>
          </w:p>
        </w:tc>
        <w:tc>
          <w:tcPr>
            <w:tcW w:w="10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through the</w:t>
            </w:r>
          </w:p>
        </w:tc>
        <w:tc>
          <w:tcPr>
            <w:tcW w:w="35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 2020, which has inventoried our instruments that reflect</w:t>
            </w:r>
          </w:p>
        </w:tc>
        <w:tc>
          <w:tcPr>
            <w:tcW w:w="0" w:type="dxa"/>
            <w:vAlign w:val="bottom"/>
          </w:tcPr>
          <w:p>
            <w:pPr>
              <w:spacing w:after="0"/>
              <w:rPr>
                <w:sz w:val="1"/>
                <w:szCs w:val="1"/>
                <w:color w:val="auto"/>
              </w:rPr>
            </w:pPr>
          </w:p>
        </w:tc>
      </w:tr>
      <w:tr>
        <w:trPr>
          <w:trHeight w:val="148"/>
        </w:trPr>
        <w:tc>
          <w:tcPr>
            <w:tcW w:w="4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 this update provide temporary, optional guidance to ease the potential</w:t>
            </w:r>
          </w:p>
        </w:tc>
        <w:tc>
          <w:tcPr>
            <w:tcW w:w="120" w:type="dxa"/>
            <w:vAlign w:val="bottom"/>
          </w:tcPr>
          <w:p>
            <w:pPr>
              <w:spacing w:after="0"/>
              <w:rPr>
                <w:sz w:val="12"/>
                <w:szCs w:val="12"/>
                <w:color w:val="auto"/>
              </w:rPr>
            </w:pPr>
          </w:p>
        </w:tc>
        <w:tc>
          <w:tcPr>
            <w:tcW w:w="10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4th Quarter</w:t>
            </w:r>
          </w:p>
        </w:tc>
        <w:tc>
          <w:tcPr>
            <w:tcW w:w="3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exposure to LIBOR, created a framework to manage the</w:t>
            </w:r>
          </w:p>
        </w:tc>
        <w:tc>
          <w:tcPr>
            <w:tcW w:w="0" w:type="dxa"/>
            <w:vAlign w:val="bottom"/>
          </w:tcPr>
          <w:p>
            <w:pPr>
              <w:spacing w:after="0"/>
              <w:rPr>
                <w:sz w:val="1"/>
                <w:szCs w:val="1"/>
                <w:color w:val="auto"/>
              </w:rPr>
            </w:pPr>
          </w:p>
        </w:tc>
      </w:tr>
      <w:tr>
        <w:trPr>
          <w:trHeight w:val="148"/>
        </w:trPr>
        <w:tc>
          <w:tcPr>
            <w:tcW w:w="4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burden in accounting for transitioning away from reference rates such as</w:t>
            </w:r>
          </w:p>
        </w:tc>
        <w:tc>
          <w:tcPr>
            <w:tcW w:w="11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2022</w:t>
            </w:r>
          </w:p>
        </w:tc>
        <w:tc>
          <w:tcPr>
            <w:tcW w:w="3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transition and established a timeline for key decisions and</w:t>
            </w:r>
          </w:p>
        </w:tc>
        <w:tc>
          <w:tcPr>
            <w:tcW w:w="0" w:type="dxa"/>
            <w:vAlign w:val="bottom"/>
          </w:tcPr>
          <w:p>
            <w:pPr>
              <w:spacing w:after="0"/>
              <w:rPr>
                <w:sz w:val="1"/>
                <w:szCs w:val="1"/>
                <w:color w:val="auto"/>
              </w:rPr>
            </w:pPr>
          </w:p>
        </w:tc>
      </w:tr>
      <w:tr>
        <w:trPr>
          <w:trHeight w:val="149"/>
        </w:trPr>
        <w:tc>
          <w:tcPr>
            <w:tcW w:w="4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LIBOR. The amendments provide optional expedients and exceptions for</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actions, and started the transition from LIBOR in 2021. The</w:t>
            </w:r>
          </w:p>
        </w:tc>
        <w:tc>
          <w:tcPr>
            <w:tcW w:w="0" w:type="dxa"/>
            <w:vAlign w:val="bottom"/>
          </w:tcPr>
          <w:p>
            <w:pPr>
              <w:spacing w:after="0"/>
              <w:rPr>
                <w:sz w:val="1"/>
                <w:szCs w:val="1"/>
                <w:color w:val="auto"/>
              </w:rPr>
            </w:pPr>
          </w:p>
        </w:tc>
      </w:tr>
      <w:tr>
        <w:trPr>
          <w:trHeight w:val="148"/>
        </w:trPr>
        <w:tc>
          <w:tcPr>
            <w:tcW w:w="4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applying GAAP to transactions affected by reference rate reform if certain</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Company continues to assess the impacts of this transition</w:t>
            </w:r>
          </w:p>
        </w:tc>
        <w:tc>
          <w:tcPr>
            <w:tcW w:w="0" w:type="dxa"/>
            <w:vAlign w:val="bottom"/>
          </w:tcPr>
          <w:p>
            <w:pPr>
              <w:spacing w:after="0"/>
              <w:rPr>
                <w:sz w:val="1"/>
                <w:szCs w:val="1"/>
                <w:color w:val="auto"/>
              </w:rPr>
            </w:pPr>
          </w:p>
        </w:tc>
      </w:tr>
      <w:tr>
        <w:trPr>
          <w:trHeight w:val="149"/>
        </w:trPr>
        <w:tc>
          <w:tcPr>
            <w:tcW w:w="4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criteria are met. The amendments primarily include relief related to contract</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and alternatives to use in place of LIBOR for various</w:t>
            </w:r>
          </w:p>
        </w:tc>
        <w:tc>
          <w:tcPr>
            <w:tcW w:w="0" w:type="dxa"/>
            <w:vAlign w:val="bottom"/>
          </w:tcPr>
          <w:p>
            <w:pPr>
              <w:spacing w:after="0"/>
              <w:rPr>
                <w:sz w:val="1"/>
                <w:szCs w:val="1"/>
                <w:color w:val="auto"/>
              </w:rPr>
            </w:pPr>
          </w:p>
        </w:tc>
      </w:tr>
      <w:tr>
        <w:trPr>
          <w:trHeight w:val="162"/>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modifications and hedging relationships, as well as providing a one-time</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5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financial instruments, primarily related to our variable-rate</w:t>
            </w:r>
          </w:p>
        </w:tc>
        <w:tc>
          <w:tcPr>
            <w:tcW w:w="0" w:type="dxa"/>
            <w:vAlign w:val="bottom"/>
          </w:tcPr>
          <w:p>
            <w:pPr>
              <w:spacing w:after="0"/>
              <w:rPr>
                <w:sz w:val="1"/>
                <w:szCs w:val="1"/>
                <w:color w:val="auto"/>
              </w:rPr>
            </w:pPr>
          </w:p>
        </w:tc>
      </w:tr>
      <w:tr>
        <w:trPr>
          <w:trHeight w:val="149"/>
        </w:trPr>
        <w:tc>
          <w:tcPr>
            <w:tcW w:w="4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election for the sale or transfer of debt securities classified as held-to-</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and adjustable-rate loans that are indexed to LIBOR. The</w:t>
            </w:r>
          </w:p>
        </w:tc>
        <w:tc>
          <w:tcPr>
            <w:tcW w:w="0" w:type="dxa"/>
            <w:vAlign w:val="bottom"/>
          </w:tcPr>
          <w:p>
            <w:pPr>
              <w:spacing w:after="0"/>
              <w:rPr>
                <w:sz w:val="1"/>
                <w:szCs w:val="1"/>
                <w:color w:val="auto"/>
              </w:rPr>
            </w:pPr>
          </w:p>
        </w:tc>
      </w:tr>
      <w:tr>
        <w:trPr>
          <w:trHeight w:val="148"/>
        </w:trPr>
        <w:tc>
          <w:tcPr>
            <w:tcW w:w="4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maturity. This guidance is effective immediately and the amendments may</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Company stopped originating loans indexed to LIBOR at</w:t>
            </w:r>
          </w:p>
        </w:tc>
        <w:tc>
          <w:tcPr>
            <w:tcW w:w="0" w:type="dxa"/>
            <w:vAlign w:val="bottom"/>
          </w:tcPr>
          <w:p>
            <w:pPr>
              <w:spacing w:after="0"/>
              <w:rPr>
                <w:sz w:val="1"/>
                <w:szCs w:val="1"/>
                <w:color w:val="auto"/>
              </w:rPr>
            </w:pPr>
          </w:p>
        </w:tc>
      </w:tr>
      <w:tr>
        <w:trPr>
          <w:trHeight w:val="148"/>
        </w:trPr>
        <w:tc>
          <w:tcPr>
            <w:tcW w:w="4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be applied prospectively through December 31, 2022.</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the end of 2021, while continuing to use various alternative</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indexes. We do not expect this ASU to have a material</w:t>
            </w:r>
          </w:p>
        </w:tc>
        <w:tc>
          <w:tcPr>
            <w:tcW w:w="0" w:type="dxa"/>
            <w:vAlign w:val="bottom"/>
          </w:tcPr>
          <w:p>
            <w:pPr>
              <w:spacing w:after="0"/>
              <w:rPr>
                <w:sz w:val="1"/>
                <w:szCs w:val="1"/>
                <w:color w:val="auto"/>
              </w:rPr>
            </w:pPr>
          </w:p>
        </w:tc>
      </w:tr>
      <w:tr>
        <w:trPr>
          <w:trHeight w:val="188"/>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5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impact on the Company's consolidated financial statements.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-1905</wp:posOffset>
            </wp:positionV>
            <wp:extent cx="713232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20" w:space="320"/>
            <w:col w:w="9200"/>
          </w:cols>
          <w:pgMar w:left="320" w:top="320" w:right="339" w:bottom="1440" w:gutter="0" w:footer="0" w:header="0"/>
          <w:type w:val="continuous"/>
        </w:sectPr>
      </w:pP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162"/>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ASU 2022-02, Financial</w:t>
            </w:r>
          </w:p>
        </w:tc>
        <w:tc>
          <w:tcPr>
            <w:tcW w:w="4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The FASB issued 2022-02 which eliminates recognition and measurement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1st Quarter</w:t>
            </w:r>
          </w:p>
        </w:tc>
        <w:tc>
          <w:tcPr>
            <w:tcW w:w="3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 adoption of this ASU is not expected to have a material</w:t>
            </w:r>
          </w:p>
        </w:tc>
        <w:tc>
          <w:tcPr>
            <w:tcW w:w="0" w:type="dxa"/>
            <w:vAlign w:val="bottom"/>
          </w:tcPr>
          <w:p>
            <w:pPr>
              <w:spacing w:after="0"/>
              <w:rPr>
                <w:sz w:val="1"/>
                <w:szCs w:val="1"/>
                <w:color w:val="auto"/>
              </w:rPr>
            </w:pPr>
          </w:p>
        </w:tc>
      </w:tr>
      <w:tr>
        <w:trPr>
          <w:trHeight w:val="148"/>
        </w:trPr>
        <w:tc>
          <w:tcPr>
            <w:tcW w:w="1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Instruments-Credit Losses</w:t>
            </w:r>
          </w:p>
        </w:tc>
        <w:tc>
          <w:tcPr>
            <w:tcW w:w="4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guidance for TDRs by creditors in Subtopic 310-40, Receivables-Troubled</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2023</w:t>
            </w:r>
          </w:p>
        </w:tc>
        <w:tc>
          <w:tcPr>
            <w:tcW w:w="3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impact on our consolidated financial statements or liquidity,</w:t>
            </w:r>
          </w:p>
        </w:tc>
        <w:tc>
          <w:tcPr>
            <w:tcW w:w="0" w:type="dxa"/>
            <w:vAlign w:val="bottom"/>
          </w:tcPr>
          <w:p>
            <w:pPr>
              <w:spacing w:after="0"/>
              <w:rPr>
                <w:sz w:val="1"/>
                <w:szCs w:val="1"/>
                <w:color w:val="auto"/>
              </w:rPr>
            </w:pPr>
          </w:p>
        </w:tc>
      </w:tr>
      <w:tr>
        <w:trPr>
          <w:trHeight w:val="148"/>
        </w:trPr>
        <w:tc>
          <w:tcPr>
            <w:tcW w:w="1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(Topic 326): Troubled Debt</w:t>
            </w:r>
          </w:p>
        </w:tc>
        <w:tc>
          <w:tcPr>
            <w:tcW w:w="4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Debt Restructurings by Creditors, while enhancing disclosure requirements</w:t>
            </w:r>
          </w:p>
        </w:tc>
        <w:tc>
          <w:tcPr>
            <w:tcW w:w="960" w:type="dxa"/>
            <w:vAlign w:val="bottom"/>
          </w:tcPr>
          <w:p>
            <w:pPr>
              <w:spacing w:after="0"/>
              <w:rPr>
                <w:sz w:val="12"/>
                <w:szCs w:val="12"/>
                <w:color w:val="auto"/>
              </w:rPr>
            </w:pPr>
          </w:p>
        </w:tc>
        <w:tc>
          <w:tcPr>
            <w:tcW w:w="3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although it will result in additional disclosure requirements</w:t>
            </w:r>
          </w:p>
        </w:tc>
        <w:tc>
          <w:tcPr>
            <w:tcW w:w="0" w:type="dxa"/>
            <w:vAlign w:val="bottom"/>
          </w:tcPr>
          <w:p>
            <w:pPr>
              <w:spacing w:after="0"/>
              <w:rPr>
                <w:sz w:val="1"/>
                <w:szCs w:val="1"/>
                <w:color w:val="auto"/>
              </w:rPr>
            </w:pPr>
          </w:p>
        </w:tc>
      </w:tr>
      <w:tr>
        <w:trPr>
          <w:trHeight w:val="148"/>
        </w:trPr>
        <w:tc>
          <w:tcPr>
            <w:tcW w:w="1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Restructurings and Vintage</w:t>
            </w:r>
          </w:p>
        </w:tc>
        <w:tc>
          <w:tcPr>
            <w:tcW w:w="4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for certain loan refinancings and restructurings by creditors when a borrower</w:t>
            </w:r>
          </w:p>
        </w:tc>
        <w:tc>
          <w:tcPr>
            <w:tcW w:w="960" w:type="dxa"/>
            <w:vAlign w:val="bottom"/>
          </w:tcPr>
          <w:p>
            <w:pPr>
              <w:spacing w:after="0"/>
              <w:rPr>
                <w:sz w:val="12"/>
                <w:szCs w:val="12"/>
                <w:color w:val="auto"/>
              </w:rPr>
            </w:pPr>
          </w:p>
        </w:tc>
        <w:tc>
          <w:tcPr>
            <w:tcW w:w="3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related to gross charge offs by vintage year.</w:t>
            </w:r>
          </w:p>
        </w:tc>
        <w:tc>
          <w:tcPr>
            <w:tcW w:w="0" w:type="dxa"/>
            <w:vAlign w:val="bottom"/>
          </w:tcPr>
          <w:p>
            <w:pPr>
              <w:spacing w:after="0"/>
              <w:rPr>
                <w:sz w:val="1"/>
                <w:szCs w:val="1"/>
                <w:color w:val="auto"/>
              </w:rPr>
            </w:pPr>
          </w:p>
        </w:tc>
      </w:tr>
      <w:tr>
        <w:trPr>
          <w:trHeight w:val="149"/>
        </w:trPr>
        <w:tc>
          <w:tcPr>
            <w:tcW w:w="1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Disclosures</w:t>
            </w:r>
          </w:p>
        </w:tc>
        <w:tc>
          <w:tcPr>
            <w:tcW w:w="4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 experiencing financial difficulty, and to require that an entity disclose</w:t>
            </w:r>
          </w:p>
        </w:tc>
        <w:tc>
          <w:tcPr>
            <w:tcW w:w="9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4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current-period gross write-offs by year of origination (i.e. the vintage year)</w:t>
            </w:r>
          </w:p>
        </w:tc>
        <w:tc>
          <w:tcPr>
            <w:tcW w:w="9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Issued March 2022</w:t>
            </w:r>
          </w:p>
        </w:tc>
        <w:tc>
          <w:tcPr>
            <w:tcW w:w="4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 financing receivables and net investments in leases within the scope of</w:t>
            </w:r>
          </w:p>
        </w:tc>
        <w:tc>
          <w:tcPr>
            <w:tcW w:w="9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20" w:type="dxa"/>
            <w:vAlign w:val="bottom"/>
            <w:vMerge w:val="continue"/>
          </w:tcPr>
          <w:p>
            <w:pPr>
              <w:spacing w:after="0"/>
              <w:rPr>
                <w:sz w:val="12"/>
                <w:szCs w:val="12"/>
                <w:color w:val="auto"/>
              </w:rPr>
            </w:pPr>
          </w:p>
        </w:tc>
        <w:tc>
          <w:tcPr>
            <w:tcW w:w="4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Subtopic 326-20, Financial Instruments-Credit Losses-Measured at</w:t>
            </w:r>
          </w:p>
        </w:tc>
        <w:tc>
          <w:tcPr>
            <w:tcW w:w="9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4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Amortized Cost. For entities that have adopted ASU 2016-13, this ASU is</w:t>
            </w:r>
          </w:p>
        </w:tc>
        <w:tc>
          <w:tcPr>
            <w:tcW w:w="9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4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effective for interim and reporting periods beginning after December 15,</w:t>
            </w:r>
          </w:p>
        </w:tc>
        <w:tc>
          <w:tcPr>
            <w:tcW w:w="9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4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2022, and should be applied prospectively, except as provided in the next</w:t>
            </w:r>
          </w:p>
        </w:tc>
        <w:tc>
          <w:tcPr>
            <w:tcW w:w="9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sentence. For the transition method related to the recognition and</w:t>
            </w:r>
          </w:p>
        </w:tc>
        <w:tc>
          <w:tcPr>
            <w:tcW w:w="9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4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measurement of TDRs, an entity has the option to apply a modified</w:t>
            </w:r>
          </w:p>
        </w:tc>
        <w:tc>
          <w:tcPr>
            <w:tcW w:w="9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4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retrospective transition method, resulting in a cumulative-effect adjustment</w:t>
            </w:r>
          </w:p>
        </w:tc>
        <w:tc>
          <w:tcPr>
            <w:tcW w:w="9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920" w:type="dxa"/>
            <w:vAlign w:val="bottom"/>
            <w:tcBorders>
              <w:bottom w:val="single" w:sz="8" w:color="auto"/>
            </w:tcBorders>
          </w:tcPr>
          <w:p>
            <w:pPr>
              <w:spacing w:after="0"/>
              <w:rPr>
                <w:sz w:val="16"/>
                <w:szCs w:val="16"/>
                <w:color w:val="auto"/>
              </w:rPr>
            </w:pPr>
          </w:p>
        </w:tc>
        <w:tc>
          <w:tcPr>
            <w:tcW w:w="4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to retained earnings in the period of adoption. Early adoption is permitted.</w:t>
            </w:r>
          </w:p>
        </w:tc>
        <w:tc>
          <w:tcPr>
            <w:tcW w:w="96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2"/>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ASU 2022-01, Derivatives and</w:t>
            </w:r>
          </w:p>
        </w:tc>
        <w:tc>
          <w:tcPr>
            <w:tcW w:w="4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On March 28, 2022, the FASB issued ASU 2022-01, which establishes the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1st Quarter</w:t>
            </w:r>
          </w:p>
        </w:tc>
        <w:tc>
          <w:tcPr>
            <w:tcW w:w="3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 adoption of this ASU is not expected to have a material</w:t>
            </w:r>
          </w:p>
        </w:tc>
        <w:tc>
          <w:tcPr>
            <w:tcW w:w="0" w:type="dxa"/>
            <w:vAlign w:val="bottom"/>
          </w:tcPr>
          <w:p>
            <w:pPr>
              <w:spacing w:after="0"/>
              <w:rPr>
                <w:sz w:val="1"/>
                <w:szCs w:val="1"/>
                <w:color w:val="auto"/>
              </w:rPr>
            </w:pPr>
          </w:p>
        </w:tc>
      </w:tr>
      <w:tr>
        <w:trPr>
          <w:trHeight w:val="149"/>
        </w:trPr>
        <w:tc>
          <w:tcPr>
            <w:tcW w:w="1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Hedging (Topic 815): Fair</w:t>
            </w:r>
          </w:p>
        </w:tc>
        <w:tc>
          <w:tcPr>
            <w:tcW w:w="4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portfolio-layer method, and expands an entity’s ability to achieve fair value</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2023</w:t>
            </w:r>
          </w:p>
        </w:tc>
        <w:tc>
          <w:tcPr>
            <w:tcW w:w="3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impact on our consolidated financial statements.</w:t>
            </w:r>
          </w:p>
        </w:tc>
        <w:tc>
          <w:tcPr>
            <w:tcW w:w="0" w:type="dxa"/>
            <w:vAlign w:val="bottom"/>
          </w:tcPr>
          <w:p>
            <w:pPr>
              <w:spacing w:after="0"/>
              <w:rPr>
                <w:sz w:val="1"/>
                <w:szCs w:val="1"/>
                <w:color w:val="auto"/>
              </w:rPr>
            </w:pPr>
          </w:p>
        </w:tc>
      </w:tr>
      <w:tr>
        <w:trPr>
          <w:trHeight w:val="148"/>
        </w:trPr>
        <w:tc>
          <w:tcPr>
            <w:tcW w:w="1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Value Hedging—Portfolio</w:t>
            </w:r>
          </w:p>
        </w:tc>
        <w:tc>
          <w:tcPr>
            <w:tcW w:w="4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hedge accounting for hedges of financial assets in a closed portfolio. This</w:t>
            </w:r>
          </w:p>
        </w:tc>
        <w:tc>
          <w:tcPr>
            <w:tcW w:w="9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Layer Method</w:t>
            </w:r>
          </w:p>
        </w:tc>
        <w:tc>
          <w:tcPr>
            <w:tcW w:w="4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ASU is effective for public business entities for interim and reporting periods</w:t>
            </w:r>
          </w:p>
        </w:tc>
        <w:tc>
          <w:tcPr>
            <w:tcW w:w="9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4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beginning after December 15, 2022. Early adoption is permitted on any date</w:t>
            </w:r>
          </w:p>
        </w:tc>
        <w:tc>
          <w:tcPr>
            <w:tcW w:w="9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Issued March 2022</w:t>
            </w:r>
          </w:p>
        </w:tc>
        <w:tc>
          <w:tcPr>
            <w:tcW w:w="4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on or after issuance of this ASU for entities that have already adopted ASU</w:t>
            </w:r>
          </w:p>
        </w:tc>
        <w:tc>
          <w:tcPr>
            <w:tcW w:w="9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20" w:type="dxa"/>
            <w:vAlign w:val="bottom"/>
            <w:vMerge w:val="continue"/>
          </w:tcPr>
          <w:p>
            <w:pPr>
              <w:spacing w:after="0"/>
              <w:rPr>
                <w:sz w:val="14"/>
                <w:szCs w:val="14"/>
                <w:color w:val="auto"/>
              </w:rPr>
            </w:pPr>
          </w:p>
        </w:tc>
        <w:tc>
          <w:tcPr>
            <w:tcW w:w="4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2017-12 for the corresponding period. Entities may designate multiple layer</w:t>
            </w:r>
          </w:p>
        </w:tc>
        <w:tc>
          <w:tcPr>
            <w:tcW w:w="9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4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hedges only on a prospective basis upon the adoption of this ASU. If the</w:t>
            </w:r>
          </w:p>
        </w:tc>
        <w:tc>
          <w:tcPr>
            <w:tcW w:w="9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4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ASU is adopted in an interim period, the cumulative-effect adjustment of</w:t>
            </w:r>
          </w:p>
        </w:tc>
        <w:tc>
          <w:tcPr>
            <w:tcW w:w="9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4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adopting the amendments related to basis adjustments shall be reflected as of</w:t>
            </w:r>
          </w:p>
        </w:tc>
        <w:tc>
          <w:tcPr>
            <w:tcW w:w="9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4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the beginning of the fiscal year that includes the interim period (that is, the</w:t>
            </w:r>
          </w:p>
        </w:tc>
        <w:tc>
          <w:tcPr>
            <w:tcW w:w="9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920" w:type="dxa"/>
            <w:vAlign w:val="bottom"/>
            <w:tcBorders>
              <w:bottom w:val="single" w:sz="8" w:color="auto"/>
            </w:tcBorders>
          </w:tcPr>
          <w:p>
            <w:pPr>
              <w:spacing w:after="0"/>
              <w:rPr>
                <w:sz w:val="16"/>
                <w:szCs w:val="16"/>
                <w:color w:val="auto"/>
              </w:rPr>
            </w:pPr>
          </w:p>
        </w:tc>
        <w:tc>
          <w:tcPr>
            <w:tcW w:w="4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initial application date).</w:t>
            </w:r>
          </w:p>
        </w:tc>
        <w:tc>
          <w:tcPr>
            <w:tcW w:w="96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ectPr>
          <w:pgSz w:w="11900" w:h="16838" w:orient="portrait"/>
          <w:cols w:equalWidth="0" w:num="1">
            <w:col w:w="11240"/>
          </w:cols>
          <w:pgMar w:left="320" w:top="333" w:right="339" w:bottom="1440" w:gutter="0" w:footer="0" w:header="0"/>
        </w:sectPr>
      </w:pPr>
    </w:p>
    <w:p>
      <w:pPr>
        <w:ind w:left="20"/>
        <w:spacing w:after="0"/>
        <w:rPr>
          <w:sz w:val="20"/>
          <w:szCs w:val="20"/>
          <w:color w:val="auto"/>
        </w:rPr>
      </w:pPr>
      <w:r>
        <w:rPr>
          <w:rFonts w:ascii="Times New Roman" w:cs="Times New Roman" w:eastAsia="Times New Roman" w:hAnsi="Times New Roman"/>
          <w:sz w:val="14"/>
          <w:szCs w:val="14"/>
          <w:color w:val="auto"/>
        </w:rPr>
        <w:t>ASU 2022-03, Fair Value</w:t>
      </w:r>
    </w:p>
    <w:p>
      <w:pPr>
        <w:spacing w:after="0" w:line="17" w:lineRule="exact"/>
        <w:rPr>
          <w:sz w:val="20"/>
          <w:szCs w:val="20"/>
          <w:color w:val="auto"/>
        </w:rPr>
      </w:pPr>
    </w:p>
    <w:p>
      <w:pPr>
        <w:ind w:left="20"/>
        <w:spacing w:after="0" w:line="230" w:lineRule="auto"/>
        <w:rPr>
          <w:sz w:val="20"/>
          <w:szCs w:val="20"/>
          <w:color w:val="auto"/>
        </w:rPr>
      </w:pPr>
      <w:r>
        <w:rPr>
          <w:rFonts w:ascii="Times New Roman" w:cs="Times New Roman" w:eastAsia="Times New Roman" w:hAnsi="Times New Roman"/>
          <w:sz w:val="14"/>
          <w:szCs w:val="14"/>
          <w:color w:val="auto"/>
        </w:rPr>
        <w:t>Measurement (Topic 820): Fair Value Measurement of Equity Securities Subject to Contractual Sale Restrictions</w:t>
      </w: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Issued June 2022</w:t>
      </w:r>
    </w:p>
    <w:p>
      <w:pPr>
        <w:spacing w:after="0" w:line="20" w:lineRule="exact"/>
        <w:rPr>
          <w:sz w:val="20"/>
          <w:szCs w:val="20"/>
          <w:color w:val="auto"/>
        </w:rPr>
      </w:pPr>
      <w:r>
        <w:rPr>
          <w:sz w:val="20"/>
          <w:szCs w:val="20"/>
          <w:color w:val="auto"/>
        </w:rPr>
        <w:br w:type="column"/>
      </w:r>
    </w:p>
    <w:p>
      <w:pPr>
        <w:spacing w:after="0"/>
        <w:tabs>
          <w:tab w:leader="none" w:pos="4760" w:val="left"/>
          <w:tab w:leader="none" w:pos="5720" w:val="left"/>
        </w:tabs>
        <w:rPr>
          <w:sz w:val="20"/>
          <w:szCs w:val="20"/>
          <w:color w:val="auto"/>
        </w:rPr>
      </w:pPr>
      <w:r>
        <w:rPr>
          <w:rFonts w:ascii="Times New Roman" w:cs="Times New Roman" w:eastAsia="Times New Roman" w:hAnsi="Times New Roman"/>
          <w:sz w:val="14"/>
          <w:szCs w:val="14"/>
          <w:color w:val="auto"/>
        </w:rPr>
        <w:t>On June 30, 2022, the FASB issued ASU 2022-03, Fair Value Measurement</w:t>
      </w:r>
      <w:r>
        <w:rPr>
          <w:sz w:val="20"/>
          <w:szCs w:val="20"/>
          <w:color w:val="auto"/>
        </w:rPr>
        <w:tab/>
      </w:r>
      <w:r>
        <w:rPr>
          <w:rFonts w:ascii="Times New Roman" w:cs="Times New Roman" w:eastAsia="Times New Roman" w:hAnsi="Times New Roman"/>
          <w:sz w:val="14"/>
          <w:szCs w:val="14"/>
          <w:color w:val="auto"/>
        </w:rPr>
        <w:t>1st Quarter</w:t>
      </w:r>
      <w:r>
        <w:rPr>
          <w:sz w:val="20"/>
          <w:szCs w:val="20"/>
          <w:color w:val="auto"/>
        </w:rPr>
        <w:tab/>
      </w:r>
      <w:r>
        <w:rPr>
          <w:rFonts w:ascii="Times New Roman" w:cs="Times New Roman" w:eastAsia="Times New Roman" w:hAnsi="Times New Roman"/>
          <w:sz w:val="14"/>
          <w:szCs w:val="14"/>
          <w:color w:val="auto"/>
        </w:rPr>
        <w:t>The adoption of this ASU is not expected to have a material</w:t>
      </w:r>
    </w:p>
    <w:p>
      <w:pPr>
        <w:spacing w:after="0" w:line="5" w:lineRule="exact"/>
        <w:rPr>
          <w:sz w:val="20"/>
          <w:szCs w:val="20"/>
          <w:color w:val="auto"/>
        </w:rPr>
      </w:pPr>
    </w:p>
    <w:p>
      <w:pPr>
        <w:spacing w:after="0"/>
        <w:tabs>
          <w:tab w:leader="none" w:pos="4940" w:val="left"/>
          <w:tab w:leader="none" w:pos="5720" w:val="left"/>
        </w:tabs>
        <w:rPr>
          <w:sz w:val="20"/>
          <w:szCs w:val="20"/>
          <w:color w:val="auto"/>
        </w:rPr>
      </w:pPr>
      <w:r>
        <w:rPr>
          <w:rFonts w:ascii="Times New Roman" w:cs="Times New Roman" w:eastAsia="Times New Roman" w:hAnsi="Times New Roman"/>
          <w:sz w:val="14"/>
          <w:szCs w:val="14"/>
          <w:color w:val="auto"/>
        </w:rPr>
        <w:t>(Topic 820) - Fair Value Measurement of Equity Securities Subject to</w:t>
      </w:r>
      <w:r>
        <w:rPr>
          <w:sz w:val="20"/>
          <w:szCs w:val="20"/>
          <w:color w:val="auto"/>
        </w:rPr>
        <w:tab/>
      </w:r>
      <w:r>
        <w:rPr>
          <w:rFonts w:ascii="Times New Roman" w:cs="Times New Roman" w:eastAsia="Times New Roman" w:hAnsi="Times New Roman"/>
          <w:sz w:val="14"/>
          <w:szCs w:val="14"/>
          <w:color w:val="auto"/>
        </w:rPr>
        <w:t>2024</w:t>
      </w:r>
      <w:r>
        <w:rPr>
          <w:sz w:val="20"/>
          <w:szCs w:val="20"/>
          <w:color w:val="auto"/>
        </w:rPr>
        <w:tab/>
      </w:r>
      <w:r>
        <w:rPr>
          <w:rFonts w:ascii="Times New Roman" w:cs="Times New Roman" w:eastAsia="Times New Roman" w:hAnsi="Times New Roman"/>
          <w:sz w:val="14"/>
          <w:szCs w:val="14"/>
          <w:color w:val="auto"/>
        </w:rPr>
        <w:t>impact on our consolidated financial statements.</w:t>
      </w:r>
    </w:p>
    <w:p>
      <w:pPr>
        <w:spacing w:after="0" w:line="221" w:lineRule="auto"/>
        <w:rPr>
          <w:sz w:val="20"/>
          <w:szCs w:val="20"/>
          <w:color w:val="auto"/>
        </w:rPr>
      </w:pPr>
      <w:r>
        <w:rPr>
          <w:rFonts w:ascii="Times New Roman" w:cs="Times New Roman" w:eastAsia="Times New Roman" w:hAnsi="Times New Roman"/>
          <w:sz w:val="14"/>
          <w:szCs w:val="14"/>
          <w:color w:val="auto"/>
        </w:rPr>
        <w:t>Contractual Sale Restrictions. This ASU clarifies that a contractual</w:t>
      </w:r>
    </w:p>
    <w:p>
      <w:pPr>
        <w:spacing w:after="0" w:line="221" w:lineRule="auto"/>
        <w:rPr>
          <w:sz w:val="20"/>
          <w:szCs w:val="20"/>
          <w:color w:val="auto"/>
        </w:rPr>
      </w:pPr>
      <w:r>
        <w:rPr>
          <w:rFonts w:ascii="Times New Roman" w:cs="Times New Roman" w:eastAsia="Times New Roman" w:hAnsi="Times New Roman"/>
          <w:sz w:val="14"/>
          <w:szCs w:val="14"/>
          <w:color w:val="auto"/>
        </w:rPr>
        <w:t>restriction on the sale of an equity security is not considered part of the unit</w:t>
      </w:r>
    </w:p>
    <w:p>
      <w:pPr>
        <w:spacing w:after="0" w:line="222" w:lineRule="auto"/>
        <w:rPr>
          <w:sz w:val="20"/>
          <w:szCs w:val="20"/>
          <w:color w:val="auto"/>
        </w:rPr>
      </w:pPr>
      <w:r>
        <w:rPr>
          <w:rFonts w:ascii="Times New Roman" w:cs="Times New Roman" w:eastAsia="Times New Roman" w:hAnsi="Times New Roman"/>
          <w:sz w:val="14"/>
          <w:szCs w:val="14"/>
          <w:color w:val="auto"/>
        </w:rPr>
        <w:t>of account of the equity security and is not considered in measuring fair</w:t>
      </w:r>
    </w:p>
    <w:p>
      <w:pPr>
        <w:spacing w:after="0" w:line="221" w:lineRule="auto"/>
        <w:rPr>
          <w:sz w:val="20"/>
          <w:szCs w:val="20"/>
          <w:color w:val="auto"/>
        </w:rPr>
      </w:pPr>
      <w:r>
        <w:rPr>
          <w:rFonts w:ascii="Times New Roman" w:cs="Times New Roman" w:eastAsia="Times New Roman" w:hAnsi="Times New Roman"/>
          <w:sz w:val="14"/>
          <w:szCs w:val="14"/>
          <w:color w:val="auto"/>
        </w:rPr>
        <w:t>value. Further, this ASU clarifies that an entity cannot, recognize and</w:t>
      </w:r>
    </w:p>
    <w:p>
      <w:pPr>
        <w:spacing w:after="0"/>
        <w:rPr>
          <w:sz w:val="20"/>
          <w:szCs w:val="20"/>
          <w:color w:val="auto"/>
        </w:rPr>
      </w:pPr>
      <w:r>
        <w:rPr>
          <w:rFonts w:ascii="Times New Roman" w:cs="Times New Roman" w:eastAsia="Times New Roman" w:hAnsi="Times New Roman"/>
          <w:sz w:val="14"/>
          <w:szCs w:val="14"/>
          <w:color w:val="auto"/>
        </w:rPr>
        <w:t>measure a contractual sale restriction as a separate unit of account.</w:t>
      </w:r>
    </w:p>
    <w:p>
      <w:pPr>
        <w:spacing w:after="0" w:line="222" w:lineRule="auto"/>
        <w:rPr>
          <w:sz w:val="20"/>
          <w:szCs w:val="20"/>
          <w:color w:val="auto"/>
        </w:rPr>
      </w:pPr>
      <w:r>
        <w:rPr>
          <w:rFonts w:ascii="Times New Roman" w:cs="Times New Roman" w:eastAsia="Times New Roman" w:hAnsi="Times New Roman"/>
          <w:sz w:val="14"/>
          <w:szCs w:val="14"/>
          <w:color w:val="auto"/>
        </w:rPr>
        <w:t>Additionally, the amendments require the disclosures for equity securities</w:t>
      </w:r>
    </w:p>
    <w:p>
      <w:pPr>
        <w:spacing w:after="0" w:line="222" w:lineRule="auto"/>
        <w:rPr>
          <w:sz w:val="20"/>
          <w:szCs w:val="20"/>
          <w:color w:val="auto"/>
        </w:rPr>
      </w:pPr>
      <w:r>
        <w:rPr>
          <w:rFonts w:ascii="Times New Roman" w:cs="Times New Roman" w:eastAsia="Times New Roman" w:hAnsi="Times New Roman"/>
          <w:sz w:val="14"/>
          <w:szCs w:val="14"/>
          <w:color w:val="auto"/>
        </w:rPr>
        <w:t>subject to contractual sale restrictions to include the fair value of equity</w:t>
      </w:r>
    </w:p>
    <w:p>
      <w:pPr>
        <w:spacing w:after="0" w:line="221" w:lineRule="auto"/>
        <w:rPr>
          <w:sz w:val="20"/>
          <w:szCs w:val="20"/>
          <w:color w:val="auto"/>
        </w:rPr>
      </w:pPr>
      <w:r>
        <w:rPr>
          <w:rFonts w:ascii="Times New Roman" w:cs="Times New Roman" w:eastAsia="Times New Roman" w:hAnsi="Times New Roman"/>
          <w:sz w:val="14"/>
          <w:szCs w:val="14"/>
          <w:color w:val="auto"/>
        </w:rPr>
        <w:t>securities subject to contractual sale restrictions reflected on the balance</w:t>
      </w:r>
    </w:p>
    <w:p>
      <w:pPr>
        <w:spacing w:after="0" w:line="222" w:lineRule="auto"/>
        <w:rPr>
          <w:sz w:val="20"/>
          <w:szCs w:val="20"/>
          <w:color w:val="auto"/>
        </w:rPr>
      </w:pPr>
      <w:r>
        <w:rPr>
          <w:rFonts w:ascii="Times New Roman" w:cs="Times New Roman" w:eastAsia="Times New Roman" w:hAnsi="Times New Roman"/>
          <w:sz w:val="14"/>
          <w:szCs w:val="14"/>
          <w:color w:val="auto"/>
        </w:rPr>
        <w:t>sheet, the nature and remaining duration of the restrictions and the</w:t>
      </w:r>
    </w:p>
    <w:p>
      <w:pPr>
        <w:spacing w:after="0"/>
        <w:rPr>
          <w:sz w:val="20"/>
          <w:szCs w:val="20"/>
          <w:color w:val="auto"/>
        </w:rPr>
      </w:pPr>
      <w:r>
        <w:rPr>
          <w:rFonts w:ascii="Times New Roman" w:cs="Times New Roman" w:eastAsia="Times New Roman" w:hAnsi="Times New Roman"/>
          <w:sz w:val="14"/>
          <w:szCs w:val="14"/>
          <w:color w:val="auto"/>
        </w:rPr>
        <w:t>circumstances that could cause a lapse in the restrictions. This ASU is</w:t>
      </w:r>
    </w:p>
    <w:p>
      <w:pPr>
        <w:spacing w:after="0" w:line="222" w:lineRule="auto"/>
        <w:rPr>
          <w:sz w:val="20"/>
          <w:szCs w:val="20"/>
          <w:color w:val="auto"/>
        </w:rPr>
      </w:pPr>
      <w:r>
        <w:rPr>
          <w:rFonts w:ascii="Times New Roman" w:cs="Times New Roman" w:eastAsia="Times New Roman" w:hAnsi="Times New Roman"/>
          <w:sz w:val="14"/>
          <w:szCs w:val="14"/>
          <w:color w:val="auto"/>
        </w:rPr>
        <w:t>effective for interim and annual reporting periods beginning after December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 2023; early adoption is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116205</wp:posOffset>
            </wp:positionV>
            <wp:extent cx="713232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20" w:space="220"/>
            <w:col w:w="9200"/>
          </w:cols>
          <w:pgMar w:left="320" w:top="333" w:right="339" w:bottom="1440" w:gutter="0" w:footer="0" w:header="0"/>
          <w:type w:val="continuous"/>
        </w:sectPr>
      </w:pP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ind w:right="20" w:firstLine="360"/>
        <w:spacing w:after="0" w:line="243" w:lineRule="auto"/>
        <w:rPr>
          <w:sz w:val="20"/>
          <w:szCs w:val="20"/>
          <w:color w:val="auto"/>
        </w:rPr>
      </w:pPr>
      <w:r>
        <w:rPr>
          <w:rFonts w:ascii="Times New Roman" w:cs="Times New Roman" w:eastAsia="Times New Roman" w:hAnsi="Times New Roman"/>
          <w:sz w:val="18"/>
          <w:szCs w:val="18"/>
          <w:color w:val="auto"/>
        </w:rPr>
        <w:t>For the third quarter of 2022, we reported net earnings of $64.6 million, compared with $59.1 million for the second quarter of 2022 and $49.8 million for the third quarter of 2021. Diluted earnings per share were $0.46 for the third quarter, compared to $0.42 for the prior quarter and $0.37 for the same period last year. Pretax pre-provision income grew from $65.7 million in the third quarter of 2021 and $85.7 million for the second quarter of 2022 to $91.9 million in the third quarter of 2022. The third quarter of 2022 included $2.0 million in provision for credit losses, compared to $3.6 million in provision for the second quarter and a provision recapture of $4.0 million in the third quarter of 2021. Net income of $64.6 million for the third quarter of 2022 produced an annualized return on average equity (“ROAE”) of 12.72%, an annualized return on average tangible common equity (“ROATCE”) of 21.34%, and an annualized return on average assets (“ROAA”) of 1.52%. Our net interest margin, tax equivalent (“NIM”), was 3.46% for the third quarter of 2022, while our efficiency ratio was 36.59%.</w:t>
      </w:r>
    </w:p>
    <w:p>
      <w:pPr>
        <w:spacing w:after="0" w:line="186" w:lineRule="exact"/>
        <w:rPr>
          <w:sz w:val="20"/>
          <w:szCs w:val="20"/>
          <w:color w:val="auto"/>
        </w:rPr>
      </w:pPr>
    </w:p>
    <w:p>
      <w:pPr>
        <w:ind w:right="60" w:firstLine="360"/>
        <w:spacing w:after="0" w:line="246" w:lineRule="auto"/>
        <w:rPr>
          <w:sz w:val="20"/>
          <w:szCs w:val="20"/>
          <w:color w:val="auto"/>
        </w:rPr>
      </w:pPr>
      <w:r>
        <w:rPr>
          <w:rFonts w:ascii="Times New Roman" w:cs="Times New Roman" w:eastAsia="Times New Roman" w:hAnsi="Times New Roman"/>
          <w:sz w:val="18"/>
          <w:szCs w:val="18"/>
          <w:color w:val="auto"/>
        </w:rPr>
        <w:t>On January 7, 2022, we completed the acquisition of Suncrest Bank (“Suncrest”). At close, Citizens Business Bank acquired loans with a fair value of $774.5 million, and assumed $512.8 million of noninterest-bearing deposits and $669.8 million of interest-bearing deposits. The integration of Suncrest was completed in the second quarter with the consolidation of two banking centers. As a result of the Suncrest merger, we incurred $6.0 million in acquisition expenses for the nine months ended September 30, 2022, including $375,000 in the second quarter of 2022. There were no acquisition costs incurred during the third quarter of 2022.</w:t>
      </w:r>
    </w:p>
    <w:p>
      <w:pPr>
        <w:spacing w:after="0" w:line="181" w:lineRule="exact"/>
        <w:rPr>
          <w:sz w:val="20"/>
          <w:szCs w:val="20"/>
          <w:color w:val="auto"/>
        </w:rPr>
      </w:pPr>
    </w:p>
    <w:p>
      <w:pPr>
        <w:ind w:right="40" w:firstLine="360"/>
        <w:spacing w:after="0" w:line="246" w:lineRule="auto"/>
        <w:rPr>
          <w:sz w:val="20"/>
          <w:szCs w:val="20"/>
          <w:color w:val="auto"/>
        </w:rPr>
      </w:pPr>
      <w:r>
        <w:rPr>
          <w:rFonts w:ascii="Times New Roman" w:cs="Times New Roman" w:eastAsia="Times New Roman" w:hAnsi="Times New Roman"/>
          <w:sz w:val="18"/>
          <w:szCs w:val="18"/>
          <w:color w:val="auto"/>
        </w:rPr>
        <w:t>The $17.6 million increase in the ACL from December 31, 2021 to September 30, 2022 was comprised primarily of the $8.6 million ACL increase for the Suncrest purchased credit deteriorated (“PCD”) loans and an $8.1 million provision for credit losses. The $8.1 million provision for credit losses, includes a provision for credit loss of $4.9 million recorded on January 7, 2022 for the Suncrest acquired loans that were not considered PCD. In addition, the ACL increased by $877,000 in net recoveries during the nine month period ending September 30, 2022. During the third quarter of 2022, we experienced credit charge-offs of $46,000 and total recoveries of $425,000, resulting in net recoveries of $379,000.</w:t>
      </w:r>
    </w:p>
    <w:p>
      <w:pPr>
        <w:spacing w:after="0" w:line="181" w:lineRule="exact"/>
        <w:rPr>
          <w:sz w:val="20"/>
          <w:szCs w:val="20"/>
          <w:color w:val="auto"/>
        </w:rPr>
      </w:pPr>
    </w:p>
    <w:p>
      <w:pPr>
        <w:ind w:right="20" w:firstLine="360"/>
        <w:spacing w:after="0" w:line="246" w:lineRule="auto"/>
        <w:rPr>
          <w:sz w:val="20"/>
          <w:szCs w:val="20"/>
          <w:color w:val="auto"/>
        </w:rPr>
      </w:pPr>
      <w:r>
        <w:rPr>
          <w:rFonts w:ascii="Times New Roman" w:cs="Times New Roman" w:eastAsia="Times New Roman" w:hAnsi="Times New Roman"/>
          <w:sz w:val="18"/>
          <w:szCs w:val="18"/>
          <w:color w:val="auto"/>
        </w:rPr>
        <w:t>At September 30, 2022, total assets of $16.35 billion increased by $465.6 million, or 2.93%, from total assets of $15.88 billion at December 31, 2021. Interest-earning assets of $14.81 billion at September 30, 2022 increased by $127.6 million, or 0.87%, when compared with $14.68 billion at December 31, 2021. The increase in interest-earning assets was primarily due to a $769.9 million increase in investment securities and an $886.4 million increase in total loans, partially offset by a $1.51 billion decrease in interest-earning balances due from the Federal Reserve. The $886.4 million increase in total loans included the $774.5 million of loans acquired at fair value from Suncrest.</w:t>
      </w:r>
    </w:p>
    <w:p>
      <w:pPr>
        <w:spacing w:after="0" w:line="168" w:lineRule="exact"/>
        <w:rPr>
          <w:sz w:val="20"/>
          <w:szCs w:val="20"/>
          <w:color w:val="auto"/>
        </w:rPr>
      </w:pPr>
    </w:p>
    <w:p>
      <w:pPr>
        <w:ind w:right="80" w:firstLine="360"/>
        <w:spacing w:after="0" w:line="245" w:lineRule="auto"/>
        <w:rPr>
          <w:sz w:val="20"/>
          <w:szCs w:val="20"/>
          <w:color w:val="auto"/>
        </w:rPr>
      </w:pPr>
      <w:r>
        <w:rPr>
          <w:rFonts w:ascii="Times New Roman" w:cs="Times New Roman" w:eastAsia="Times New Roman" w:hAnsi="Times New Roman"/>
          <w:sz w:val="18"/>
          <w:szCs w:val="18"/>
          <w:color w:val="auto"/>
        </w:rPr>
        <w:t>Total investment securities were $5.88 billion at September 30, 2022, an increase of $769.9 million, or 15.07%, from $5.11 billion at December 31, 2021. During the nine month period ended September 30, 2022, we purchased approximately $1.7 billion of investment securities. During the third quarter of 2022, approximately $197 million in new securities were purchased with an expected average yield of 4.04%. At September 30, 2022, investment securities held-to-maturity (“HTM”) totaled $2.56 billion. At September 30, 2022, investment securities available-for-sale (“AFS”) totaled $3.32 billion, inclusive of a pre-tax net unrealized loss of $540.4 million. HTM securities increased by $632 million, or 32.81%, and AFS securities increased by $137.9 million, or 4.33%, from December 31, 2021. Our tax equivalent yield on investments was 2.12% for the quarter ended September 30, 2022, compared to 1.93% for the second quarter of 2022 and 1.54% for the third quarter of 2021.</w:t>
      </w:r>
    </w:p>
    <w:p>
      <w:pPr>
        <w:spacing w:after="0" w:line="181" w:lineRule="exact"/>
        <w:rPr>
          <w:sz w:val="20"/>
          <w:szCs w:val="20"/>
          <w:color w:val="auto"/>
        </w:rPr>
      </w:pPr>
    </w:p>
    <w:p>
      <w:pPr>
        <w:ind w:firstLine="360"/>
        <w:spacing w:after="0" w:line="241" w:lineRule="auto"/>
        <w:rPr>
          <w:sz w:val="20"/>
          <w:szCs w:val="20"/>
          <w:color w:val="auto"/>
        </w:rPr>
      </w:pPr>
      <w:r>
        <w:rPr>
          <w:rFonts w:ascii="Times New Roman" w:cs="Times New Roman" w:eastAsia="Times New Roman" w:hAnsi="Times New Roman"/>
          <w:sz w:val="18"/>
          <w:szCs w:val="18"/>
          <w:color w:val="auto"/>
        </w:rPr>
        <w:t>Total loans and leases, at amortized cost, of $8.77 billion at September 30, 2022 increased by $886.4 million, or 11.24%, from December 31, 2021. The increase in total loans included $774.5 million of loans acquired at fair value from Suncrest in the first quarter of 2022. Dairy &amp; livestock loans decreased $87.0 million, the majority of which was seasonal. PPP loans decreased by $169.2 million, as these loans continued to receive forgiveness. After adjusting for acquired loans, seasonality related to our Dairy &amp; Livestock loans, and forgiveness of PPP loans ("core loans"), our core loans grew by $407.8 million, or approximately 7% annualized from December 31, 2021. The $407.8 million core loan growth included $314.7 million in commercial real estate loans, $54.7 million in commercial and industrial loans, $22.7 million in SFR mortgage loans, $13.4 million in municipal lease financings, $8.4 million in agribusiness loans, and $8.4 million in consumer and other loans, partially offset by decreases of $12.0 million in SBA loans, and $2.5 million in construction loans. Our yield on loans was 4.56% for the quarter ended September 30, 2022, compared to 4.31% for the second quarter of 2022 and 4.43% for the third quarter of 2021. After excluding discount accretion and the impact from PPP loans, our core loan yields increased by 22 basis points and 28 basis points, respectively, when compared to the second quarter of 2022 and third quarter of 2021. The recent increases in interest rates, including a 150 basis point increase in the Fed Funds rate between June 30, 2022 and September 30, 2022, contributed to the 22 basis point increase in core loan yields from the second quarter of 2022 to the third quarter. Interest and fee income from PPP loans was approximately $1.0 million in the third quarter of 2022, compared to $1.4 million in the second quarter of 2022 and $7.9 million in the third quarter of 2021.</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1" w:name="page42"/>
    <w:bookmarkEnd w:id="41"/>
    <w:p>
      <w:pPr>
        <w:ind w:right="60" w:firstLine="360"/>
        <w:spacing w:after="0" w:line="250" w:lineRule="auto"/>
        <w:rPr>
          <w:sz w:val="20"/>
          <w:szCs w:val="20"/>
          <w:color w:val="auto"/>
        </w:rPr>
      </w:pPr>
      <w:r>
        <w:rPr>
          <w:rFonts w:ascii="Times New Roman" w:cs="Times New Roman" w:eastAsia="Times New Roman" w:hAnsi="Times New Roman"/>
          <w:sz w:val="18"/>
          <w:szCs w:val="18"/>
          <w:color w:val="auto"/>
        </w:rPr>
        <w:t>Noninterest-bearing deposits of $8.76 billion at September 30, 2022, increased $660.5 million, or 8.15% when compared to $8.10 billion at December 31, 2021 and increased $453.8 million, or 5.46%, when compared to $8.31 billion at September 30, 2021. The increase in noninterest-bearing deposits includes the noninterest-bearing deposits assumed from Suncrest of $512.8 million. At September 30, 2022, noninterest-bearing deposits were 63.18% of total deposits, compared to 62.45% at December 31, 2021 and 64.27% at September 30, 2021.</w:t>
      </w:r>
    </w:p>
    <w:p>
      <w:pPr>
        <w:spacing w:after="0" w:line="164" w:lineRule="exact"/>
        <w:rPr>
          <w:sz w:val="20"/>
          <w:szCs w:val="20"/>
          <w:color w:val="auto"/>
        </w:rPr>
      </w:pPr>
    </w:p>
    <w:p>
      <w:pPr>
        <w:ind w:right="20" w:firstLine="360"/>
        <w:spacing w:after="0" w:line="244" w:lineRule="auto"/>
        <w:rPr>
          <w:sz w:val="20"/>
          <w:szCs w:val="20"/>
          <w:color w:val="auto"/>
        </w:rPr>
      </w:pPr>
      <w:r>
        <w:rPr>
          <w:rFonts w:ascii="Times New Roman" w:cs="Times New Roman" w:eastAsia="Times New Roman" w:hAnsi="Times New Roman"/>
          <w:sz w:val="18"/>
          <w:szCs w:val="18"/>
          <w:color w:val="auto"/>
        </w:rPr>
        <w:t>Interest-bearing deposits were $5.11 billion at September 30, 2022, an increase of $235.5 million, or 4.83%, when compared to $4.87 billion at December 31, 2021 and an increase of $488.3 million, or 10.57%, when compared to $4.62 billion at September 30, 2021. The increase in interest-bearing deposits included the interest-bearing deposits assumed from Suncrest of $669.8 million. Customer repurchase agreements totaled $467.8 million at September 30, 2022, compared to $642.4 million at December 31, 2021 and $659.6 million at September 30, 2021. Our average cost of total deposits including customer repurchase agreements of 0.05% increased from 0.04% for the second quarter of 2022 and increased from 0.04% for the third quarter of 2021. The one basis point increase in the cost of funds from the second quarter of 2022 was the net result of an increase in the cost of interest-bearing deposits from 0.09% to 0.13% and an $86.9 million quarter-over-quarter increase in average noninterest-bearing deposits. Compared to the third quarter of 2021, the one basis point increase in cost of funds was the result of a 4 basis point increase in the cost of interest bearing deposits, as well as noninterest-bearing deposits growing on average by $1.02 billion.</w:t>
      </w:r>
    </w:p>
    <w:p>
      <w:pPr>
        <w:spacing w:after="0" w:line="172" w:lineRule="exact"/>
        <w:rPr>
          <w:sz w:val="20"/>
          <w:szCs w:val="20"/>
          <w:color w:val="auto"/>
        </w:rPr>
      </w:pPr>
    </w:p>
    <w:p>
      <w:pPr>
        <w:ind w:right="360" w:firstLine="360"/>
        <w:spacing w:after="0" w:line="250" w:lineRule="auto"/>
        <w:rPr>
          <w:sz w:val="20"/>
          <w:szCs w:val="20"/>
          <w:color w:val="auto"/>
        </w:rPr>
      </w:pPr>
      <w:r>
        <w:rPr>
          <w:rFonts w:ascii="Times New Roman" w:cs="Times New Roman" w:eastAsia="Times New Roman" w:hAnsi="Times New Roman"/>
          <w:sz w:val="18"/>
          <w:szCs w:val="18"/>
          <w:color w:val="auto"/>
        </w:rPr>
        <w:t>We had no borrowings at September 30, 2022, December 31, 2021 and September 30, 2021. Over the last nine months, the Federal Reserve has increased the Federal Funds rate by 300 basis points with the target range of 3.00% to 3.25%. Our average cost of funds during the first nine months of 2022 was 4 basis points. Our average cost of funds increased from 0.04% in the third quarter of 2021 and second quarter of 2022, to 0.05% in the third quarter of 2022.</w:t>
      </w:r>
    </w:p>
    <w:p>
      <w:pPr>
        <w:spacing w:after="0" w:line="177" w:lineRule="exact"/>
        <w:rPr>
          <w:sz w:val="20"/>
          <w:szCs w:val="20"/>
          <w:color w:val="auto"/>
        </w:rPr>
      </w:pPr>
    </w:p>
    <w:p>
      <w:pPr>
        <w:ind w:right="120" w:firstLine="360"/>
        <w:spacing w:after="0" w:line="246" w:lineRule="auto"/>
        <w:rPr>
          <w:sz w:val="20"/>
          <w:szCs w:val="20"/>
          <w:color w:val="auto"/>
        </w:rPr>
      </w:pPr>
      <w:r>
        <w:rPr>
          <w:rFonts w:ascii="Times New Roman" w:cs="Times New Roman" w:eastAsia="Times New Roman" w:hAnsi="Times New Roman"/>
          <w:sz w:val="18"/>
          <w:szCs w:val="18"/>
          <w:color w:val="auto"/>
        </w:rPr>
        <w:t>The allowance for credit losses totaled $82.6 million at September 30, 2022, compared to $65.0 million at December 31, 2021. At September 30, 2022, ACL as a percentage of total loans and leases outstanding was 0.94%. This compares to 0.82% and 0.83% at December 31, 2021 and September 30, 2021, respectively. When PPP loans are excluded, the ACL as a percentage of total loans and leases outstanding was 0.94% at September 30, 2022, compared to 0.84% at December 31, 2021 and 0.87% at September 30, 2021. The increase in the ACL as a percentage of total loans is primarily the result of a deterioration in the forecast of macroeconomic variables due to rampant inflation, rising interest rates, and recent declines in GDP.</w:t>
      </w:r>
    </w:p>
    <w:p>
      <w:pPr>
        <w:spacing w:after="0" w:line="181" w:lineRule="exact"/>
        <w:rPr>
          <w:sz w:val="20"/>
          <w:szCs w:val="20"/>
          <w:color w:val="auto"/>
        </w:rPr>
      </w:pPr>
    </w:p>
    <w:p>
      <w:pPr>
        <w:ind w:firstLine="360"/>
        <w:spacing w:after="0" w:line="244" w:lineRule="auto"/>
        <w:rPr>
          <w:sz w:val="20"/>
          <w:szCs w:val="20"/>
          <w:color w:val="auto"/>
        </w:rPr>
      </w:pPr>
      <w:r>
        <w:rPr>
          <w:rFonts w:ascii="Times New Roman" w:cs="Times New Roman" w:eastAsia="Times New Roman" w:hAnsi="Times New Roman"/>
          <w:sz w:val="18"/>
          <w:szCs w:val="18"/>
          <w:color w:val="auto"/>
        </w:rPr>
        <w:t>The Company’s total equity was $1.88 billion at September 30, 2022. This represented an overall decrease of $202.6 million from total equity of $2.08 billion at December 31, 2021. Increases to equity included $197.1 million for issuance of 8.6 million shares to acquire Suncrest and $169.3 million in net earnings. Decreases included $80.2 million in cash dividends and a $379.5 million decrease in other comprehensive income from the tax effected impact of the decline in market value of available-for-sale securities. During 2022, we executed on a $70 million accelerated stock repurchase program and retired 2,993,551 shares of common stock at an average price of $23.38. We also repurchased, under our 10b5-1 stock repurchase plan, 1,914,590 shares of common stock, at an average repurchase price of $23.43, totaling $44.9 million. Our tangible book value per share at September 30, 2022 was $7.79.</w:t>
      </w:r>
    </w:p>
    <w:p>
      <w:pPr>
        <w:spacing w:after="0" w:line="182" w:lineRule="exact"/>
        <w:rPr>
          <w:sz w:val="20"/>
          <w:szCs w:val="20"/>
          <w:color w:val="auto"/>
        </w:rPr>
      </w:pPr>
    </w:p>
    <w:p>
      <w:pPr>
        <w:ind w:right="40" w:firstLine="469"/>
        <w:spacing w:after="0" w:line="250" w:lineRule="auto"/>
        <w:rPr>
          <w:sz w:val="20"/>
          <w:szCs w:val="20"/>
          <w:color w:val="auto"/>
        </w:rPr>
      </w:pPr>
      <w:r>
        <w:rPr>
          <w:rFonts w:ascii="Times New Roman" w:cs="Times New Roman" w:eastAsia="Times New Roman" w:hAnsi="Times New Roman"/>
          <w:sz w:val="18"/>
          <w:szCs w:val="18"/>
          <w:color w:val="auto"/>
        </w:rPr>
        <w:t xml:space="preserve">Our capital ratios under the revised capital framework referred to as Basel III remain well-above regulatory requirements. As of September 30, 2022, the Company’s Tier 1 leverage capital ratio was 9.1%, common equity Tier 1 ratio was 13.5%, Tier 1 risk-based capital ratio was 13.5%, and total risk-based capital ratio was 14.3%. We did not elect to phase in the impact of CECL on regulatory capital, as allowed under the interim final rule of the FDIC and other U.S. banking agencies. Refer to our </w:t>
      </w:r>
      <w:r>
        <w:rPr>
          <w:rFonts w:ascii="Times New Roman" w:cs="Times New Roman" w:eastAsia="Times New Roman" w:hAnsi="Times New Roman"/>
          <w:sz w:val="18"/>
          <w:szCs w:val="18"/>
          <w:i w:val="1"/>
          <w:iCs w:val="1"/>
          <w:color w:val="auto"/>
        </w:rPr>
        <w:t>Analysis of Financial Condition – Capital Resources</w:t>
      </w:r>
      <w:r>
        <w:rPr>
          <w:rFonts w:ascii="Times New Roman" w:cs="Times New Roman" w:eastAsia="Times New Roman" w:hAnsi="Times New Roman"/>
          <w:sz w:val="18"/>
          <w:szCs w:val="18"/>
          <w:color w:val="auto"/>
        </w:rPr>
        <w:t>.</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2" w:name="page43"/>
    <w:bookmarkEnd w:id="42"/>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Acquisition Related</w:t>
      </w:r>
    </w:p>
    <w:p>
      <w:pPr>
        <w:spacing w:after="0" w:line="31" w:lineRule="exact"/>
        <w:rPr>
          <w:sz w:val="20"/>
          <w:szCs w:val="20"/>
          <w:color w:val="auto"/>
        </w:rPr>
      </w:pPr>
    </w:p>
    <w:p>
      <w:pPr>
        <w:ind w:right="40" w:firstLine="360"/>
        <w:spacing w:after="0" w:line="241" w:lineRule="auto"/>
        <w:rPr>
          <w:sz w:val="20"/>
          <w:szCs w:val="20"/>
          <w:color w:val="auto"/>
        </w:rPr>
      </w:pPr>
      <w:r>
        <w:rPr>
          <w:rFonts w:ascii="Times New Roman" w:cs="Times New Roman" w:eastAsia="Times New Roman" w:hAnsi="Times New Roman"/>
          <w:sz w:val="18"/>
          <w:szCs w:val="18"/>
          <w:color w:val="auto"/>
        </w:rPr>
        <w:t>On January 7, 2022, the Company completed the acquisition of Suncrest, headquartered in Visalia, California. The Company acquired all of the assets and assumed all of the liabilities of Suncrest in a stock and cash transaction for $39.6 million in cash and $197.1 million in stock with the issuance of 8.6 million shares of the Company's common stock. As a result, Suncrest merged with and into the Bank, the principal subsidiary of CVB. At close, Suncrest had seven branch locations and two loan production offices in California’s Central Valley and the Sacramento metro area, which opened as Citizens Business Bank locations on January 10, 2022.</w:t>
      </w:r>
    </w:p>
    <w:p>
      <w:pPr>
        <w:spacing w:after="0" w:line="184" w:lineRule="exact"/>
        <w:rPr>
          <w:sz w:val="20"/>
          <w:szCs w:val="20"/>
          <w:color w:val="auto"/>
        </w:rPr>
      </w:pPr>
    </w:p>
    <w:p>
      <w:pPr>
        <w:ind w:firstLine="360"/>
        <w:spacing w:after="0" w:line="244" w:lineRule="auto"/>
        <w:rPr>
          <w:sz w:val="20"/>
          <w:szCs w:val="20"/>
          <w:color w:val="auto"/>
        </w:rPr>
      </w:pPr>
      <w:r>
        <w:rPr>
          <w:rFonts w:ascii="Times New Roman" w:cs="Times New Roman" w:eastAsia="Times New Roman" w:hAnsi="Times New Roman"/>
          <w:sz w:val="18"/>
          <w:szCs w:val="18"/>
          <w:color w:val="auto"/>
        </w:rPr>
        <w:t>At close, the total fair value of assets acquired approximated $1.38 billion in total assets, including $329.0 million of cash and cash equivalents, net of cash paid, $131.1 million of investment securities, and $765.9 million in net loans. The acquired loans were recorded at fair value, which reflected a net discount of 1.5% for the entire loan portfolio. Approximately 30% of the acquired loans are considered PCD loans. An allowance for credit loss of $8.6 million was established for these PCD loans at acquisition. In addition, the acquired PCD loans were further discounted by almost 2% to adjust them to fair value. Non-PCD loans were valued at a total premium of 0.3%, net of a credit discount of 1.5%. We recorded a loan loss provision to establish a day one allowance for credit losses of $4.9 million on the non-PCD loans.</w:t>
      </w:r>
    </w:p>
    <w:p>
      <w:pPr>
        <w:spacing w:after="0" w:line="182" w:lineRule="exact"/>
        <w:rPr>
          <w:sz w:val="20"/>
          <w:szCs w:val="20"/>
          <w:color w:val="auto"/>
        </w:rPr>
      </w:pPr>
    </w:p>
    <w:p>
      <w:pPr>
        <w:ind w:right="580" w:firstLine="360"/>
        <w:spacing w:after="0" w:line="246" w:lineRule="auto"/>
        <w:rPr>
          <w:sz w:val="20"/>
          <w:szCs w:val="20"/>
          <w:color w:val="auto"/>
        </w:rPr>
      </w:pPr>
      <w:r>
        <w:rPr>
          <w:rFonts w:ascii="Times New Roman" w:cs="Times New Roman" w:eastAsia="Times New Roman" w:hAnsi="Times New Roman"/>
          <w:sz w:val="18"/>
          <w:szCs w:val="18"/>
          <w:color w:val="auto"/>
        </w:rPr>
        <w:t>The integration of Suncrest, including the conversion of core systems in the first quarter of 2022, was completed with the consolidation of two banking centers during the second quarter.</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43" w:name="page44"/>
    <w:bookmarkEnd w:id="4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ANALYSIS OF THE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Performance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60" w:type="dxa"/>
            <w:vAlign w:val="bottom"/>
            <w:gridSpan w:val="5"/>
          </w:tcPr>
          <w:p>
            <w:pPr>
              <w:jc w:val="right"/>
              <w:ind w:right="11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138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6"/>
        </w:trPr>
        <w:tc>
          <w:tcPr>
            <w:tcW w:w="50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2"/>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3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2"/>
        </w:trPr>
        <w:tc>
          <w:tcPr>
            <w:tcW w:w="5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5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w w:val="73"/>
              </w:rPr>
              <w:t>(Dollars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 except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per</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share amounts)</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133,338</w:t>
            </w:r>
          </w:p>
        </w:tc>
        <w:tc>
          <w:tcPr>
            <w:tcW w:w="3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121,940</w:t>
            </w:r>
          </w:p>
        </w:tc>
        <w:tc>
          <w:tcPr>
            <w:tcW w:w="300" w:type="dxa"/>
            <w:vAlign w:val="bottom"/>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11,398</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9.35 %</w:t>
            </w:r>
          </w:p>
        </w:tc>
      </w:tr>
      <w:tr>
        <w:trPr>
          <w:trHeight w:val="20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recapture of credit losses</w:t>
            </w:r>
          </w:p>
        </w:tc>
        <w:tc>
          <w:tcPr>
            <w:tcW w:w="200" w:type="dxa"/>
            <w:vAlign w:val="bottom"/>
          </w:tcPr>
          <w:p>
            <w:pPr>
              <w:spacing w:after="0"/>
              <w:rPr>
                <w:sz w:val="17"/>
                <w:szCs w:val="17"/>
                <w:color w:val="auto"/>
              </w:rPr>
            </w:pPr>
          </w:p>
        </w:tc>
        <w:tc>
          <w:tcPr>
            <w:tcW w:w="16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(2,000 )</w:t>
            </w:r>
          </w:p>
        </w:tc>
        <w:tc>
          <w:tcPr>
            <w:tcW w:w="240" w:type="dxa"/>
            <w:vAlign w:val="bottom"/>
          </w:tcPr>
          <w:p>
            <w:pPr>
              <w:spacing w:after="0"/>
              <w:rPr>
                <w:sz w:val="17"/>
                <w:szCs w:val="17"/>
                <w:color w:val="auto"/>
              </w:rPr>
            </w:pPr>
          </w:p>
        </w:tc>
        <w:tc>
          <w:tcPr>
            <w:tcW w:w="14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(3,600 )</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44.44 %</w:t>
            </w:r>
          </w:p>
        </w:tc>
      </w:tr>
      <w:tr>
        <w:trPr>
          <w:trHeight w:val="20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11,590</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14,670</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(3,080 )</w:t>
            </w:r>
          </w:p>
        </w:tc>
        <w:tc>
          <w:tcPr>
            <w:tcW w:w="36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-21.00 %</w:t>
            </w:r>
          </w:p>
        </w:tc>
      </w:tr>
      <w:tr>
        <w:trPr>
          <w:trHeight w:val="20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200" w:type="dxa"/>
            <w:vAlign w:val="bottom"/>
          </w:tcPr>
          <w:p>
            <w:pPr>
              <w:spacing w:after="0"/>
              <w:rPr>
                <w:sz w:val="17"/>
                <w:szCs w:val="17"/>
                <w:color w:val="auto"/>
              </w:rPr>
            </w:pPr>
          </w:p>
        </w:tc>
        <w:tc>
          <w:tcPr>
            <w:tcW w:w="16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(53,027 )</w:t>
            </w:r>
          </w:p>
        </w:tc>
        <w:tc>
          <w:tcPr>
            <w:tcW w:w="240" w:type="dxa"/>
            <w:vAlign w:val="bottom"/>
          </w:tcPr>
          <w:p>
            <w:pPr>
              <w:spacing w:after="0"/>
              <w:rPr>
                <w:sz w:val="17"/>
                <w:szCs w:val="17"/>
                <w:color w:val="auto"/>
              </w:rPr>
            </w:pPr>
          </w:p>
        </w:tc>
        <w:tc>
          <w:tcPr>
            <w:tcW w:w="14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(50,871 )</w:t>
            </w:r>
          </w:p>
        </w:tc>
        <w:tc>
          <w:tcPr>
            <w:tcW w:w="3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(2,156 )</w:t>
            </w:r>
          </w:p>
        </w:tc>
        <w:tc>
          <w:tcPr>
            <w:tcW w:w="36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-4.24 %</w:t>
            </w:r>
          </w:p>
        </w:tc>
      </w:tr>
      <w:tr>
        <w:trPr>
          <w:trHeight w:val="20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200" w:type="dxa"/>
            <w:vAlign w:val="bottom"/>
          </w:tcPr>
          <w:p>
            <w:pPr>
              <w:spacing w:after="0"/>
              <w:rPr>
                <w:sz w:val="17"/>
                <w:szCs w:val="17"/>
                <w:color w:val="auto"/>
              </w:rPr>
            </w:pPr>
          </w:p>
        </w:tc>
        <w:tc>
          <w:tcPr>
            <w:tcW w:w="16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(25,262 )</w:t>
            </w:r>
          </w:p>
        </w:tc>
        <w:tc>
          <w:tcPr>
            <w:tcW w:w="240" w:type="dxa"/>
            <w:vAlign w:val="bottom"/>
          </w:tcPr>
          <w:p>
            <w:pPr>
              <w:spacing w:after="0"/>
              <w:rPr>
                <w:sz w:val="17"/>
                <w:szCs w:val="17"/>
                <w:color w:val="auto"/>
              </w:rPr>
            </w:pPr>
          </w:p>
        </w:tc>
        <w:tc>
          <w:tcPr>
            <w:tcW w:w="14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(23,081 )</w:t>
            </w:r>
          </w:p>
        </w:tc>
        <w:tc>
          <w:tcPr>
            <w:tcW w:w="3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(2,181 )</w:t>
            </w:r>
          </w:p>
        </w:tc>
        <w:tc>
          <w:tcPr>
            <w:tcW w:w="36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-9.45 %</w:t>
            </w:r>
          </w:p>
        </w:tc>
      </w:tr>
      <w:tr>
        <w:trPr>
          <w:trHeight w:val="196"/>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64,639</w:t>
            </w:r>
          </w:p>
        </w:tc>
        <w:tc>
          <w:tcPr>
            <w:tcW w:w="3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59,058</w:t>
            </w:r>
          </w:p>
        </w:tc>
        <w:tc>
          <w:tcPr>
            <w:tcW w:w="3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5,581</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9.45 %</w:t>
            </w:r>
          </w:p>
        </w:tc>
      </w:tr>
      <w:tr>
        <w:trPr>
          <w:trHeight w:val="20"/>
        </w:trPr>
        <w:tc>
          <w:tcPr>
            <w:tcW w:w="5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3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300" w:type="dxa"/>
            <w:vAlign w:val="bottom"/>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on average assets</w:t>
            </w:r>
          </w:p>
        </w:tc>
        <w:tc>
          <w:tcPr>
            <w:tcW w:w="200" w:type="dxa"/>
            <w:vAlign w:val="bottom"/>
          </w:tcPr>
          <w:p>
            <w:pPr>
              <w:spacing w:after="0"/>
              <w:rPr>
                <w:sz w:val="17"/>
                <w:szCs w:val="17"/>
                <w:color w:val="auto"/>
              </w:rPr>
            </w:pPr>
          </w:p>
        </w:tc>
        <w:tc>
          <w:tcPr>
            <w:tcW w:w="16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1.52 %</w:t>
            </w:r>
          </w:p>
        </w:tc>
        <w:tc>
          <w:tcPr>
            <w:tcW w:w="240" w:type="dxa"/>
            <w:vAlign w:val="bottom"/>
          </w:tcPr>
          <w:p>
            <w:pPr>
              <w:spacing w:after="0"/>
              <w:rPr>
                <w:sz w:val="17"/>
                <w:szCs w:val="17"/>
                <w:color w:val="auto"/>
              </w:rPr>
            </w:pP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1.39 %</w:t>
            </w:r>
          </w:p>
        </w:tc>
        <w:tc>
          <w:tcPr>
            <w:tcW w:w="3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0.13 %</w:t>
            </w: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Return on average shareholders' equity</w:t>
            </w:r>
          </w:p>
        </w:tc>
        <w:tc>
          <w:tcPr>
            <w:tcW w:w="2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12.72 %</w:t>
            </w:r>
          </w:p>
        </w:tc>
        <w:tc>
          <w:tcPr>
            <w:tcW w:w="2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11.33 %</w:t>
            </w:r>
          </w:p>
        </w:tc>
        <w:tc>
          <w:tcPr>
            <w:tcW w:w="3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1.39 %</w:t>
            </w:r>
          </w:p>
        </w:tc>
        <w:tc>
          <w:tcPr>
            <w:tcW w:w="3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Efficiency ratio</w:t>
            </w:r>
          </w:p>
        </w:tc>
        <w:tc>
          <w:tcPr>
            <w:tcW w:w="200" w:type="dxa"/>
            <w:vAlign w:val="bottom"/>
          </w:tcPr>
          <w:p>
            <w:pPr>
              <w:spacing w:after="0"/>
              <w:rPr>
                <w:sz w:val="17"/>
                <w:szCs w:val="17"/>
                <w:color w:val="auto"/>
              </w:rPr>
            </w:pPr>
          </w:p>
        </w:tc>
        <w:tc>
          <w:tcPr>
            <w:tcW w:w="16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36.59 %</w:t>
            </w:r>
          </w:p>
        </w:tc>
        <w:tc>
          <w:tcPr>
            <w:tcW w:w="240" w:type="dxa"/>
            <w:vAlign w:val="bottom"/>
          </w:tcPr>
          <w:p>
            <w:pPr>
              <w:spacing w:after="0"/>
              <w:rPr>
                <w:sz w:val="17"/>
                <w:szCs w:val="17"/>
                <w:color w:val="auto"/>
              </w:rPr>
            </w:pP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37.24 %</w:t>
            </w:r>
          </w:p>
        </w:tc>
        <w:tc>
          <w:tcPr>
            <w:tcW w:w="3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-0.65 %</w:t>
            </w: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Noninterest expense to average assets</w:t>
            </w:r>
          </w:p>
        </w:tc>
        <w:tc>
          <w:tcPr>
            <w:tcW w:w="2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1.25 %</w:t>
            </w:r>
          </w:p>
        </w:tc>
        <w:tc>
          <w:tcPr>
            <w:tcW w:w="2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1.20 %</w:t>
            </w:r>
          </w:p>
        </w:tc>
        <w:tc>
          <w:tcPr>
            <w:tcW w:w="3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0.05 %</w:t>
            </w:r>
          </w:p>
        </w:tc>
        <w:tc>
          <w:tcPr>
            <w:tcW w:w="3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-1705610</wp:posOffset>
            </wp:positionV>
            <wp:extent cx="7132320" cy="12890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-1448435</wp:posOffset>
            </wp:positionV>
            <wp:extent cx="7132320" cy="12890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-1191260</wp:posOffset>
            </wp:positionV>
            <wp:extent cx="7132320" cy="29146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2"/>
        </w:trPr>
        <w:tc>
          <w:tcPr>
            <w:tcW w:w="5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5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900" w:type="dxa"/>
            <w:vAlign w:val="bottom"/>
            <w:gridSpan w:val="9"/>
          </w:tcPr>
          <w:p>
            <w:pPr>
              <w:ind w:left="1060"/>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amounts)</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133,338</w:t>
            </w:r>
          </w:p>
        </w:tc>
        <w:tc>
          <w:tcPr>
            <w:tcW w:w="320" w:type="dxa"/>
            <w:vAlign w:val="bottom"/>
          </w:tcPr>
          <w:p>
            <w:pPr>
              <w:spacing w:after="0"/>
              <w:rPr>
                <w:sz w:val="17"/>
                <w:szCs w:val="17"/>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103,299</w:t>
            </w:r>
          </w:p>
        </w:tc>
        <w:tc>
          <w:tcPr>
            <w:tcW w:w="300" w:type="dxa"/>
            <w:vAlign w:val="bottom"/>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30,039</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29.08 %</w:t>
            </w: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recapture of credit losses</w:t>
            </w:r>
          </w:p>
        </w:tc>
        <w:tc>
          <w:tcPr>
            <w:tcW w:w="340" w:type="dxa"/>
            <w:vAlign w:val="bottom"/>
          </w:tcPr>
          <w:p>
            <w:pPr>
              <w:spacing w:after="0"/>
              <w:rPr>
                <w:sz w:val="17"/>
                <w:szCs w:val="17"/>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(2,000 )</w:t>
            </w:r>
          </w:p>
        </w:tc>
        <w:tc>
          <w:tcPr>
            <w:tcW w:w="5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(6,000 )</w:t>
            </w:r>
          </w:p>
        </w:tc>
        <w:tc>
          <w:tcPr>
            <w:tcW w:w="30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-150.00 %</w:t>
            </w: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11,590</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10,483</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10.56 %</w:t>
            </w: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340" w:type="dxa"/>
            <w:vAlign w:val="bottom"/>
          </w:tcPr>
          <w:p>
            <w:pPr>
              <w:spacing w:after="0"/>
              <w:rPr>
                <w:sz w:val="17"/>
                <w:szCs w:val="17"/>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(53,027 )</w:t>
            </w:r>
          </w:p>
        </w:tc>
        <w:tc>
          <w:tcPr>
            <w:tcW w:w="5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(48,099 )</w:t>
            </w:r>
          </w:p>
        </w:tc>
        <w:tc>
          <w:tcPr>
            <w:tcW w:w="3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(4,928 )</w:t>
            </w:r>
          </w:p>
        </w:tc>
        <w:tc>
          <w:tcPr>
            <w:tcW w:w="30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-10.25 %</w:t>
            </w: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340" w:type="dxa"/>
            <w:vAlign w:val="bottom"/>
          </w:tcPr>
          <w:p>
            <w:pPr>
              <w:spacing w:after="0"/>
              <w:rPr>
                <w:sz w:val="17"/>
                <w:szCs w:val="17"/>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(25,262 )</w:t>
            </w:r>
          </w:p>
        </w:tc>
        <w:tc>
          <w:tcPr>
            <w:tcW w:w="5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(19,930 )</w:t>
            </w:r>
          </w:p>
        </w:tc>
        <w:tc>
          <w:tcPr>
            <w:tcW w:w="3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(5,332 )</w:t>
            </w:r>
          </w:p>
        </w:tc>
        <w:tc>
          <w:tcPr>
            <w:tcW w:w="30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-26.75 %</w:t>
            </w:r>
          </w:p>
        </w:tc>
      </w:tr>
      <w:tr>
        <w:trPr>
          <w:trHeight w:val="196"/>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3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64,639</w:t>
            </w:r>
          </w:p>
        </w:tc>
        <w:tc>
          <w:tcPr>
            <w:tcW w:w="32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49,753</w:t>
            </w:r>
          </w:p>
        </w:tc>
        <w:tc>
          <w:tcPr>
            <w:tcW w:w="3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14,886</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29.92 %</w:t>
            </w:r>
          </w:p>
        </w:tc>
      </w:tr>
      <w:tr>
        <w:trPr>
          <w:trHeight w:val="20"/>
        </w:trPr>
        <w:tc>
          <w:tcPr>
            <w:tcW w:w="5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320" w:type="dxa"/>
            <w:vAlign w:val="bottom"/>
          </w:tcPr>
          <w:p>
            <w:pPr>
              <w:spacing w:after="0"/>
              <w:rPr>
                <w:sz w:val="17"/>
                <w:szCs w:val="17"/>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300" w:type="dxa"/>
            <w:vAlign w:val="bottom"/>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32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on average assets</w:t>
            </w:r>
          </w:p>
        </w:tc>
        <w:tc>
          <w:tcPr>
            <w:tcW w:w="34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1.52 %</w:t>
            </w:r>
          </w:p>
        </w:tc>
        <w:tc>
          <w:tcPr>
            <w:tcW w:w="50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1.26 %</w:t>
            </w:r>
          </w:p>
        </w:tc>
        <w:tc>
          <w:tcPr>
            <w:tcW w:w="3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0.26 %</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Return on average shareholders' equity</w:t>
            </w:r>
          </w:p>
        </w:tc>
        <w:tc>
          <w:tcPr>
            <w:tcW w:w="34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12.72 %</w:t>
            </w:r>
          </w:p>
        </w:tc>
        <w:tc>
          <w:tcPr>
            <w:tcW w:w="5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9.49 %</w:t>
            </w:r>
          </w:p>
        </w:tc>
        <w:tc>
          <w:tcPr>
            <w:tcW w:w="3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3.23 %</w:t>
            </w: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Efficiency ratio</w:t>
            </w:r>
          </w:p>
        </w:tc>
        <w:tc>
          <w:tcPr>
            <w:tcW w:w="34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36.59 %</w:t>
            </w:r>
          </w:p>
        </w:tc>
        <w:tc>
          <w:tcPr>
            <w:tcW w:w="50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42.27 %</w:t>
            </w:r>
          </w:p>
        </w:tc>
        <w:tc>
          <w:tcPr>
            <w:tcW w:w="3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-5.68 %</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Noninterest expense to average assets</w:t>
            </w:r>
          </w:p>
        </w:tc>
        <w:tc>
          <w:tcPr>
            <w:tcW w:w="34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1.25 %</w:t>
            </w:r>
          </w:p>
        </w:tc>
        <w:tc>
          <w:tcPr>
            <w:tcW w:w="5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1.22 %</w:t>
            </w:r>
          </w:p>
        </w:tc>
        <w:tc>
          <w:tcPr>
            <w:tcW w:w="3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0.03 %</w:t>
            </w: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-1704975</wp:posOffset>
            </wp:positionV>
            <wp:extent cx="7132320" cy="12890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-1447800</wp:posOffset>
            </wp:positionV>
            <wp:extent cx="7132320" cy="12890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-1190625</wp:posOffset>
            </wp:positionV>
            <wp:extent cx="7132320" cy="29146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2"/>
        </w:trPr>
        <w:tc>
          <w:tcPr>
            <w:tcW w:w="5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5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900" w:type="dxa"/>
            <w:vAlign w:val="bottom"/>
            <w:gridSpan w:val="9"/>
          </w:tcPr>
          <w:p>
            <w:pPr>
              <w:ind w:left="1060"/>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amounts)</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368,118</w:t>
            </w:r>
          </w:p>
        </w:tc>
        <w:tc>
          <w:tcPr>
            <w:tcW w:w="32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312,155</w:t>
            </w:r>
          </w:p>
        </w:tc>
        <w:tc>
          <w:tcPr>
            <w:tcW w:w="300" w:type="dxa"/>
            <w:vAlign w:val="bottom"/>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55,963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17.93 %</w:t>
            </w: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recapture of credit losses</w:t>
            </w:r>
          </w:p>
        </w:tc>
        <w:tc>
          <w:tcPr>
            <w:tcW w:w="340" w:type="dxa"/>
            <w:vAlign w:val="bottom"/>
          </w:tcPr>
          <w:p>
            <w:pPr>
              <w:spacing w:after="0"/>
              <w:rPr>
                <w:sz w:val="17"/>
                <w:szCs w:val="17"/>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(8,100 )</w:t>
            </w:r>
          </w:p>
        </w:tc>
        <w:tc>
          <w:tcPr>
            <w:tcW w:w="4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25,500</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(33,600 )</w:t>
            </w:r>
          </w:p>
        </w:tc>
        <w:tc>
          <w:tcPr>
            <w:tcW w:w="30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-131.76 %</w:t>
            </w: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37,524</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2,524</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7.21 %</w:t>
            </w: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340" w:type="dxa"/>
            <w:vAlign w:val="bottom"/>
          </w:tcPr>
          <w:p>
            <w:pPr>
              <w:spacing w:after="0"/>
              <w:rPr>
                <w:sz w:val="17"/>
                <w:szCs w:val="17"/>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(162,136 )</w:t>
            </w:r>
          </w:p>
        </w:tc>
        <w:tc>
          <w:tcPr>
            <w:tcW w:w="4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(141,807 )</w:t>
            </w:r>
          </w:p>
        </w:tc>
        <w:tc>
          <w:tcPr>
            <w:tcW w:w="3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(20,329 )</w:t>
            </w:r>
          </w:p>
        </w:tc>
        <w:tc>
          <w:tcPr>
            <w:tcW w:w="30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-14.34 %</w:t>
            </w: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340" w:type="dxa"/>
            <w:vAlign w:val="bottom"/>
          </w:tcPr>
          <w:p>
            <w:pPr>
              <w:spacing w:after="0"/>
              <w:rPr>
                <w:sz w:val="17"/>
                <w:szCs w:val="17"/>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(66,149 )</w:t>
            </w:r>
          </w:p>
        </w:tc>
        <w:tc>
          <w:tcPr>
            <w:tcW w:w="4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(66,023 )</w:t>
            </w:r>
          </w:p>
        </w:tc>
        <w:tc>
          <w:tcPr>
            <w:tcW w:w="3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(126 )</w:t>
            </w:r>
          </w:p>
        </w:tc>
        <w:tc>
          <w:tcPr>
            <w:tcW w:w="30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-0.19 %</w:t>
            </w:r>
          </w:p>
        </w:tc>
      </w:tr>
      <w:tr>
        <w:trPr>
          <w:trHeight w:val="196"/>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3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169,257</w:t>
            </w:r>
          </w:p>
        </w:tc>
        <w:tc>
          <w:tcPr>
            <w:tcW w:w="32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164,825</w:t>
            </w:r>
          </w:p>
        </w:tc>
        <w:tc>
          <w:tcPr>
            <w:tcW w:w="3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4,432</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2.69 %</w:t>
            </w:r>
          </w:p>
        </w:tc>
      </w:tr>
      <w:tr>
        <w:trPr>
          <w:trHeight w:val="20"/>
        </w:trPr>
        <w:tc>
          <w:tcPr>
            <w:tcW w:w="5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32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300" w:type="dxa"/>
            <w:vAlign w:val="bottom"/>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(0.01 )</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32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(0.01 )</w:t>
            </w: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on average assets</w:t>
            </w:r>
          </w:p>
        </w:tc>
        <w:tc>
          <w:tcPr>
            <w:tcW w:w="34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1.32 %</w:t>
            </w:r>
          </w:p>
        </w:tc>
        <w:tc>
          <w:tcPr>
            <w:tcW w:w="48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1.46 %</w:t>
            </w:r>
          </w:p>
        </w:tc>
        <w:tc>
          <w:tcPr>
            <w:tcW w:w="3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-0.14 %</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Return on average shareholders' equity</w:t>
            </w:r>
          </w:p>
        </w:tc>
        <w:tc>
          <w:tcPr>
            <w:tcW w:w="34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10.69 %</w:t>
            </w:r>
          </w:p>
        </w:tc>
        <w:tc>
          <w:tcPr>
            <w:tcW w:w="4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10.73 %</w:t>
            </w:r>
          </w:p>
        </w:tc>
        <w:tc>
          <w:tcPr>
            <w:tcW w:w="3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-0.04 %</w:t>
            </w: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Efficiency ratio</w:t>
            </w:r>
          </w:p>
        </w:tc>
        <w:tc>
          <w:tcPr>
            <w:tcW w:w="34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39.97 %</w:t>
            </w:r>
          </w:p>
        </w:tc>
        <w:tc>
          <w:tcPr>
            <w:tcW w:w="48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40.85 %</w:t>
            </w:r>
          </w:p>
        </w:tc>
        <w:tc>
          <w:tcPr>
            <w:tcW w:w="3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-0.88 %</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Noninterest expense to average assets</w:t>
            </w:r>
          </w:p>
        </w:tc>
        <w:tc>
          <w:tcPr>
            <w:tcW w:w="34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1.27 %</w:t>
            </w:r>
          </w:p>
        </w:tc>
        <w:tc>
          <w:tcPr>
            <w:tcW w:w="4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1.25 %</w:t>
            </w:r>
          </w:p>
        </w:tc>
        <w:tc>
          <w:tcPr>
            <w:tcW w:w="3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0.02 %</w:t>
            </w: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-1704975</wp:posOffset>
            </wp:positionV>
            <wp:extent cx="7132320" cy="12890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-1447800</wp:posOffset>
            </wp:positionV>
            <wp:extent cx="7132320" cy="12890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-1190625</wp:posOffset>
            </wp:positionV>
            <wp:extent cx="7132320" cy="29146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3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20" w:right="2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Return on Average Tangible Common Equity Reconciliation (Non-GAAP)</w:t>
      </w:r>
    </w:p>
    <w:p>
      <w:pPr>
        <w:spacing w:after="0" w:line="202" w:lineRule="exact"/>
        <w:rPr>
          <w:sz w:val="20"/>
          <w:szCs w:val="20"/>
          <w:color w:val="auto"/>
        </w:rPr>
      </w:pPr>
    </w:p>
    <w:p>
      <w:pPr>
        <w:ind w:right="140" w:firstLine="469"/>
        <w:spacing w:after="0" w:line="250" w:lineRule="auto"/>
        <w:rPr>
          <w:sz w:val="20"/>
          <w:szCs w:val="20"/>
          <w:color w:val="auto"/>
        </w:rPr>
      </w:pPr>
      <w:r>
        <w:rPr>
          <w:rFonts w:ascii="Times New Roman" w:cs="Times New Roman" w:eastAsia="Times New Roman" w:hAnsi="Times New Roman"/>
          <w:sz w:val="18"/>
          <w:szCs w:val="18"/>
          <w:color w:val="auto"/>
        </w:rPr>
        <w:t>The return on average tangible common equity is a non-GAAP disclosure. The Company uses certain non-GAAP financial measures to provide supplemental information regarding the Company's performance. The following is a reconciliation of net income, adjusted for tax-effected amortization of intangibles, to net income computed in accordance with GAAP; a reconciliation of average tangible common equity to the Company's average stockholders' equity computed in accordance with GAAP; as well as a calculation of return on average tangible common equity.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58"/>
        </w:trPr>
        <w:tc>
          <w:tcPr>
            <w:tcW w:w="45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right"/>
              <w:ind w:right="368"/>
              <w:spacing w:after="0" w:line="15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right"/>
              <w:ind w:right="400"/>
              <w:spacing w:after="0" w:line="158"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68"/>
              <w:spacing w:after="0" w:line="15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right"/>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8"/>
              <w:spacing w:after="0" w:line="15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w w:val="88"/>
              </w:rPr>
              <w:t>(Dollars in thousands)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64,639</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59,058</w:t>
            </w:r>
          </w:p>
        </w:tc>
        <w:tc>
          <w:tcPr>
            <w:tcW w:w="140" w:type="dxa"/>
            <w:vAlign w:val="bottom"/>
            <w:shd w:val="clear" w:color="auto" w:fill="CFF0FC"/>
          </w:tcPr>
          <w:p>
            <w:pPr>
              <w:spacing w:after="0"/>
              <w:rPr>
                <w:sz w:val="15"/>
                <w:szCs w:val="15"/>
                <w:color w:val="auto"/>
              </w:rPr>
            </w:pPr>
          </w:p>
        </w:tc>
        <w:tc>
          <w:tcPr>
            <w:tcW w:w="2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49,753</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169,257</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164,825</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Add: Amortization of intangible assets</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1,846</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Less: Tax effect of amortization of intangible assets (1)</w:t>
            </w:r>
          </w:p>
        </w:tc>
        <w:tc>
          <w:tcPr>
            <w:tcW w:w="12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(546 )</w:t>
            </w: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(591 )</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(595 )</w:t>
            </w: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(1,727 )</w:t>
            </w: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(1,877 )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40" w:type="dxa"/>
            <w:vAlign w:val="bottom"/>
            <w:tcBorders>
              <w:top w:val="single" w:sz="8" w:color="CFF0FC"/>
            </w:tcBorders>
          </w:tcPr>
          <w:p>
            <w:pPr>
              <w:ind w:left="380"/>
              <w:spacing w:after="0" w:line="155" w:lineRule="exact"/>
              <w:rPr>
                <w:sz w:val="20"/>
                <w:szCs w:val="20"/>
                <w:color w:val="auto"/>
              </w:rPr>
            </w:pPr>
            <w:r>
              <w:rPr>
                <w:rFonts w:ascii="Times New Roman" w:cs="Times New Roman" w:eastAsia="Times New Roman" w:hAnsi="Times New Roman"/>
                <w:sz w:val="14"/>
                <w:szCs w:val="14"/>
                <w:color w:val="auto"/>
              </w:rPr>
              <w:t>Tangible net income</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65,939</w:t>
            </w:r>
          </w:p>
        </w:tc>
        <w:tc>
          <w:tcPr>
            <w:tcW w:w="28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60,465</w:t>
            </w:r>
          </w:p>
        </w:tc>
        <w:tc>
          <w:tcPr>
            <w:tcW w:w="1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51,172</w:t>
            </w:r>
          </w:p>
        </w:tc>
        <w:tc>
          <w:tcPr>
            <w:tcW w:w="240" w:type="dxa"/>
            <w:vAlign w:val="bottom"/>
            <w:tcBorders>
              <w:top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173,372</w:t>
            </w:r>
          </w:p>
        </w:tc>
        <w:tc>
          <w:tcPr>
            <w:tcW w:w="260" w:type="dxa"/>
            <w:vAlign w:val="bottom"/>
            <w:tcBorders>
              <w:top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169,296</w:t>
            </w:r>
          </w:p>
        </w:tc>
        <w:tc>
          <w:tcPr>
            <w:tcW w:w="100" w:type="dxa"/>
            <w:vAlign w:val="bottom"/>
            <w:tcBorders>
              <w:top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Average stockholders' equity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2,016,198</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2,091,454</w:t>
            </w:r>
          </w:p>
        </w:tc>
        <w:tc>
          <w:tcPr>
            <w:tcW w:w="140" w:type="dxa"/>
            <w:vAlign w:val="bottom"/>
            <w:shd w:val="clear" w:color="auto" w:fill="CFF0FC"/>
          </w:tcPr>
          <w:p>
            <w:pPr>
              <w:spacing w:after="0"/>
              <w:rPr>
                <w:sz w:val="15"/>
                <w:szCs w:val="15"/>
                <w:color w:val="auto"/>
              </w:rPr>
            </w:pPr>
          </w:p>
        </w:tc>
        <w:tc>
          <w:tcPr>
            <w:tcW w:w="2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2,080,238</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2,116,164</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2,054,132</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Less: Average goodwill</w:t>
            </w:r>
          </w:p>
        </w:tc>
        <w:tc>
          <w:tcPr>
            <w:tcW w:w="120" w:type="dxa"/>
            <w:vAlign w:val="bottom"/>
          </w:tcPr>
          <w:p>
            <w:pPr>
              <w:spacing w:after="0"/>
              <w:rPr>
                <w:sz w:val="15"/>
                <w:szCs w:val="15"/>
                <w:color w:val="auto"/>
              </w:rPr>
            </w:pPr>
          </w:p>
        </w:tc>
        <w:tc>
          <w:tcPr>
            <w:tcW w:w="13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(765,822 )</w:t>
            </w:r>
          </w:p>
        </w:tc>
        <w:tc>
          <w:tcPr>
            <w:tcW w:w="16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(765,822 )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(663,707 )</w:t>
            </w:r>
          </w:p>
        </w:tc>
        <w:tc>
          <w:tcPr>
            <w:tcW w:w="10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(763,578 )</w:t>
            </w:r>
          </w:p>
        </w:tc>
        <w:tc>
          <w:tcPr>
            <w:tcW w:w="10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(663,707 )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Less: Average intangible assets</w:t>
            </w:r>
          </w:p>
        </w:tc>
        <w:tc>
          <w:tcPr>
            <w:tcW w:w="12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(24,396 )</w:t>
            </w: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(26,381 )</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(28,240 )</w:t>
            </w: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(26,308 )</w:t>
            </w: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(30,377 )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40" w:type="dxa"/>
            <w:vAlign w:val="bottom"/>
            <w:tcBorders>
              <w:top w:val="single" w:sz="8" w:color="CFF0FC"/>
            </w:tcBorders>
          </w:tcPr>
          <w:p>
            <w:pPr>
              <w:ind w:left="380"/>
              <w:spacing w:after="0" w:line="155" w:lineRule="exact"/>
              <w:rPr>
                <w:sz w:val="20"/>
                <w:szCs w:val="20"/>
                <w:color w:val="auto"/>
              </w:rPr>
            </w:pPr>
            <w:r>
              <w:rPr>
                <w:rFonts w:ascii="Times New Roman" w:cs="Times New Roman" w:eastAsia="Times New Roman" w:hAnsi="Times New Roman"/>
                <w:sz w:val="14"/>
                <w:szCs w:val="14"/>
                <w:color w:val="auto"/>
              </w:rPr>
              <w:t>Average tangible common equity</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1,225,980</w:t>
            </w:r>
          </w:p>
        </w:tc>
        <w:tc>
          <w:tcPr>
            <w:tcW w:w="28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1,299,251</w:t>
            </w:r>
          </w:p>
        </w:tc>
        <w:tc>
          <w:tcPr>
            <w:tcW w:w="1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1,388,291</w:t>
            </w:r>
          </w:p>
        </w:tc>
        <w:tc>
          <w:tcPr>
            <w:tcW w:w="240" w:type="dxa"/>
            <w:vAlign w:val="bottom"/>
            <w:tcBorders>
              <w:top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1,326,278</w:t>
            </w:r>
          </w:p>
        </w:tc>
        <w:tc>
          <w:tcPr>
            <w:tcW w:w="260" w:type="dxa"/>
            <w:vAlign w:val="bottom"/>
            <w:tcBorders>
              <w:top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1,360,048</w:t>
            </w:r>
          </w:p>
        </w:tc>
        <w:tc>
          <w:tcPr>
            <w:tcW w:w="100" w:type="dxa"/>
            <w:vAlign w:val="bottom"/>
            <w:tcBorders>
              <w:top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Return on average equity, annualized</w:t>
            </w:r>
          </w:p>
        </w:tc>
        <w:tc>
          <w:tcPr>
            <w:tcW w:w="12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12.72 %</w:t>
            </w: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11.33 %</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9.49 %</w:t>
            </w: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10.69 %</w:t>
            </w: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10.73 %</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Return on average tangible common equity, annualized</w:t>
            </w:r>
          </w:p>
        </w:tc>
        <w:tc>
          <w:tcPr>
            <w:tcW w:w="120" w:type="dxa"/>
            <w:vAlign w:val="bottom"/>
          </w:tcPr>
          <w:p>
            <w:pPr>
              <w:spacing w:after="0"/>
              <w:rPr>
                <w:sz w:val="16"/>
                <w:szCs w:val="16"/>
                <w:color w:val="auto"/>
              </w:rPr>
            </w:pPr>
          </w:p>
        </w:tc>
        <w:tc>
          <w:tcPr>
            <w:tcW w:w="13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21.34 %</w:t>
            </w:r>
          </w:p>
        </w:tc>
        <w:tc>
          <w:tcPr>
            <w:tcW w:w="16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18.67 %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14.62 %</w:t>
            </w:r>
          </w:p>
        </w:tc>
        <w:tc>
          <w:tcPr>
            <w:tcW w:w="10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17.48 %</w:t>
            </w:r>
          </w:p>
        </w:tc>
        <w:tc>
          <w:tcPr>
            <w:tcW w:w="10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16.64 %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-1078865</wp:posOffset>
            </wp:positionV>
            <wp:extent cx="77470" cy="25717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7470" cy="25717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-1078865</wp:posOffset>
            </wp:positionV>
            <wp:extent cx="77470" cy="25717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7470" cy="25717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-1078865</wp:posOffset>
            </wp:positionV>
            <wp:extent cx="68580" cy="25717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-1078865</wp:posOffset>
            </wp:positionV>
            <wp:extent cx="68580" cy="25717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-1078865</wp:posOffset>
            </wp:positionV>
            <wp:extent cx="68580" cy="25717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-487680</wp:posOffset>
            </wp:positionV>
            <wp:extent cx="77470" cy="25717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7470" cy="25717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-487680</wp:posOffset>
            </wp:positionV>
            <wp:extent cx="77470" cy="25717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7470" cy="25717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-487680</wp:posOffset>
            </wp:positionV>
            <wp:extent cx="68580" cy="25717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-487680</wp:posOffset>
            </wp:positionV>
            <wp:extent cx="68580" cy="25717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25717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257175"/>
                    </a:xfrm>
                    <a:prstGeom prst="rect">
                      <a:avLst/>
                    </a:prstGeom>
                    <a:noFill/>
                  </pic:spPr>
                </pic:pic>
              </a:graphicData>
            </a:graphic>
          </wp:anchor>
        </w:drawing>
      </w:r>
    </w:p>
    <w:p>
      <w:pPr>
        <w:spacing w:after="0" w:line="142" w:lineRule="exact"/>
        <w:rPr>
          <w:sz w:val="20"/>
          <w:szCs w:val="20"/>
          <w:color w:val="auto"/>
        </w:rPr>
      </w:pPr>
    </w:p>
    <w:p>
      <w:pPr>
        <w:ind w:left="1140" w:hanging="383"/>
        <w:spacing w:after="0"/>
        <w:tabs>
          <w:tab w:leader="none" w:pos="11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effected at respective statutory rates.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w:t>
      </w:r>
    </w:p>
    <w:p>
      <w:pPr>
        <w:spacing w:after="0" w:line="202" w:lineRule="exact"/>
        <w:rPr>
          <w:sz w:val="20"/>
          <w:szCs w:val="20"/>
          <w:color w:val="auto"/>
        </w:rPr>
      </w:pPr>
    </w:p>
    <w:p>
      <w:pPr>
        <w:ind w:right="20" w:firstLine="469"/>
        <w:spacing w:after="0" w:line="241" w:lineRule="auto"/>
        <w:rPr>
          <w:sz w:val="20"/>
          <w:szCs w:val="20"/>
          <w:color w:val="auto"/>
        </w:rPr>
      </w:pPr>
      <w:r>
        <w:rPr>
          <w:rFonts w:ascii="Times New Roman" w:cs="Times New Roman" w:eastAsia="Times New Roman" w:hAnsi="Times New Roman"/>
          <w:sz w:val="18"/>
          <w:szCs w:val="18"/>
          <w:color w:val="auto"/>
        </w:rPr>
        <w:t xml:space="preserve">The principal component of our earnings is net interest income, which is the difference between the interest and fees earned on loans and investments (interest-earning assets) and the interest paid on deposits and borrowed funds (interest-bearing liabilities). Net interest margin is net interest income as a percentage of average interest-earning assets for the period. The level of interest rates and the volume and mix of interest-earning assets and interest-bearing liabilities impact net interest income and net interest margin. The net interest spread is the yield on average interest-earning assets minus the cost of average interest-bearing liabilities. Net interest margin and net interest spread are included on a tax equivalent (TE) basis by adjusting interest income utilizing the federal statutory tax rates of 21% in effect for the three and nine months ended September 30, 2022 and 2021. Our net interest income, interest spread, and net interest margin are sensitive to general business and economic conditions. These conditions include short-term and long-term interest rates, inflation, monetary supply, and the strength of the international, national and state economies, in general, and more specifically, the local economies in which we conduct business. Our ability to manage net interest income during changing interest rate environments will have a significant impact on our overall performance. We manage net interest income through affecting changes in the mix of interest-earning assets as well as the mix of interest-bearing liabilities, changes in the level of interest-bearing liabilities in proportion to interest-earning assets, and in the growth and maturity of earning assets. See Item 2 – </w:t>
      </w:r>
      <w:r>
        <w:rPr>
          <w:rFonts w:ascii="Times New Roman" w:cs="Times New Roman" w:eastAsia="Times New Roman" w:hAnsi="Times New Roman"/>
          <w:sz w:val="18"/>
          <w:szCs w:val="18"/>
          <w:i w:val="1"/>
          <w:iCs w:val="1"/>
          <w:color w:val="auto"/>
        </w:rPr>
        <w:t>Management’s Discussion and Analysis of Financial Condition and Results of Operations – Asset/Liability and Market Risk Management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Interest Rate Sensitivity Management </w:t>
      </w:r>
      <w:r>
        <w:rPr>
          <w:rFonts w:ascii="Times New Roman" w:cs="Times New Roman" w:eastAsia="Times New Roman" w:hAnsi="Times New Roman"/>
          <w:sz w:val="18"/>
          <w:szCs w:val="18"/>
          <w:color w:val="auto"/>
        </w:rPr>
        <w:t>included herein.</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36" w:right="319" w:bottom="1440" w:gutter="0" w:footer="0" w:header="0"/>
        </w:sectPr>
      </w:pPr>
    </w:p>
    <w:bookmarkStart w:id="45" w:name="page46"/>
    <w:bookmarkEnd w:id="45"/>
    <w:p>
      <w:pPr>
        <w:ind w:right="400" w:firstLine="464"/>
        <w:spacing w:after="0" w:line="258" w:lineRule="auto"/>
        <w:rPr>
          <w:sz w:val="20"/>
          <w:szCs w:val="20"/>
          <w:color w:val="auto"/>
        </w:rPr>
      </w:pPr>
      <w:r>
        <w:rPr>
          <w:rFonts w:ascii="Times New Roman" w:cs="Times New Roman" w:eastAsia="Times New Roman" w:hAnsi="Times New Roman"/>
          <w:sz w:val="18"/>
          <w:szCs w:val="18"/>
          <w:color w:val="auto"/>
        </w:rPr>
        <w:t>The tables below present the interest rate spread, net interest margin and the composition of average interest-earning assets and average interest-bearing liabilities by category for the periods indicated, including the changes in average balance, composition, and average yield/rate between these respective periods.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ind w:right="168"/>
              <w:spacing w:after="0" w:line="15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Yield/</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148"/>
              <w:spacing w:after="0" w:line="15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Yield/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6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gridSpan w:val="4"/>
          </w:tcPr>
          <w:p>
            <w:pPr>
              <w:jc w:val="right"/>
              <w:ind w:right="388"/>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INTEREST-EARNING ASSETS</w:t>
            </w: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Investment securities (1)</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Taxable</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3,550,602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18,371</w:t>
            </w: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2.08 %</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2,912,382</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9,630</w:t>
            </w:r>
          </w:p>
        </w:tc>
        <w:tc>
          <w:tcPr>
            <w:tcW w:w="1160" w:type="dxa"/>
            <w:vAlign w:val="bottom"/>
            <w:gridSpan w:val="3"/>
          </w:tcPr>
          <w:p>
            <w:pPr>
              <w:ind w:left="780"/>
              <w:spacing w:after="0"/>
              <w:rPr>
                <w:sz w:val="20"/>
                <w:szCs w:val="20"/>
                <w:color w:val="auto"/>
              </w:rPr>
            </w:pPr>
            <w:r>
              <w:rPr>
                <w:rFonts w:ascii="Times New Roman" w:cs="Times New Roman" w:eastAsia="Times New Roman" w:hAnsi="Times New Roman"/>
                <w:sz w:val="14"/>
                <w:szCs w:val="14"/>
                <w:color w:val="auto"/>
                <w:w w:val="90"/>
              </w:rPr>
              <w:t>1.34 %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Tax-advantaged</w:t>
            </w: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26,047</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3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3.16 %</w:t>
            </w: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29,873</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160" w:type="dxa"/>
            <w:vAlign w:val="bottom"/>
            <w:gridSpan w:val="3"/>
            <w:shd w:val="clear" w:color="auto" w:fill="CFF0FC"/>
          </w:tcPr>
          <w:p>
            <w:pPr>
              <w:ind w:left="780"/>
              <w:spacing w:after="0"/>
              <w:rPr>
                <w:sz w:val="20"/>
                <w:szCs w:val="20"/>
                <w:color w:val="auto"/>
              </w:rPr>
            </w:pPr>
            <w:r>
              <w:rPr>
                <w:rFonts w:ascii="Times New Roman" w:cs="Times New Roman" w:eastAsia="Times New Roman" w:hAnsi="Times New Roman"/>
                <w:sz w:val="14"/>
                <w:szCs w:val="14"/>
                <w:color w:val="auto"/>
                <w:w w:val="90"/>
              </w:rPr>
              <w:t>2.95 %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Taxable</w:t>
            </w: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2,136,750</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10,845</w:t>
            </w:r>
          </w:p>
        </w:tc>
        <w:tc>
          <w:tcPr>
            <w:tcW w:w="13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2.04 %</w:t>
            </w: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970,696</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4,099</w:t>
            </w:r>
          </w:p>
        </w:tc>
        <w:tc>
          <w:tcPr>
            <w:tcW w:w="1160" w:type="dxa"/>
            <w:vAlign w:val="bottom"/>
            <w:gridSpan w:val="3"/>
            <w:shd w:val="clear" w:color="auto" w:fill="CFF0FC"/>
          </w:tcPr>
          <w:p>
            <w:pPr>
              <w:ind w:left="780"/>
              <w:spacing w:after="0"/>
              <w:rPr>
                <w:sz w:val="20"/>
                <w:szCs w:val="20"/>
                <w:color w:val="auto"/>
              </w:rPr>
            </w:pPr>
            <w:r>
              <w:rPr>
                <w:rFonts w:ascii="Times New Roman" w:cs="Times New Roman" w:eastAsia="Times New Roman" w:hAnsi="Times New Roman"/>
                <w:sz w:val="14"/>
                <w:szCs w:val="14"/>
                <w:color w:val="auto"/>
                <w:w w:val="90"/>
              </w:rPr>
              <w:t>1.90 %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Tax-advantaged</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320,297</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w:t>
            </w: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3.05 %</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199,196</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w:t>
            </w:r>
          </w:p>
        </w:tc>
        <w:tc>
          <w:tcPr>
            <w:tcW w:w="1160" w:type="dxa"/>
            <w:vAlign w:val="bottom"/>
            <w:gridSpan w:val="3"/>
          </w:tcPr>
          <w:p>
            <w:pPr>
              <w:ind w:left="780"/>
              <w:spacing w:after="0"/>
              <w:rPr>
                <w:sz w:val="20"/>
                <w:szCs w:val="20"/>
                <w:color w:val="auto"/>
              </w:rPr>
            </w:pPr>
            <w:r>
              <w:rPr>
                <w:rFonts w:ascii="Times New Roman" w:cs="Times New Roman" w:eastAsia="Times New Roman" w:hAnsi="Times New Roman"/>
                <w:sz w:val="14"/>
                <w:szCs w:val="14"/>
                <w:color w:val="auto"/>
                <w:w w:val="90"/>
              </w:rPr>
              <w:t>2.64 %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Investment in FHLB stock</w:t>
            </w: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18,012</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3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5.68 %</w:t>
            </w: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17,688</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160" w:type="dxa"/>
            <w:vAlign w:val="bottom"/>
            <w:gridSpan w:val="3"/>
            <w:shd w:val="clear" w:color="auto" w:fill="CFF0FC"/>
          </w:tcPr>
          <w:p>
            <w:pPr>
              <w:ind w:left="780"/>
              <w:spacing w:after="0"/>
              <w:rPr>
                <w:sz w:val="20"/>
                <w:szCs w:val="20"/>
                <w:color w:val="auto"/>
              </w:rPr>
            </w:pPr>
            <w:r>
              <w:rPr>
                <w:rFonts w:ascii="Times New Roman" w:cs="Times New Roman" w:eastAsia="Times New Roman" w:hAnsi="Times New Roman"/>
                <w:sz w:val="14"/>
                <w:szCs w:val="14"/>
                <w:color w:val="auto"/>
                <w:w w:val="90"/>
              </w:rPr>
              <w:t>5.79 %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Interest-earning deposits with other institutions</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633,152</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3,476</w:t>
            </w: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2.18 %</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2,356,121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160" w:type="dxa"/>
            <w:vAlign w:val="bottom"/>
            <w:gridSpan w:val="3"/>
          </w:tcPr>
          <w:p>
            <w:pPr>
              <w:ind w:left="780"/>
              <w:spacing w:after="0"/>
              <w:rPr>
                <w:sz w:val="20"/>
                <w:szCs w:val="20"/>
                <w:color w:val="auto"/>
              </w:rPr>
            </w:pPr>
            <w:r>
              <w:rPr>
                <w:rFonts w:ascii="Times New Roman" w:cs="Times New Roman" w:eastAsia="Times New Roman" w:hAnsi="Times New Roman"/>
                <w:sz w:val="14"/>
                <w:szCs w:val="14"/>
                <w:color w:val="auto"/>
                <w:w w:val="90"/>
              </w:rPr>
              <w:t>0.15 %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Loans (2)</w:t>
            </w:r>
          </w:p>
        </w:tc>
        <w:tc>
          <w:tcPr>
            <w:tcW w:w="16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8,699,303</w:t>
            </w:r>
          </w:p>
        </w:tc>
        <w:tc>
          <w:tcPr>
            <w:tcW w:w="2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100,077</w:t>
            </w:r>
          </w:p>
        </w:tc>
        <w:tc>
          <w:tcPr>
            <w:tcW w:w="130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4.56 %</w:t>
            </w:r>
          </w:p>
        </w:tc>
        <w:tc>
          <w:tcPr>
            <w:tcW w:w="16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7,916,443</w:t>
            </w: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88,390</w:t>
            </w:r>
          </w:p>
        </w:tc>
        <w:tc>
          <w:tcPr>
            <w:tcW w:w="1160" w:type="dxa"/>
            <w:vAlign w:val="bottom"/>
            <w:tcBorders>
              <w:bottom w:val="single" w:sz="8" w:color="CFF0FC"/>
            </w:tcBorders>
            <w:gridSpan w:val="3"/>
            <w:shd w:val="clear" w:color="auto" w:fill="CFF0FC"/>
          </w:tcPr>
          <w:p>
            <w:pPr>
              <w:ind w:left="780"/>
              <w:spacing w:after="0"/>
              <w:rPr>
                <w:sz w:val="20"/>
                <w:szCs w:val="20"/>
                <w:color w:val="auto"/>
              </w:rPr>
            </w:pPr>
            <w:r>
              <w:rPr>
                <w:rFonts w:ascii="Times New Roman" w:cs="Times New Roman" w:eastAsia="Times New Roman" w:hAnsi="Times New Roman"/>
                <w:sz w:val="14"/>
                <w:szCs w:val="14"/>
                <w:color w:val="auto"/>
                <w:w w:val="90"/>
              </w:rPr>
              <w:t>4.43 %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15,384,163</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135,188</w:t>
            </w: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3.51 %</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14,402,399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104,547</w:t>
            </w:r>
          </w:p>
        </w:tc>
        <w:tc>
          <w:tcPr>
            <w:tcW w:w="1160" w:type="dxa"/>
            <w:vAlign w:val="bottom"/>
            <w:gridSpan w:val="3"/>
          </w:tcPr>
          <w:p>
            <w:pPr>
              <w:ind w:left="780"/>
              <w:spacing w:after="0"/>
              <w:rPr>
                <w:sz w:val="20"/>
                <w:szCs w:val="20"/>
                <w:color w:val="auto"/>
              </w:rPr>
            </w:pPr>
            <w:r>
              <w:rPr>
                <w:rFonts w:ascii="Times New Roman" w:cs="Times New Roman" w:eastAsia="Times New Roman" w:hAnsi="Times New Roman"/>
                <w:sz w:val="14"/>
                <w:szCs w:val="14"/>
                <w:color w:val="auto"/>
                <w:w w:val="90"/>
              </w:rPr>
              <w:t>2.92 %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Total noninterest-earning assets</w:t>
            </w:r>
          </w:p>
        </w:tc>
        <w:tc>
          <w:tcPr>
            <w:tcW w:w="16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1,487,725</w:t>
            </w:r>
          </w:p>
        </w:tc>
        <w:tc>
          <w:tcPr>
            <w:tcW w:w="2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1,270,862</w:t>
            </w: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4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16,871,888</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15,673,261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Savings deposits (3)</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4,849,177</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1,725</w:t>
            </w: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0.14 %</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4,349,441</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1160" w:type="dxa"/>
            <w:vAlign w:val="bottom"/>
            <w:gridSpan w:val="3"/>
          </w:tcPr>
          <w:p>
            <w:pPr>
              <w:ind w:left="780"/>
              <w:spacing w:after="0"/>
              <w:rPr>
                <w:sz w:val="20"/>
                <w:szCs w:val="20"/>
                <w:color w:val="auto"/>
              </w:rPr>
            </w:pPr>
            <w:r>
              <w:rPr>
                <w:rFonts w:ascii="Times New Roman" w:cs="Times New Roman" w:eastAsia="Times New Roman" w:hAnsi="Times New Roman"/>
                <w:sz w:val="14"/>
                <w:szCs w:val="14"/>
                <w:color w:val="auto"/>
                <w:w w:val="90"/>
              </w:rPr>
              <w:t>0.09 %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Time deposits</w:t>
            </w:r>
          </w:p>
        </w:tc>
        <w:tc>
          <w:tcPr>
            <w:tcW w:w="16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357,210</w:t>
            </w:r>
          </w:p>
        </w:tc>
        <w:tc>
          <w:tcPr>
            <w:tcW w:w="2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30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0.00 %</w:t>
            </w:r>
          </w:p>
        </w:tc>
        <w:tc>
          <w:tcPr>
            <w:tcW w:w="16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355,535</w:t>
            </w: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160" w:type="dxa"/>
            <w:vAlign w:val="bottom"/>
            <w:tcBorders>
              <w:bottom w:val="single" w:sz="8" w:color="CFF0FC"/>
            </w:tcBorders>
            <w:gridSpan w:val="3"/>
            <w:shd w:val="clear" w:color="auto" w:fill="CFF0FC"/>
          </w:tcPr>
          <w:p>
            <w:pPr>
              <w:ind w:left="780"/>
              <w:spacing w:after="0"/>
              <w:rPr>
                <w:sz w:val="20"/>
                <w:szCs w:val="20"/>
                <w:color w:val="auto"/>
              </w:rPr>
            </w:pPr>
            <w:r>
              <w:rPr>
                <w:rFonts w:ascii="Times New Roman" w:cs="Times New Roman" w:eastAsia="Times New Roman" w:hAnsi="Times New Roman"/>
                <w:sz w:val="14"/>
                <w:szCs w:val="14"/>
                <w:color w:val="auto"/>
                <w:w w:val="90"/>
              </w:rPr>
              <w:t>0.16 %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5,206,387</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1,728</w:t>
            </w: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0.13 %</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4,704,976</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1160" w:type="dxa"/>
            <w:vAlign w:val="bottom"/>
            <w:gridSpan w:val="3"/>
          </w:tcPr>
          <w:p>
            <w:pPr>
              <w:ind w:left="780"/>
              <w:spacing w:after="0"/>
              <w:rPr>
                <w:sz w:val="20"/>
                <w:szCs w:val="20"/>
                <w:color w:val="auto"/>
              </w:rPr>
            </w:pPr>
            <w:r>
              <w:rPr>
                <w:rFonts w:ascii="Times New Roman" w:cs="Times New Roman" w:eastAsia="Times New Roman" w:hAnsi="Times New Roman"/>
                <w:sz w:val="14"/>
                <w:szCs w:val="14"/>
                <w:color w:val="auto"/>
                <w:w w:val="90"/>
              </w:rPr>
              <w:t>0.09 %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44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FHLB advances, other borrowings, and customer</w:t>
            </w:r>
          </w:p>
        </w:tc>
        <w:tc>
          <w:tcPr>
            <w:tcW w:w="16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515,143</w:t>
            </w: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30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0.09 %</w:t>
            </w:r>
          </w:p>
        </w:tc>
        <w:tc>
          <w:tcPr>
            <w:tcW w:w="16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636,397</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160" w:type="dxa"/>
            <w:vAlign w:val="bottom"/>
            <w:gridSpan w:val="3"/>
            <w:vMerge w:val="restart"/>
            <w:shd w:val="clear" w:color="auto" w:fill="CFF0FC"/>
          </w:tcPr>
          <w:p>
            <w:pPr>
              <w:ind w:left="780"/>
              <w:spacing w:after="0"/>
              <w:rPr>
                <w:sz w:val="20"/>
                <w:szCs w:val="20"/>
                <w:color w:val="auto"/>
              </w:rPr>
            </w:pPr>
            <w:r>
              <w:rPr>
                <w:rFonts w:ascii="Times New Roman" w:cs="Times New Roman" w:eastAsia="Times New Roman" w:hAnsi="Times New Roman"/>
                <w:sz w:val="14"/>
                <w:szCs w:val="14"/>
                <w:color w:val="auto"/>
                <w:w w:val="90"/>
              </w:rPr>
              <w:t>0.08 %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repurchase agreements</w:t>
            </w:r>
          </w:p>
        </w:tc>
        <w:tc>
          <w:tcPr>
            <w:tcW w:w="16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vMerge w:val="continue"/>
            <w:shd w:val="clear" w:color="auto" w:fill="CFF0FC"/>
          </w:tcPr>
          <w:p>
            <w:pPr>
              <w:spacing w:after="0"/>
              <w:rPr>
                <w:sz w:val="14"/>
                <w:szCs w:val="14"/>
                <w:color w:val="auto"/>
              </w:rPr>
            </w:pPr>
          </w:p>
        </w:tc>
        <w:tc>
          <w:tcPr>
            <w:tcW w:w="1300" w:type="dxa"/>
            <w:vAlign w:val="bottom"/>
            <w:tcBorders>
              <w:bottom w:val="single" w:sz="8" w:color="CFF0FC"/>
            </w:tcBorders>
            <w:gridSpan w:val="3"/>
            <w:vMerge w:val="continue"/>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1160" w:type="dxa"/>
            <w:vAlign w:val="bottom"/>
            <w:tcBorders>
              <w:bottom w:val="single" w:sz="8" w:color="CFF0FC"/>
            </w:tcBorders>
            <w:gridSpan w:val="3"/>
            <w:vMerge w:val="continue"/>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5,721,530</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1,850</w:t>
            </w: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0.13 %</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5,341,373</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1180" w:type="dxa"/>
            <w:vAlign w:val="bottom"/>
            <w:gridSpan w:val="4"/>
          </w:tcPr>
          <w:p>
            <w:pPr>
              <w:ind w:left="780"/>
              <w:spacing w:after="0"/>
              <w:rPr>
                <w:sz w:val="20"/>
                <w:szCs w:val="20"/>
                <w:color w:val="auto"/>
              </w:rPr>
            </w:pPr>
            <w:r>
              <w:rPr>
                <w:rFonts w:ascii="Times New Roman" w:cs="Times New Roman" w:eastAsia="Times New Roman" w:hAnsi="Times New Roman"/>
                <w:sz w:val="14"/>
                <w:szCs w:val="14"/>
                <w:color w:val="auto"/>
                <w:w w:val="95"/>
              </w:rPr>
              <w:t>0.09 %</w:t>
            </w:r>
          </w:p>
        </w:tc>
        <w:tc>
          <w:tcPr>
            <w:tcW w:w="0" w:type="dxa"/>
            <w:vAlign w:val="bottom"/>
          </w:tcPr>
          <w:p>
            <w:pPr>
              <w:spacing w:after="0"/>
              <w:rPr>
                <w:sz w:val="1"/>
                <w:szCs w:val="1"/>
                <w:color w:val="auto"/>
              </w:rPr>
            </w:pPr>
          </w:p>
        </w:tc>
      </w:tr>
      <w:tr>
        <w:trPr>
          <w:trHeight w:val="169"/>
        </w:trPr>
        <w:tc>
          <w:tcPr>
            <w:tcW w:w="4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9,009,962</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7,991,462</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124,198</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260,188</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Stockholders' equity</w:t>
            </w:r>
          </w:p>
        </w:tc>
        <w:tc>
          <w:tcPr>
            <w:tcW w:w="16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2,016,198</w:t>
            </w:r>
          </w:p>
        </w:tc>
        <w:tc>
          <w:tcPr>
            <w:tcW w:w="2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2,080,238</w:t>
            </w: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4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16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16,871,888</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15,673,261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440" w:type="dxa"/>
            <w:vAlign w:val="bottom"/>
            <w:tcBorders>
              <w:bottom w:val="single" w:sz="8" w:color="CFF0FC"/>
            </w:tcBorders>
            <w:shd w:val="clear" w:color="auto" w:fill="CFF0FC"/>
          </w:tcPr>
          <w:p>
            <w:pPr>
              <w:ind w:left="200"/>
              <w:spacing w:after="0" w:line="155" w:lineRule="exact"/>
              <w:rPr>
                <w:sz w:val="20"/>
                <w:szCs w:val="20"/>
                <w:color w:val="auto"/>
              </w:rPr>
            </w:pPr>
            <w:r>
              <w:rPr>
                <w:rFonts w:ascii="Times New Roman" w:cs="Times New Roman" w:eastAsia="Times New Roman" w:hAnsi="Times New Roman"/>
                <w:sz w:val="14"/>
                <w:szCs w:val="14"/>
                <w:color w:val="auto"/>
              </w:rPr>
              <w:t>Net interest income</w:t>
            </w:r>
          </w:p>
        </w:tc>
        <w:tc>
          <w:tcPr>
            <w:tcW w:w="16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133,338</w:t>
            </w:r>
          </w:p>
        </w:tc>
        <w:tc>
          <w:tcPr>
            <w:tcW w:w="2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103,299</w:t>
            </w: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2"/>
        </w:trPr>
        <w:tc>
          <w:tcPr>
            <w:tcW w:w="4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interest spread - tax equivalent</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3.38 %</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gridSpan w:val="4"/>
          </w:tcPr>
          <w:p>
            <w:pPr>
              <w:ind w:left="780"/>
              <w:spacing w:after="0"/>
              <w:rPr>
                <w:sz w:val="20"/>
                <w:szCs w:val="20"/>
                <w:color w:val="auto"/>
              </w:rPr>
            </w:pPr>
            <w:r>
              <w:rPr>
                <w:rFonts w:ascii="Times New Roman" w:cs="Times New Roman" w:eastAsia="Times New Roman" w:hAnsi="Times New Roman"/>
                <w:sz w:val="14"/>
                <w:szCs w:val="14"/>
                <w:color w:val="auto"/>
                <w:w w:val="95"/>
              </w:rPr>
              <w:t>2.83 %</w:t>
            </w:r>
          </w:p>
        </w:tc>
        <w:tc>
          <w:tcPr>
            <w:tcW w:w="0" w:type="dxa"/>
            <w:vAlign w:val="bottom"/>
          </w:tcPr>
          <w:p>
            <w:pPr>
              <w:spacing w:after="0"/>
              <w:rPr>
                <w:sz w:val="1"/>
                <w:szCs w:val="1"/>
                <w:color w:val="auto"/>
              </w:rPr>
            </w:pPr>
          </w:p>
        </w:tc>
      </w:tr>
      <w:tr>
        <w:trPr>
          <w:trHeight w:val="175"/>
        </w:trPr>
        <w:tc>
          <w:tcPr>
            <w:tcW w:w="44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Net interest margin</w:t>
            </w: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3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3.45 %</w:t>
            </w: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ind w:left="780"/>
              <w:spacing w:after="0"/>
              <w:rPr>
                <w:sz w:val="20"/>
                <w:szCs w:val="20"/>
                <w:color w:val="auto"/>
              </w:rPr>
            </w:pPr>
            <w:r>
              <w:rPr>
                <w:rFonts w:ascii="Times New Roman" w:cs="Times New Roman" w:eastAsia="Times New Roman" w:hAnsi="Times New Roman"/>
                <w:sz w:val="14"/>
                <w:szCs w:val="14"/>
                <w:color w:val="auto"/>
                <w:w w:val="90"/>
              </w:rPr>
              <w:t>2.88 %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interest margin - tax equivalent</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3.46 %</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gridSpan w:val="3"/>
          </w:tcPr>
          <w:p>
            <w:pPr>
              <w:ind w:left="780"/>
              <w:spacing w:after="0"/>
              <w:rPr>
                <w:sz w:val="20"/>
                <w:szCs w:val="20"/>
                <w:color w:val="auto"/>
              </w:rPr>
            </w:pPr>
            <w:r>
              <w:rPr>
                <w:rFonts w:ascii="Times New Roman" w:cs="Times New Roman" w:eastAsia="Times New Roman" w:hAnsi="Times New Roman"/>
                <w:sz w:val="14"/>
                <w:szCs w:val="14"/>
                <w:color w:val="auto"/>
                <w:w w:val="90"/>
              </w:rPr>
              <w:t>2.89 %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-2450465</wp:posOffset>
            </wp:positionV>
            <wp:extent cx="76835" cy="12001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-2450465</wp:posOffset>
            </wp:positionV>
            <wp:extent cx="76835" cy="12001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-2450465</wp:posOffset>
            </wp:positionV>
            <wp:extent cx="68580" cy="12001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-2450465</wp:posOffset>
            </wp:positionV>
            <wp:extent cx="68580" cy="12001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-2219325</wp:posOffset>
            </wp:positionV>
            <wp:extent cx="76835" cy="25717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-2219325</wp:posOffset>
            </wp:positionV>
            <wp:extent cx="68580" cy="25717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-1627505</wp:posOffset>
            </wp:positionV>
            <wp:extent cx="76835" cy="12001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-1627505</wp:posOffset>
            </wp:positionV>
            <wp:extent cx="76835" cy="12001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-1627505</wp:posOffset>
            </wp:positionV>
            <wp:extent cx="68580" cy="12001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-1627505</wp:posOffset>
            </wp:positionV>
            <wp:extent cx="68580" cy="12001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-1310640</wp:posOffset>
            </wp:positionV>
            <wp:extent cx="76835" cy="12890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-1310640</wp:posOffset>
            </wp:positionV>
            <wp:extent cx="76835" cy="12890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-1310640</wp:posOffset>
            </wp:positionV>
            <wp:extent cx="68580" cy="12890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-1310640</wp:posOffset>
            </wp:positionV>
            <wp:extent cx="68580" cy="12890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-847725</wp:posOffset>
            </wp:positionV>
            <wp:extent cx="76835" cy="25717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-847725</wp:posOffset>
            </wp:positionV>
            <wp:extent cx="68580" cy="25717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-478790</wp:posOffset>
            </wp:positionV>
            <wp:extent cx="2245995" cy="24892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245995" cy="248920"/>
                    </a:xfrm>
                    <a:prstGeom prst="rect">
                      <a:avLst/>
                    </a:prstGeom>
                    <a:noFill/>
                  </pic:spPr>
                </pic:pic>
              </a:graphicData>
            </a:graphic>
          </wp:anchor>
        </w:drawing>
      </w:r>
    </w:p>
    <w:p>
      <w:pPr>
        <w:spacing w:after="0" w:line="147" w:lineRule="exact"/>
        <w:rPr>
          <w:sz w:val="20"/>
          <w:szCs w:val="20"/>
          <w:color w:val="auto"/>
        </w:rPr>
      </w:pPr>
    </w:p>
    <w:p>
      <w:pPr>
        <w:ind w:left="1040" w:right="380" w:hanging="470"/>
        <w:spacing w:after="0" w:line="253" w:lineRule="auto"/>
        <w:tabs>
          <w:tab w:leader="none" w:pos="10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tax equivalent (TE) adjustments utilizing federal statutory rates of 21% in effect for the three months ended September 30, 2022 and 2021. The non TE rates were 2.09% and 1.52% for the three months ended September 30, 2022 and 2021, respectively.</w:t>
      </w:r>
    </w:p>
    <w:p>
      <w:pPr>
        <w:ind w:left="1040" w:right="300" w:hanging="462"/>
        <w:spacing w:after="0" w:line="251" w:lineRule="auto"/>
        <w:tabs>
          <w:tab w:leader="none" w:pos="10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loan fees of $1.7 million and $7.5 million for the three months ended September 30, 2022 and 2021, respectively. Prepayment penalty fees of $1.7 million and $2.0 million are included in interest income for the three months ended September 30, 2022 and 2021, respectively.</w:t>
      </w:r>
    </w:p>
    <w:p>
      <w:pPr>
        <w:ind w:left="1040" w:hanging="470"/>
        <w:spacing w:after="0"/>
        <w:tabs>
          <w:tab w:leader="none" w:pos="10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interest-bearing demand and money market accounts.</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87"/>
        </w:trPr>
        <w:tc>
          <w:tcPr>
            <w:tcW w:w="4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ind w:right="168"/>
              <w:spacing w:after="0" w:line="15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Yield/</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148"/>
              <w:spacing w:after="0" w:line="15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Yield/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6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gridSpan w:val="4"/>
          </w:tcPr>
          <w:p>
            <w:pPr>
              <w:jc w:val="right"/>
              <w:ind w:right="388"/>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INTEREST-EARNING ASSETS</w:t>
            </w: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Investment securities (1)</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Taxable</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3,592,033</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47,883</w:t>
            </w: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1.81 %</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2,757,685</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27,824</w:t>
            </w:r>
          </w:p>
        </w:tc>
        <w:tc>
          <w:tcPr>
            <w:tcW w:w="1160" w:type="dxa"/>
            <w:vAlign w:val="bottom"/>
            <w:gridSpan w:val="3"/>
          </w:tcPr>
          <w:p>
            <w:pPr>
              <w:ind w:left="780"/>
              <w:spacing w:after="0"/>
              <w:rPr>
                <w:sz w:val="20"/>
                <w:szCs w:val="20"/>
                <w:color w:val="auto"/>
              </w:rPr>
            </w:pPr>
            <w:r>
              <w:rPr>
                <w:rFonts w:ascii="Times New Roman" w:cs="Times New Roman" w:eastAsia="Times New Roman" w:hAnsi="Times New Roman"/>
                <w:sz w:val="14"/>
                <w:szCs w:val="14"/>
                <w:color w:val="auto"/>
                <w:w w:val="90"/>
              </w:rPr>
              <w:t>1.38 %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Tax-advantaged</w:t>
            </w: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27,950</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3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3.05 %</w:t>
            </w: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29,932</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160" w:type="dxa"/>
            <w:vAlign w:val="bottom"/>
            <w:gridSpan w:val="3"/>
            <w:shd w:val="clear" w:color="auto" w:fill="CFF0FC"/>
          </w:tcPr>
          <w:p>
            <w:pPr>
              <w:ind w:left="780"/>
              <w:spacing w:after="0"/>
              <w:rPr>
                <w:sz w:val="20"/>
                <w:szCs w:val="20"/>
                <w:color w:val="auto"/>
              </w:rPr>
            </w:pPr>
            <w:r>
              <w:rPr>
                <w:rFonts w:ascii="Times New Roman" w:cs="Times New Roman" w:eastAsia="Times New Roman" w:hAnsi="Times New Roman"/>
                <w:sz w:val="14"/>
                <w:szCs w:val="14"/>
                <w:color w:val="auto"/>
                <w:w w:val="90"/>
              </w:rPr>
              <w:t>2.98 %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Taxable</w:t>
            </w: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2,059,798</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29,927</w:t>
            </w:r>
          </w:p>
        </w:tc>
        <w:tc>
          <w:tcPr>
            <w:tcW w:w="13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1.95 %</w:t>
            </w: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804,869</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10,917</w:t>
            </w:r>
          </w:p>
        </w:tc>
        <w:tc>
          <w:tcPr>
            <w:tcW w:w="1160" w:type="dxa"/>
            <w:vAlign w:val="bottom"/>
            <w:gridSpan w:val="3"/>
            <w:shd w:val="clear" w:color="auto" w:fill="CFF0FC"/>
          </w:tcPr>
          <w:p>
            <w:pPr>
              <w:ind w:left="780"/>
              <w:spacing w:after="0"/>
              <w:rPr>
                <w:sz w:val="20"/>
                <w:szCs w:val="20"/>
                <w:color w:val="auto"/>
              </w:rPr>
            </w:pPr>
            <w:r>
              <w:rPr>
                <w:rFonts w:ascii="Times New Roman" w:cs="Times New Roman" w:eastAsia="Times New Roman" w:hAnsi="Times New Roman"/>
                <w:sz w:val="14"/>
                <w:szCs w:val="14"/>
                <w:color w:val="auto"/>
                <w:w w:val="90"/>
              </w:rPr>
              <w:t>1.90 %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Tax-advantaged</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292,552</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5,284</w:t>
            </w: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2.94 %</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200,744</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3,341</w:t>
            </w:r>
          </w:p>
        </w:tc>
        <w:tc>
          <w:tcPr>
            <w:tcW w:w="1160" w:type="dxa"/>
            <w:vAlign w:val="bottom"/>
            <w:gridSpan w:val="3"/>
          </w:tcPr>
          <w:p>
            <w:pPr>
              <w:ind w:left="780"/>
              <w:spacing w:after="0"/>
              <w:rPr>
                <w:sz w:val="20"/>
                <w:szCs w:val="20"/>
                <w:color w:val="auto"/>
              </w:rPr>
            </w:pPr>
            <w:r>
              <w:rPr>
                <w:rFonts w:ascii="Times New Roman" w:cs="Times New Roman" w:eastAsia="Times New Roman" w:hAnsi="Times New Roman"/>
                <w:sz w:val="14"/>
                <w:szCs w:val="14"/>
                <w:color w:val="auto"/>
                <w:w w:val="90"/>
              </w:rPr>
              <w:t>2.68 %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Investment in FHLB stock</w:t>
            </w: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18,315</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13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6.58 %</w:t>
            </w: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17,688</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1160" w:type="dxa"/>
            <w:vAlign w:val="bottom"/>
            <w:gridSpan w:val="3"/>
            <w:shd w:val="clear" w:color="auto" w:fill="CFF0FC"/>
          </w:tcPr>
          <w:p>
            <w:pPr>
              <w:ind w:left="780"/>
              <w:spacing w:after="0"/>
              <w:rPr>
                <w:sz w:val="20"/>
                <w:szCs w:val="20"/>
                <w:color w:val="auto"/>
              </w:rPr>
            </w:pPr>
            <w:r>
              <w:rPr>
                <w:rFonts w:ascii="Times New Roman" w:cs="Times New Roman" w:eastAsia="Times New Roman" w:hAnsi="Times New Roman"/>
                <w:sz w:val="14"/>
                <w:szCs w:val="14"/>
                <w:color w:val="auto"/>
                <w:w w:val="90"/>
              </w:rPr>
              <w:t>5.73 %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Interest-earning deposits with other institutions</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1,030,806</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5,712</w:t>
            </w: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0.74 %</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1,922,234</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1,790</w:t>
            </w:r>
          </w:p>
        </w:tc>
        <w:tc>
          <w:tcPr>
            <w:tcW w:w="1160" w:type="dxa"/>
            <w:vAlign w:val="bottom"/>
            <w:gridSpan w:val="3"/>
          </w:tcPr>
          <w:p>
            <w:pPr>
              <w:ind w:left="780"/>
              <w:spacing w:after="0"/>
              <w:rPr>
                <w:sz w:val="20"/>
                <w:szCs w:val="20"/>
                <w:color w:val="auto"/>
              </w:rPr>
            </w:pPr>
            <w:r>
              <w:rPr>
                <w:rFonts w:ascii="Times New Roman" w:cs="Times New Roman" w:eastAsia="Times New Roman" w:hAnsi="Times New Roman"/>
                <w:sz w:val="14"/>
                <w:szCs w:val="14"/>
                <w:color w:val="auto"/>
                <w:w w:val="90"/>
              </w:rPr>
              <w:t>0.12 %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Loans (2)</w:t>
            </w:r>
          </w:p>
        </w:tc>
        <w:tc>
          <w:tcPr>
            <w:tcW w:w="16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8,612,166</w:t>
            </w:r>
          </w:p>
        </w:tc>
        <w:tc>
          <w:tcPr>
            <w:tcW w:w="2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282,308</w:t>
            </w:r>
          </w:p>
        </w:tc>
        <w:tc>
          <w:tcPr>
            <w:tcW w:w="130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4.38 %</w:t>
            </w:r>
          </w:p>
        </w:tc>
        <w:tc>
          <w:tcPr>
            <w:tcW w:w="16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8,144,105</w:t>
            </w: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271,911</w:t>
            </w:r>
          </w:p>
        </w:tc>
        <w:tc>
          <w:tcPr>
            <w:tcW w:w="1160" w:type="dxa"/>
            <w:vAlign w:val="bottom"/>
            <w:tcBorders>
              <w:bottom w:val="single" w:sz="8" w:color="CFF0FC"/>
            </w:tcBorders>
            <w:gridSpan w:val="3"/>
            <w:shd w:val="clear" w:color="auto" w:fill="CFF0FC"/>
          </w:tcPr>
          <w:p>
            <w:pPr>
              <w:ind w:left="780"/>
              <w:spacing w:after="0"/>
              <w:rPr>
                <w:sz w:val="20"/>
                <w:szCs w:val="20"/>
                <w:color w:val="auto"/>
              </w:rPr>
            </w:pPr>
            <w:r>
              <w:rPr>
                <w:rFonts w:ascii="Times New Roman" w:cs="Times New Roman" w:eastAsia="Times New Roman" w:hAnsi="Times New Roman"/>
                <w:sz w:val="14"/>
                <w:szCs w:val="14"/>
                <w:color w:val="auto"/>
                <w:w w:val="90"/>
              </w:rPr>
              <w:t>4.46 %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15,633,620</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372,550</w:t>
            </w: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3.21 %</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13,877,257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317,099</w:t>
            </w:r>
          </w:p>
        </w:tc>
        <w:tc>
          <w:tcPr>
            <w:tcW w:w="1160" w:type="dxa"/>
            <w:vAlign w:val="bottom"/>
            <w:gridSpan w:val="3"/>
          </w:tcPr>
          <w:p>
            <w:pPr>
              <w:ind w:left="780"/>
              <w:spacing w:after="0"/>
              <w:rPr>
                <w:sz w:val="20"/>
                <w:szCs w:val="20"/>
                <w:color w:val="auto"/>
              </w:rPr>
            </w:pPr>
            <w:r>
              <w:rPr>
                <w:rFonts w:ascii="Times New Roman" w:cs="Times New Roman" w:eastAsia="Times New Roman" w:hAnsi="Times New Roman"/>
                <w:sz w:val="14"/>
                <w:szCs w:val="14"/>
                <w:color w:val="auto"/>
                <w:w w:val="90"/>
              </w:rPr>
              <w:t>3.09 %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Total noninterest-earning assets</w:t>
            </w:r>
          </w:p>
        </w:tc>
        <w:tc>
          <w:tcPr>
            <w:tcW w:w="16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1,452,100</w:t>
            </w:r>
          </w:p>
        </w:tc>
        <w:tc>
          <w:tcPr>
            <w:tcW w:w="2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1,250,370</w:t>
            </w: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4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17,085,720</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15,127,627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Savings deposits (3)</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4,939,005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3,914</w:t>
            </w: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0.11 %</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4,203,684</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3,263</w:t>
            </w:r>
          </w:p>
        </w:tc>
        <w:tc>
          <w:tcPr>
            <w:tcW w:w="1160" w:type="dxa"/>
            <w:vAlign w:val="bottom"/>
            <w:gridSpan w:val="3"/>
          </w:tcPr>
          <w:p>
            <w:pPr>
              <w:ind w:left="780"/>
              <w:spacing w:after="0"/>
              <w:rPr>
                <w:sz w:val="20"/>
                <w:szCs w:val="20"/>
                <w:color w:val="auto"/>
              </w:rPr>
            </w:pPr>
            <w:r>
              <w:rPr>
                <w:rFonts w:ascii="Times New Roman" w:cs="Times New Roman" w:eastAsia="Times New Roman" w:hAnsi="Times New Roman"/>
                <w:sz w:val="14"/>
                <w:szCs w:val="14"/>
                <w:color w:val="auto"/>
                <w:w w:val="90"/>
              </w:rPr>
              <w:t>0.10 %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Time deposits</w:t>
            </w:r>
          </w:p>
        </w:tc>
        <w:tc>
          <w:tcPr>
            <w:tcW w:w="16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366,783</w:t>
            </w:r>
          </w:p>
        </w:tc>
        <w:tc>
          <w:tcPr>
            <w:tcW w:w="2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30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0.05 %</w:t>
            </w:r>
          </w:p>
        </w:tc>
        <w:tc>
          <w:tcPr>
            <w:tcW w:w="16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388,095</w:t>
            </w: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1160" w:type="dxa"/>
            <w:vAlign w:val="bottom"/>
            <w:tcBorders>
              <w:bottom w:val="single" w:sz="8" w:color="CFF0FC"/>
            </w:tcBorders>
            <w:gridSpan w:val="3"/>
            <w:shd w:val="clear" w:color="auto" w:fill="CFF0FC"/>
          </w:tcPr>
          <w:p>
            <w:pPr>
              <w:ind w:left="780"/>
              <w:spacing w:after="0"/>
              <w:rPr>
                <w:sz w:val="20"/>
                <w:szCs w:val="20"/>
                <w:color w:val="auto"/>
              </w:rPr>
            </w:pPr>
            <w:r>
              <w:rPr>
                <w:rFonts w:ascii="Times New Roman" w:cs="Times New Roman" w:eastAsia="Times New Roman" w:hAnsi="Times New Roman"/>
                <w:sz w:val="14"/>
                <w:szCs w:val="14"/>
                <w:color w:val="auto"/>
                <w:w w:val="90"/>
              </w:rPr>
              <w:t>0.37 %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5,305,788</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4,056</w:t>
            </w: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0.10 %</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4,591,779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4,350</w:t>
            </w:r>
          </w:p>
        </w:tc>
        <w:tc>
          <w:tcPr>
            <w:tcW w:w="1160" w:type="dxa"/>
            <w:vAlign w:val="bottom"/>
            <w:gridSpan w:val="3"/>
          </w:tcPr>
          <w:p>
            <w:pPr>
              <w:ind w:left="780"/>
              <w:spacing w:after="0"/>
              <w:rPr>
                <w:sz w:val="20"/>
                <w:szCs w:val="20"/>
                <w:color w:val="auto"/>
              </w:rPr>
            </w:pPr>
            <w:r>
              <w:rPr>
                <w:rFonts w:ascii="Times New Roman" w:cs="Times New Roman" w:eastAsia="Times New Roman" w:hAnsi="Times New Roman"/>
                <w:sz w:val="14"/>
                <w:szCs w:val="14"/>
                <w:color w:val="auto"/>
                <w:w w:val="90"/>
              </w:rPr>
              <w:t>0.13 %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44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FHLB advances, other borrowings, and customer</w:t>
            </w:r>
          </w:p>
        </w:tc>
        <w:tc>
          <w:tcPr>
            <w:tcW w:w="16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591,641</w:t>
            </w: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30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0.08 %</w:t>
            </w:r>
          </w:p>
        </w:tc>
        <w:tc>
          <w:tcPr>
            <w:tcW w:w="16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611,684</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160" w:type="dxa"/>
            <w:vAlign w:val="bottom"/>
            <w:gridSpan w:val="3"/>
            <w:vMerge w:val="restart"/>
            <w:shd w:val="clear" w:color="auto" w:fill="CFF0FC"/>
          </w:tcPr>
          <w:p>
            <w:pPr>
              <w:ind w:left="780"/>
              <w:spacing w:after="0"/>
              <w:rPr>
                <w:sz w:val="20"/>
                <w:szCs w:val="20"/>
                <w:color w:val="auto"/>
              </w:rPr>
            </w:pPr>
            <w:r>
              <w:rPr>
                <w:rFonts w:ascii="Times New Roman" w:cs="Times New Roman" w:eastAsia="Times New Roman" w:hAnsi="Times New Roman"/>
                <w:sz w:val="14"/>
                <w:szCs w:val="14"/>
                <w:color w:val="auto"/>
                <w:w w:val="90"/>
              </w:rPr>
              <w:t>0.13 %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repurchase agreements</w:t>
            </w:r>
          </w:p>
        </w:tc>
        <w:tc>
          <w:tcPr>
            <w:tcW w:w="16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vMerge w:val="continue"/>
            <w:shd w:val="clear" w:color="auto" w:fill="CFF0FC"/>
          </w:tcPr>
          <w:p>
            <w:pPr>
              <w:spacing w:after="0"/>
              <w:rPr>
                <w:sz w:val="14"/>
                <w:szCs w:val="14"/>
                <w:color w:val="auto"/>
              </w:rPr>
            </w:pPr>
          </w:p>
        </w:tc>
        <w:tc>
          <w:tcPr>
            <w:tcW w:w="1300" w:type="dxa"/>
            <w:vAlign w:val="bottom"/>
            <w:tcBorders>
              <w:bottom w:val="single" w:sz="8" w:color="CFF0FC"/>
            </w:tcBorders>
            <w:gridSpan w:val="3"/>
            <w:vMerge w:val="continue"/>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1160" w:type="dxa"/>
            <w:vAlign w:val="bottom"/>
            <w:tcBorders>
              <w:bottom w:val="single" w:sz="8" w:color="CFF0FC"/>
            </w:tcBorders>
            <w:gridSpan w:val="3"/>
            <w:vMerge w:val="continue"/>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5,897,429</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4,432</w:t>
            </w: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0.10 %</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5,203,463</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4,944</w:t>
            </w:r>
          </w:p>
        </w:tc>
        <w:tc>
          <w:tcPr>
            <w:tcW w:w="1180" w:type="dxa"/>
            <w:vAlign w:val="bottom"/>
            <w:gridSpan w:val="4"/>
          </w:tcPr>
          <w:p>
            <w:pPr>
              <w:ind w:left="780"/>
              <w:spacing w:after="0"/>
              <w:rPr>
                <w:sz w:val="20"/>
                <w:szCs w:val="20"/>
                <w:color w:val="auto"/>
              </w:rPr>
            </w:pPr>
            <w:r>
              <w:rPr>
                <w:rFonts w:ascii="Times New Roman" w:cs="Times New Roman" w:eastAsia="Times New Roman" w:hAnsi="Times New Roman"/>
                <w:sz w:val="14"/>
                <w:szCs w:val="14"/>
                <w:color w:val="auto"/>
                <w:w w:val="95"/>
              </w:rPr>
              <w:t>0.13 %</w:t>
            </w:r>
          </w:p>
        </w:tc>
        <w:tc>
          <w:tcPr>
            <w:tcW w:w="0" w:type="dxa"/>
            <w:vAlign w:val="bottom"/>
          </w:tcPr>
          <w:p>
            <w:pPr>
              <w:spacing w:after="0"/>
              <w:rPr>
                <w:sz w:val="1"/>
                <w:szCs w:val="1"/>
                <w:color w:val="auto"/>
              </w:rPr>
            </w:pPr>
          </w:p>
        </w:tc>
      </w:tr>
      <w:tr>
        <w:trPr>
          <w:trHeight w:val="169"/>
        </w:trPr>
        <w:tc>
          <w:tcPr>
            <w:tcW w:w="4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8,885,637</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7,646,283</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186,490</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223,749</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Stockholders' equity</w:t>
            </w:r>
          </w:p>
        </w:tc>
        <w:tc>
          <w:tcPr>
            <w:tcW w:w="16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2,116,164</w:t>
            </w:r>
          </w:p>
        </w:tc>
        <w:tc>
          <w:tcPr>
            <w:tcW w:w="2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2,054,132</w:t>
            </w: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4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16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17,085,720</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15,127,627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440" w:type="dxa"/>
            <w:vAlign w:val="bottom"/>
            <w:tcBorders>
              <w:bottom w:val="single" w:sz="8" w:color="CFF0FC"/>
            </w:tcBorders>
            <w:shd w:val="clear" w:color="auto" w:fill="CFF0FC"/>
          </w:tcPr>
          <w:p>
            <w:pPr>
              <w:ind w:left="200"/>
              <w:spacing w:after="0" w:line="155" w:lineRule="exact"/>
              <w:rPr>
                <w:sz w:val="20"/>
                <w:szCs w:val="20"/>
                <w:color w:val="auto"/>
              </w:rPr>
            </w:pPr>
            <w:r>
              <w:rPr>
                <w:rFonts w:ascii="Times New Roman" w:cs="Times New Roman" w:eastAsia="Times New Roman" w:hAnsi="Times New Roman"/>
                <w:sz w:val="14"/>
                <w:szCs w:val="14"/>
                <w:color w:val="auto"/>
              </w:rPr>
              <w:t>Net interest income</w:t>
            </w:r>
          </w:p>
        </w:tc>
        <w:tc>
          <w:tcPr>
            <w:tcW w:w="16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368,118</w:t>
            </w:r>
          </w:p>
        </w:tc>
        <w:tc>
          <w:tcPr>
            <w:tcW w:w="2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312,155</w:t>
            </w: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2"/>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spread - tax equivalent</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3.11 %</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gridSpan w:val="4"/>
          </w:tcPr>
          <w:p>
            <w:pPr>
              <w:ind w:left="780"/>
              <w:spacing w:after="0"/>
              <w:rPr>
                <w:sz w:val="20"/>
                <w:szCs w:val="20"/>
                <w:color w:val="auto"/>
              </w:rPr>
            </w:pPr>
            <w:r>
              <w:rPr>
                <w:rFonts w:ascii="Times New Roman" w:cs="Times New Roman" w:eastAsia="Times New Roman" w:hAnsi="Times New Roman"/>
                <w:sz w:val="14"/>
                <w:szCs w:val="14"/>
                <w:color w:val="auto"/>
                <w:w w:val="95"/>
              </w:rPr>
              <w:t>2.96 %</w:t>
            </w:r>
          </w:p>
        </w:tc>
        <w:tc>
          <w:tcPr>
            <w:tcW w:w="0" w:type="dxa"/>
            <w:vAlign w:val="bottom"/>
          </w:tcPr>
          <w:p>
            <w:pPr>
              <w:spacing w:after="0"/>
              <w:rPr>
                <w:sz w:val="1"/>
                <w:szCs w:val="1"/>
                <w:color w:val="auto"/>
              </w:rPr>
            </w:pPr>
          </w:p>
        </w:tc>
      </w:tr>
      <w:tr>
        <w:trPr>
          <w:trHeight w:val="175"/>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interest margin</w:t>
            </w: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3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3.16 %</w:t>
            </w: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ind w:left="780"/>
              <w:spacing w:after="0"/>
              <w:rPr>
                <w:sz w:val="20"/>
                <w:szCs w:val="20"/>
                <w:color w:val="auto"/>
              </w:rPr>
            </w:pPr>
            <w:r>
              <w:rPr>
                <w:rFonts w:ascii="Times New Roman" w:cs="Times New Roman" w:eastAsia="Times New Roman" w:hAnsi="Times New Roman"/>
                <w:sz w:val="14"/>
                <w:szCs w:val="14"/>
                <w:color w:val="auto"/>
                <w:w w:val="90"/>
              </w:rPr>
              <w:t>3.03 %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margin - tax equivalent</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3.17 %</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gridSpan w:val="3"/>
          </w:tcPr>
          <w:p>
            <w:pPr>
              <w:ind w:left="780"/>
              <w:spacing w:after="0"/>
              <w:rPr>
                <w:sz w:val="20"/>
                <w:szCs w:val="20"/>
                <w:color w:val="auto"/>
              </w:rPr>
            </w:pPr>
            <w:r>
              <w:rPr>
                <w:rFonts w:ascii="Times New Roman" w:cs="Times New Roman" w:eastAsia="Times New Roman" w:hAnsi="Times New Roman"/>
                <w:sz w:val="14"/>
                <w:szCs w:val="14"/>
                <w:color w:val="auto"/>
                <w:w w:val="90"/>
              </w:rPr>
              <w:t>3.04 %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-2450465</wp:posOffset>
            </wp:positionV>
            <wp:extent cx="76835" cy="12001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-2450465</wp:posOffset>
            </wp:positionV>
            <wp:extent cx="76835" cy="12001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-2450465</wp:posOffset>
            </wp:positionV>
            <wp:extent cx="68580" cy="12001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-2450465</wp:posOffset>
            </wp:positionV>
            <wp:extent cx="68580" cy="12001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-2219325</wp:posOffset>
            </wp:positionV>
            <wp:extent cx="76835" cy="25717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-2219325</wp:posOffset>
            </wp:positionV>
            <wp:extent cx="68580" cy="25717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-1627505</wp:posOffset>
            </wp:positionV>
            <wp:extent cx="76835" cy="12001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-1627505</wp:posOffset>
            </wp:positionV>
            <wp:extent cx="76835" cy="12001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-1627505</wp:posOffset>
            </wp:positionV>
            <wp:extent cx="68580" cy="12001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-1627505</wp:posOffset>
            </wp:positionV>
            <wp:extent cx="68580" cy="12001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-1310640</wp:posOffset>
            </wp:positionV>
            <wp:extent cx="76835" cy="12890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-1310640</wp:posOffset>
            </wp:positionV>
            <wp:extent cx="76835" cy="12890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-1310640</wp:posOffset>
            </wp:positionV>
            <wp:extent cx="68580" cy="12890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-1310640</wp:posOffset>
            </wp:positionV>
            <wp:extent cx="68580" cy="12890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-847725</wp:posOffset>
            </wp:positionV>
            <wp:extent cx="76835" cy="25717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-847725</wp:posOffset>
            </wp:positionV>
            <wp:extent cx="68580" cy="25717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-478790</wp:posOffset>
            </wp:positionV>
            <wp:extent cx="2245995" cy="24892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245995" cy="248920"/>
                    </a:xfrm>
                    <a:prstGeom prst="rect">
                      <a:avLst/>
                    </a:prstGeom>
                    <a:noFill/>
                  </pic:spPr>
                </pic:pic>
              </a:graphicData>
            </a:graphic>
          </wp:anchor>
        </w:drawing>
      </w:r>
    </w:p>
    <w:p>
      <w:pPr>
        <w:spacing w:after="0" w:line="147" w:lineRule="exact"/>
        <w:rPr>
          <w:sz w:val="20"/>
          <w:szCs w:val="20"/>
          <w:color w:val="auto"/>
        </w:rPr>
      </w:pPr>
    </w:p>
    <w:p>
      <w:pPr>
        <w:ind w:left="1040" w:right="420" w:hanging="470"/>
        <w:spacing w:after="0" w:line="253" w:lineRule="auto"/>
        <w:tabs>
          <w:tab w:leader="none" w:pos="1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tax equivalent (TE) adjustments utilizing federal statutory rates of 21% in effect for the nine months ended September 30, 2022 and 2021. The non TE rates were 1.89% and 1.55% for the nine months ended September 30, 2022 and 2021 respectively.</w:t>
      </w:r>
    </w:p>
    <w:p>
      <w:pPr>
        <w:ind w:left="1040" w:right="20" w:hanging="462"/>
        <w:spacing w:after="0" w:line="251" w:lineRule="auto"/>
        <w:tabs>
          <w:tab w:leader="none" w:pos="1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loan fees of $7.1 million and $23.2 million for nine months ended September 30, 2022 and 2021, respectively. Prepayment penalty fees of $6.3 million and $7.1 million are included in interest income for the nine months ended September 30, 2022 and 2021, respectively.</w:t>
      </w:r>
    </w:p>
    <w:p>
      <w:pPr>
        <w:ind w:left="1040" w:hanging="470"/>
        <w:spacing w:after="0"/>
        <w:tabs>
          <w:tab w:leader="none" w:pos="1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interest-bearing demand and money market accounts.</w:t>
      </w:r>
    </w:p>
    <w:p>
      <w:pPr>
        <w:spacing w:after="0" w:line="205" w:lineRule="exact"/>
        <w:rPr>
          <w:sz w:val="20"/>
          <w:szCs w:val="20"/>
          <w:color w:val="auto"/>
        </w:rPr>
      </w:pPr>
    </w:p>
    <w:p>
      <w:pPr>
        <w:ind w:right="220" w:firstLine="562"/>
        <w:spacing w:after="0" w:line="246" w:lineRule="auto"/>
        <w:rPr>
          <w:sz w:val="20"/>
          <w:szCs w:val="20"/>
          <w:color w:val="auto"/>
        </w:rPr>
      </w:pPr>
      <w:r>
        <w:rPr>
          <w:rFonts w:ascii="Times New Roman" w:cs="Times New Roman" w:eastAsia="Times New Roman" w:hAnsi="Times New Roman"/>
          <w:sz w:val="18"/>
          <w:szCs w:val="18"/>
          <w:color w:val="auto"/>
        </w:rPr>
        <w:t>The following table presents a comparison of interest income and interest expense resulting from changes in the volumes and rates on average interest-earning assets and average interest-bearing liabilities for the periods indicated. Changes in interest income or expense attributable to volume changes are calculated by multiplying the change in volume by the initial average interest rate. The change in interest income or expense attributable to changes in interest rates is calculated by multiplying the change in interest rate by the initial volume. The changes attributable to interest rate and volume changes are calculated by multiplying the change in rate times the change in volume and reflect an adjustment for the number of days as appropriate.</w:t>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47" w:right="31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Rate and Volume Analysis for Changes in Interest Income, Interest Expense and Net Interest 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700" w:type="dxa"/>
            <w:vAlign w:val="bottom"/>
            <w:gridSpan w:val="11"/>
          </w:tcPr>
          <w:p>
            <w:pPr>
              <w:jc w:val="center"/>
              <w:spacing w:after="0"/>
              <w:rPr>
                <w:sz w:val="20"/>
                <w:szCs w:val="20"/>
                <w:color w:val="auto"/>
              </w:rPr>
            </w:pPr>
            <w:r>
              <w:rPr>
                <w:rFonts w:ascii="Times New Roman" w:cs="Times New Roman" w:eastAsia="Times New Roman" w:hAnsi="Times New Roman"/>
                <w:sz w:val="16"/>
                <w:szCs w:val="16"/>
                <w:b w:val="1"/>
                <w:bCs w:val="1"/>
                <w:color w:val="auto"/>
              </w:rPr>
              <w:t>Comparison of Three Months Ended September 30,</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00" w:type="dxa"/>
            <w:vAlign w:val="bottom"/>
            <w:gridSpan w:val="7"/>
          </w:tcPr>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2022 Compared to 2021</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5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7"/>
          </w:tcPr>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Increase (Decrease) Due to</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center"/>
              <w:ind w:right="459"/>
              <w:spacing w:after="0"/>
              <w:rPr>
                <w:sz w:val="20"/>
                <w:szCs w:val="20"/>
                <w:color w:val="auto"/>
              </w:rPr>
            </w:pPr>
            <w:r>
              <w:rPr>
                <w:rFonts w:ascii="Times New Roman" w:cs="Times New Roman" w:eastAsia="Times New Roman" w:hAnsi="Times New Roman"/>
                <w:sz w:val="16"/>
                <w:szCs w:val="16"/>
                <w:b w:val="1"/>
                <w:bCs w:val="1"/>
                <w:color w:val="auto"/>
                <w:w w:val="98"/>
              </w:rPr>
              <w:t>Rate/</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3"/>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Rate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459"/>
              <w:spacing w:after="0"/>
              <w:rPr>
                <w:sz w:val="20"/>
                <w:szCs w:val="20"/>
                <w:color w:val="auto"/>
              </w:rPr>
            </w:pPr>
            <w:r>
              <w:rPr>
                <w:rFonts w:ascii="Times New Roman" w:cs="Times New Roman" w:eastAsia="Times New Roman" w:hAnsi="Times New Roman"/>
                <w:sz w:val="16"/>
                <w:szCs w:val="16"/>
                <w:b w:val="1"/>
                <w:bCs w:val="1"/>
                <w:color w:val="auto"/>
                <w:w w:val="97"/>
              </w:rPr>
              <w:t>Volume</w:t>
            </w:r>
          </w:p>
        </w:tc>
        <w:tc>
          <w:tcPr>
            <w:tcW w:w="32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2"/>
        </w:trPr>
        <w:tc>
          <w:tcPr>
            <w:tcW w:w="45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i w:val="1"/>
                <w:iCs w:val="1"/>
                <w:color w:val="auto"/>
                <w:w w:val="79"/>
              </w:rPr>
              <w:t>in</w:t>
            </w:r>
          </w:p>
        </w:tc>
        <w:tc>
          <w:tcPr>
            <w:tcW w:w="14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2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Taxable investment securities</w:t>
            </w:r>
          </w:p>
        </w:tc>
        <w:tc>
          <w:tcPr>
            <w:tcW w:w="2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2,274</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gridSpan w:val="3"/>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5,298</w:t>
            </w: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8,741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Tax-advantaged investment securities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(1 )</w:t>
            </w: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03"/>
        </w:trPr>
        <w:tc>
          <w:tcPr>
            <w:tcW w:w="4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Held-to-maturity securities:</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Taxable investment securities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Tax-advantaged investment securities</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Investment in FHLB stock</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(5 )</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Interest-earning deposits with other institutions</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(657 )</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12,037</w:t>
            </w: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(8,802 )</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Loans</w:t>
            </w: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interest income</w:t>
            </w:r>
          </w:p>
        </w:tc>
        <w:tc>
          <w:tcPr>
            <w:tcW w:w="2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17,039</w:t>
            </w:r>
          </w:p>
        </w:tc>
        <w:tc>
          <w:tcPr>
            <w:tcW w:w="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20,495</w:t>
            </w:r>
          </w:p>
        </w:tc>
        <w:tc>
          <w:tcPr>
            <w:tcW w:w="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(6,893</w:t>
            </w:r>
          </w:p>
        </w:tc>
        <w:tc>
          <w:tcPr>
            <w:tcW w:w="26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30,641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6"/>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Savings deposits</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Time deposits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(143 )</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(1 )</w:t>
            </w: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(143 )</w:t>
            </w:r>
          </w:p>
        </w:tc>
        <w:tc>
          <w:tcPr>
            <w:tcW w:w="0" w:type="dxa"/>
            <w:vAlign w:val="bottom"/>
          </w:tcPr>
          <w:p>
            <w:pPr>
              <w:spacing w:after="0"/>
              <w:rPr>
                <w:sz w:val="1"/>
                <w:szCs w:val="1"/>
                <w:color w:val="auto"/>
              </w:rPr>
            </w:pPr>
          </w:p>
        </w:tc>
      </w:tr>
      <w:tr>
        <w:trPr>
          <w:trHeight w:val="162"/>
        </w:trPr>
        <w:tc>
          <w:tcPr>
            <w:tcW w:w="4500" w:type="dxa"/>
            <w:vAlign w:val="bottom"/>
            <w:shd w:val="clear" w:color="auto" w:fill="CFF0FC"/>
          </w:tcPr>
          <w:p>
            <w:pPr>
              <w:ind w:left="200"/>
              <w:spacing w:after="0" w:line="161" w:lineRule="exact"/>
              <w:rPr>
                <w:sz w:val="20"/>
                <w:szCs w:val="20"/>
                <w:color w:val="auto"/>
              </w:rPr>
            </w:pPr>
            <w:r>
              <w:rPr>
                <w:rFonts w:ascii="Times New Roman" w:cs="Times New Roman" w:eastAsia="Times New Roman" w:hAnsi="Times New Roman"/>
                <w:sz w:val="16"/>
                <w:szCs w:val="16"/>
                <w:color w:val="auto"/>
              </w:rPr>
              <w:t>FHLB advances, other borrowings, and</w:t>
            </w: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gridSpan w:val="2"/>
            <w:vMerge w:val="restart"/>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(3 )</w:t>
            </w:r>
          </w:p>
        </w:tc>
        <w:tc>
          <w:tcPr>
            <w:tcW w:w="320" w:type="dxa"/>
            <w:vAlign w:val="bottom"/>
            <w:shd w:val="clear" w:color="auto" w:fill="CFF0FC"/>
          </w:tcPr>
          <w:p>
            <w:pPr>
              <w:spacing w:after="0"/>
              <w:rPr>
                <w:sz w:val="14"/>
                <w:szCs w:val="14"/>
                <w:color w:val="auto"/>
              </w:rPr>
            </w:pPr>
          </w:p>
        </w:tc>
        <w:tc>
          <w:tcPr>
            <w:tcW w:w="12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102"/>
        </w:trPr>
        <w:tc>
          <w:tcPr>
            <w:tcW w:w="4500" w:type="dxa"/>
            <w:vAlign w:val="bottom"/>
            <w:vMerge w:val="restart"/>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customer repurchase agreements</w:t>
            </w:r>
          </w:p>
        </w:tc>
        <w:tc>
          <w:tcPr>
            <w:tcW w:w="2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280" w:type="dxa"/>
            <w:vAlign w:val="bottom"/>
            <w:gridSpan w:val="3"/>
            <w:vMerge w:val="continue"/>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100" w:type="dxa"/>
            <w:vAlign w:val="bottom"/>
            <w:vMerge w:val="continue"/>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420" w:type="dxa"/>
            <w:vAlign w:val="bottom"/>
            <w:gridSpan w:val="2"/>
            <w:vMerge w:val="continue"/>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24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4500" w:type="dxa"/>
            <w:vAlign w:val="bottom"/>
            <w:tcBorders>
              <w:bottom w:val="single" w:sz="8" w:color="CFF0FC"/>
            </w:tcBorders>
            <w:vMerge w:val="continue"/>
            <w:shd w:val="clear" w:color="auto" w:fill="CFF0FC"/>
          </w:tcPr>
          <w:p>
            <w:pPr>
              <w:spacing w:after="0"/>
              <w:rPr>
                <w:sz w:val="7"/>
                <w:szCs w:val="7"/>
                <w:color w:val="auto"/>
              </w:rPr>
            </w:pPr>
          </w:p>
        </w:tc>
        <w:tc>
          <w:tcPr>
            <w:tcW w:w="20" w:type="dxa"/>
            <w:vAlign w:val="bottom"/>
            <w:tcBorders>
              <w:bottom w:val="single" w:sz="8" w:color="auto"/>
            </w:tcBorders>
            <w:shd w:val="clear" w:color="auto" w:fill="CFF0FC"/>
          </w:tcPr>
          <w:p>
            <w:pPr>
              <w:spacing w:after="0"/>
              <w:rPr>
                <w:sz w:val="7"/>
                <w:szCs w:val="7"/>
                <w:color w:val="auto"/>
              </w:rPr>
            </w:pPr>
          </w:p>
        </w:tc>
        <w:tc>
          <w:tcPr>
            <w:tcW w:w="260" w:type="dxa"/>
            <w:vAlign w:val="bottom"/>
            <w:tcBorders>
              <w:bottom w:val="single" w:sz="8" w:color="auto"/>
            </w:tcBorders>
            <w:shd w:val="clear" w:color="auto" w:fill="CFF0FC"/>
          </w:tcPr>
          <w:p>
            <w:pPr>
              <w:spacing w:after="0"/>
              <w:rPr>
                <w:sz w:val="7"/>
                <w:szCs w:val="7"/>
                <w:color w:val="auto"/>
              </w:rPr>
            </w:pPr>
          </w:p>
        </w:tc>
        <w:tc>
          <w:tcPr>
            <w:tcW w:w="1160" w:type="dxa"/>
            <w:vAlign w:val="bottom"/>
            <w:tcBorders>
              <w:bottom w:val="single" w:sz="8" w:color="auto"/>
            </w:tcBorders>
            <w:shd w:val="clear" w:color="auto" w:fill="CFF0FC"/>
          </w:tcPr>
          <w:p>
            <w:pPr>
              <w:spacing w:after="0"/>
              <w:rPr>
                <w:sz w:val="7"/>
                <w:szCs w:val="7"/>
                <w:color w:val="auto"/>
              </w:rPr>
            </w:pPr>
          </w:p>
        </w:tc>
        <w:tc>
          <w:tcPr>
            <w:tcW w:w="40" w:type="dxa"/>
            <w:vAlign w:val="bottom"/>
            <w:tcBorders>
              <w:bottom w:val="single" w:sz="8" w:color="CFF0FC"/>
            </w:tcBorders>
            <w:shd w:val="clear" w:color="auto" w:fill="CFF0FC"/>
          </w:tcPr>
          <w:p>
            <w:pPr>
              <w:spacing w:after="0"/>
              <w:rPr>
                <w:sz w:val="7"/>
                <w:szCs w:val="7"/>
                <w:color w:val="auto"/>
              </w:rPr>
            </w:pPr>
          </w:p>
        </w:tc>
        <w:tc>
          <w:tcPr>
            <w:tcW w:w="80" w:type="dxa"/>
            <w:vAlign w:val="bottom"/>
            <w:tcBorders>
              <w:bottom w:val="single" w:sz="8" w:color="CFF0FC"/>
            </w:tcBorders>
            <w:shd w:val="clear" w:color="auto" w:fill="CFF0FC"/>
          </w:tcPr>
          <w:p>
            <w:pPr>
              <w:spacing w:after="0"/>
              <w:rPr>
                <w:sz w:val="7"/>
                <w:szCs w:val="7"/>
                <w:color w:val="auto"/>
              </w:rPr>
            </w:pPr>
          </w:p>
        </w:tc>
        <w:tc>
          <w:tcPr>
            <w:tcW w:w="180" w:type="dxa"/>
            <w:vAlign w:val="bottom"/>
            <w:tcBorders>
              <w:bottom w:val="single" w:sz="8" w:color="CFF0FC"/>
            </w:tcBorders>
            <w:shd w:val="clear" w:color="auto" w:fill="CFF0FC"/>
          </w:tcPr>
          <w:p>
            <w:pPr>
              <w:spacing w:after="0"/>
              <w:rPr>
                <w:sz w:val="7"/>
                <w:szCs w:val="7"/>
                <w:color w:val="auto"/>
              </w:rPr>
            </w:pPr>
          </w:p>
        </w:tc>
        <w:tc>
          <w:tcPr>
            <w:tcW w:w="40" w:type="dxa"/>
            <w:vAlign w:val="bottom"/>
            <w:tcBorders>
              <w:bottom w:val="single" w:sz="8" w:color="auto"/>
            </w:tcBorders>
            <w:shd w:val="clear" w:color="auto" w:fill="CFF0FC"/>
          </w:tcPr>
          <w:p>
            <w:pPr>
              <w:spacing w:after="0"/>
              <w:rPr>
                <w:sz w:val="7"/>
                <w:szCs w:val="7"/>
                <w:color w:val="auto"/>
              </w:rPr>
            </w:pPr>
          </w:p>
        </w:tc>
        <w:tc>
          <w:tcPr>
            <w:tcW w:w="300" w:type="dxa"/>
            <w:vAlign w:val="bottom"/>
            <w:tcBorders>
              <w:bottom w:val="single" w:sz="8" w:color="auto"/>
            </w:tcBorders>
            <w:shd w:val="clear" w:color="auto" w:fill="CFF0FC"/>
          </w:tcPr>
          <w:p>
            <w:pPr>
              <w:spacing w:after="0"/>
              <w:rPr>
                <w:sz w:val="7"/>
                <w:szCs w:val="7"/>
                <w:color w:val="auto"/>
              </w:rPr>
            </w:pPr>
          </w:p>
        </w:tc>
        <w:tc>
          <w:tcPr>
            <w:tcW w:w="1100" w:type="dxa"/>
            <w:vAlign w:val="bottom"/>
            <w:tcBorders>
              <w:bottom w:val="single" w:sz="8" w:color="auto"/>
            </w:tcBorders>
            <w:shd w:val="clear" w:color="auto" w:fill="CFF0FC"/>
          </w:tcPr>
          <w:p>
            <w:pPr>
              <w:spacing w:after="0"/>
              <w:rPr>
                <w:sz w:val="7"/>
                <w:szCs w:val="7"/>
                <w:color w:val="auto"/>
              </w:rPr>
            </w:pPr>
          </w:p>
        </w:tc>
        <w:tc>
          <w:tcPr>
            <w:tcW w:w="40" w:type="dxa"/>
            <w:vAlign w:val="bottom"/>
            <w:tcBorders>
              <w:bottom w:val="single" w:sz="8" w:color="CFF0FC"/>
            </w:tcBorders>
            <w:shd w:val="clear" w:color="auto" w:fill="CFF0FC"/>
          </w:tcPr>
          <w:p>
            <w:pPr>
              <w:spacing w:after="0"/>
              <w:rPr>
                <w:sz w:val="7"/>
                <w:szCs w:val="7"/>
                <w:color w:val="auto"/>
              </w:rPr>
            </w:pPr>
          </w:p>
        </w:tc>
        <w:tc>
          <w:tcPr>
            <w:tcW w:w="260" w:type="dxa"/>
            <w:vAlign w:val="bottom"/>
            <w:tcBorders>
              <w:bottom w:val="single" w:sz="8" w:color="CFF0FC"/>
            </w:tcBorders>
            <w:shd w:val="clear" w:color="auto" w:fill="CFF0FC"/>
          </w:tcPr>
          <w:p>
            <w:pPr>
              <w:spacing w:after="0"/>
              <w:rPr>
                <w:sz w:val="7"/>
                <w:szCs w:val="7"/>
                <w:color w:val="auto"/>
              </w:rPr>
            </w:pPr>
          </w:p>
        </w:tc>
        <w:tc>
          <w:tcPr>
            <w:tcW w:w="20" w:type="dxa"/>
            <w:vAlign w:val="bottom"/>
            <w:tcBorders>
              <w:bottom w:val="single" w:sz="8" w:color="auto"/>
            </w:tcBorders>
            <w:shd w:val="clear" w:color="auto" w:fill="CFF0FC"/>
          </w:tcPr>
          <w:p>
            <w:pPr>
              <w:spacing w:after="0"/>
              <w:rPr>
                <w:sz w:val="7"/>
                <w:szCs w:val="7"/>
                <w:color w:val="auto"/>
              </w:rPr>
            </w:pPr>
          </w:p>
        </w:tc>
        <w:tc>
          <w:tcPr>
            <w:tcW w:w="260" w:type="dxa"/>
            <w:vAlign w:val="bottom"/>
            <w:tcBorders>
              <w:bottom w:val="single" w:sz="8" w:color="auto"/>
            </w:tcBorders>
            <w:shd w:val="clear" w:color="auto" w:fill="CFF0FC"/>
          </w:tcPr>
          <w:p>
            <w:pPr>
              <w:spacing w:after="0"/>
              <w:rPr>
                <w:sz w:val="7"/>
                <w:szCs w:val="7"/>
                <w:color w:val="auto"/>
              </w:rPr>
            </w:pPr>
          </w:p>
        </w:tc>
        <w:tc>
          <w:tcPr>
            <w:tcW w:w="1160" w:type="dxa"/>
            <w:vAlign w:val="bottom"/>
            <w:tcBorders>
              <w:bottom w:val="single" w:sz="8" w:color="auto"/>
            </w:tcBorders>
            <w:shd w:val="clear" w:color="auto" w:fill="CFF0FC"/>
          </w:tcPr>
          <w:p>
            <w:pPr>
              <w:spacing w:after="0"/>
              <w:rPr>
                <w:sz w:val="7"/>
                <w:szCs w:val="7"/>
                <w:color w:val="auto"/>
              </w:rPr>
            </w:pPr>
          </w:p>
        </w:tc>
        <w:tc>
          <w:tcPr>
            <w:tcW w:w="260" w:type="dxa"/>
            <w:vAlign w:val="bottom"/>
            <w:tcBorders>
              <w:bottom w:val="single" w:sz="8" w:color="CFF0FC"/>
            </w:tcBorders>
            <w:shd w:val="clear" w:color="auto" w:fill="CFF0FC"/>
          </w:tcPr>
          <w:p>
            <w:pPr>
              <w:spacing w:after="0"/>
              <w:rPr>
                <w:sz w:val="7"/>
                <w:szCs w:val="7"/>
                <w:color w:val="auto"/>
              </w:rPr>
            </w:pPr>
          </w:p>
        </w:tc>
        <w:tc>
          <w:tcPr>
            <w:tcW w:w="320" w:type="dxa"/>
            <w:vAlign w:val="bottom"/>
            <w:tcBorders>
              <w:bottom w:val="single" w:sz="8" w:color="auto"/>
            </w:tcBorders>
            <w:shd w:val="clear" w:color="auto" w:fill="CFF0FC"/>
          </w:tcPr>
          <w:p>
            <w:pPr>
              <w:spacing w:after="0"/>
              <w:rPr>
                <w:sz w:val="7"/>
                <w:szCs w:val="7"/>
                <w:color w:val="auto"/>
              </w:rPr>
            </w:pPr>
          </w:p>
        </w:tc>
        <w:tc>
          <w:tcPr>
            <w:tcW w:w="1140" w:type="dxa"/>
            <w:vAlign w:val="bottom"/>
            <w:tcBorders>
              <w:bottom w:val="single" w:sz="8" w:color="auto"/>
            </w:tcBorders>
            <w:shd w:val="clear" w:color="auto" w:fill="CFF0FC"/>
          </w:tcPr>
          <w:p>
            <w:pPr>
              <w:spacing w:after="0"/>
              <w:rPr>
                <w:sz w:val="7"/>
                <w:szCs w:val="7"/>
                <w:color w:val="auto"/>
              </w:rPr>
            </w:pPr>
          </w:p>
        </w:tc>
        <w:tc>
          <w:tcPr>
            <w:tcW w:w="100" w:type="dxa"/>
            <w:vAlign w:val="bottom"/>
            <w:tcBorders>
              <w:bottom w:val="single" w:sz="8" w:color="CFF0FC"/>
            </w:tcBorders>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5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interest expense</w:t>
            </w: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interest income</w:t>
            </w:r>
          </w:p>
        </w:tc>
        <w:tc>
          <w:tcPr>
            <w:tcW w:w="280" w:type="dxa"/>
            <w:vAlign w:val="bottom"/>
            <w:tcBorders>
              <w:bottom w:val="single" w:sz="8" w:color="auto"/>
            </w:tcBorders>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16,953</w:t>
            </w:r>
          </w:p>
        </w:tc>
        <w:tc>
          <w:tcPr>
            <w:tcW w:w="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20,042</w:t>
            </w:r>
          </w:p>
        </w:tc>
        <w:tc>
          <w:tcPr>
            <w:tcW w:w="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(6,956</w:t>
            </w:r>
          </w:p>
        </w:tc>
        <w:tc>
          <w:tcPr>
            <w:tcW w:w="26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30,039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586"/>
        </w:trPr>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20" w:type="dxa"/>
            <w:vAlign w:val="bottom"/>
            <w:gridSpan w:val="10"/>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Comparison of Nine Months Ended September 30,</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00" w:type="dxa"/>
            <w:vAlign w:val="bottom"/>
            <w:gridSpan w:val="7"/>
          </w:tcPr>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2022 Compared to 2021</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7"/>
          </w:tcPr>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Increase (Decrease) Due to</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Rate/</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Rate</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00" w:type="dxa"/>
            <w:vAlign w:val="bottom"/>
            <w:gridSpan w:val="7"/>
          </w:tcPr>
          <w:p>
            <w:pPr>
              <w:jc w:val="center"/>
              <w:ind w:right="519"/>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Taxable investment securities</w:t>
            </w:r>
          </w:p>
        </w:tc>
        <w:tc>
          <w:tcPr>
            <w:tcW w:w="2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11,624</w:t>
            </w:r>
          </w:p>
        </w:tc>
        <w:tc>
          <w:tcPr>
            <w:tcW w:w="80" w:type="dxa"/>
            <w:vAlign w:val="bottom"/>
            <w:shd w:val="clear" w:color="auto" w:fill="CFF0FC"/>
          </w:tcPr>
          <w:p>
            <w:pPr>
              <w:spacing w:after="0"/>
              <w:rPr>
                <w:sz w:val="17"/>
                <w:szCs w:val="17"/>
                <w:color w:val="auto"/>
              </w:rPr>
            </w:pPr>
          </w:p>
        </w:tc>
        <w:tc>
          <w:tcPr>
            <w:tcW w:w="520" w:type="dxa"/>
            <w:vAlign w:val="bottom"/>
            <w:gridSpan w:val="3"/>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11,514</w:t>
            </w:r>
          </w:p>
        </w:tc>
        <w:tc>
          <w:tcPr>
            <w:tcW w:w="26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(3,079 )</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20,059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Tax-advantaged investment securities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r>
        <w:trPr>
          <w:trHeight w:val="203"/>
        </w:trPr>
        <w:tc>
          <w:tcPr>
            <w:tcW w:w="4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Held-to-maturity securities:</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Taxable investment securities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24,504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(5,887 )</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Tax-advantaged investment securities</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1,970</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(457 )</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Investment in FHLB stock</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(43 )</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Interest-earning deposits with other institutions</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(1,110 )</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11,848</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(6,816 )</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Loans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20,892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(6,612 )</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(3,883 )</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interest income</w:t>
            </w:r>
          </w:p>
        </w:tc>
        <w:tc>
          <w:tcPr>
            <w:tcW w:w="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57,867</w:t>
            </w: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17,742</w:t>
            </w:r>
          </w:p>
        </w:tc>
        <w:tc>
          <w:tcPr>
            <w:tcW w:w="2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(20,158</w:t>
            </w:r>
          </w:p>
        </w:tc>
        <w:tc>
          <w:tcPr>
            <w:tcW w:w="26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55,451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Savings deposits</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763</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(203 )</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Time deposits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(1,252 )</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(945 )</w:t>
            </w:r>
          </w:p>
        </w:tc>
        <w:tc>
          <w:tcPr>
            <w:tcW w:w="0" w:type="dxa"/>
            <w:vAlign w:val="bottom"/>
          </w:tcPr>
          <w:p>
            <w:pPr>
              <w:spacing w:after="0"/>
              <w:rPr>
                <w:sz w:val="1"/>
                <w:szCs w:val="1"/>
                <w:color w:val="auto"/>
              </w:rPr>
            </w:pPr>
          </w:p>
        </w:tc>
      </w:tr>
      <w:tr>
        <w:trPr>
          <w:trHeight w:val="148"/>
        </w:trPr>
        <w:tc>
          <w:tcPr>
            <w:tcW w:w="4500" w:type="dxa"/>
            <w:vAlign w:val="bottom"/>
            <w:shd w:val="clear" w:color="auto" w:fill="CFF0FC"/>
          </w:tcPr>
          <w:p>
            <w:pPr>
              <w:ind w:left="200"/>
              <w:spacing w:after="0" w:line="148" w:lineRule="exact"/>
              <w:rPr>
                <w:sz w:val="20"/>
                <w:szCs w:val="20"/>
                <w:color w:val="auto"/>
              </w:rPr>
            </w:pPr>
            <w:r>
              <w:rPr>
                <w:rFonts w:ascii="Times New Roman" w:cs="Times New Roman" w:eastAsia="Times New Roman" w:hAnsi="Times New Roman"/>
                <w:sz w:val="16"/>
                <w:szCs w:val="16"/>
                <w:color w:val="auto"/>
              </w:rPr>
              <w:t>FHLB advances, other borrowings, and</w:t>
            </w: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8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0" w:type="dxa"/>
            <w:vAlign w:val="bottom"/>
            <w:gridSpan w:val="3"/>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(271 )</w:t>
            </w: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(218 )</w:t>
            </w:r>
          </w:p>
        </w:tc>
        <w:tc>
          <w:tcPr>
            <w:tcW w:w="0" w:type="dxa"/>
            <w:vAlign w:val="bottom"/>
          </w:tcPr>
          <w:p>
            <w:pPr>
              <w:spacing w:after="0"/>
              <w:rPr>
                <w:sz w:val="1"/>
                <w:szCs w:val="1"/>
                <w:color w:val="auto"/>
              </w:rPr>
            </w:pPr>
          </w:p>
        </w:tc>
      </w:tr>
      <w:tr>
        <w:trPr>
          <w:trHeight w:val="115"/>
        </w:trPr>
        <w:tc>
          <w:tcPr>
            <w:tcW w:w="4500" w:type="dxa"/>
            <w:vAlign w:val="bottom"/>
            <w:vMerge w:val="restart"/>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customer repurchase agreements</w:t>
            </w:r>
          </w:p>
        </w:tc>
        <w:tc>
          <w:tcPr>
            <w:tcW w:w="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80" w:type="dxa"/>
            <w:vAlign w:val="bottom"/>
            <w:gridSpan w:val="3"/>
            <w:vMerge w:val="continue"/>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400" w:type="dxa"/>
            <w:vAlign w:val="bottom"/>
            <w:gridSpan w:val="3"/>
            <w:vMerge w:val="continue"/>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160" w:type="dxa"/>
            <w:vAlign w:val="bottom"/>
            <w:vMerge w:val="continue"/>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2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4500" w:type="dxa"/>
            <w:vAlign w:val="bottom"/>
            <w:tcBorders>
              <w:bottom w:val="single" w:sz="8" w:color="CFF0FC"/>
            </w:tcBorders>
            <w:vMerge w:val="continue"/>
            <w:shd w:val="clear" w:color="auto" w:fill="CFF0FC"/>
          </w:tcPr>
          <w:p>
            <w:pPr>
              <w:spacing w:after="0"/>
              <w:rPr>
                <w:sz w:val="7"/>
                <w:szCs w:val="7"/>
                <w:color w:val="auto"/>
              </w:rPr>
            </w:pPr>
          </w:p>
        </w:tc>
        <w:tc>
          <w:tcPr>
            <w:tcW w:w="20" w:type="dxa"/>
            <w:vAlign w:val="bottom"/>
            <w:tcBorders>
              <w:bottom w:val="single" w:sz="8" w:color="CFF0FC"/>
            </w:tcBorders>
            <w:shd w:val="clear" w:color="auto" w:fill="CFF0FC"/>
          </w:tcPr>
          <w:p>
            <w:pPr>
              <w:spacing w:after="0"/>
              <w:rPr>
                <w:sz w:val="7"/>
                <w:szCs w:val="7"/>
                <w:color w:val="auto"/>
              </w:rPr>
            </w:pPr>
          </w:p>
        </w:tc>
        <w:tc>
          <w:tcPr>
            <w:tcW w:w="260" w:type="dxa"/>
            <w:vAlign w:val="bottom"/>
            <w:tcBorders>
              <w:bottom w:val="single" w:sz="8" w:color="auto"/>
            </w:tcBorders>
            <w:shd w:val="clear" w:color="auto" w:fill="CFF0FC"/>
          </w:tcPr>
          <w:p>
            <w:pPr>
              <w:spacing w:after="0"/>
              <w:rPr>
                <w:sz w:val="7"/>
                <w:szCs w:val="7"/>
                <w:color w:val="auto"/>
              </w:rPr>
            </w:pPr>
          </w:p>
        </w:tc>
        <w:tc>
          <w:tcPr>
            <w:tcW w:w="1160" w:type="dxa"/>
            <w:vAlign w:val="bottom"/>
            <w:tcBorders>
              <w:bottom w:val="single" w:sz="8" w:color="auto"/>
            </w:tcBorders>
            <w:shd w:val="clear" w:color="auto" w:fill="CFF0FC"/>
          </w:tcPr>
          <w:p>
            <w:pPr>
              <w:spacing w:after="0"/>
              <w:rPr>
                <w:sz w:val="7"/>
                <w:szCs w:val="7"/>
                <w:color w:val="auto"/>
              </w:rPr>
            </w:pPr>
          </w:p>
        </w:tc>
        <w:tc>
          <w:tcPr>
            <w:tcW w:w="40" w:type="dxa"/>
            <w:vAlign w:val="bottom"/>
            <w:tcBorders>
              <w:bottom w:val="single" w:sz="8" w:color="auto"/>
            </w:tcBorders>
            <w:shd w:val="clear" w:color="auto" w:fill="CFF0FC"/>
          </w:tcPr>
          <w:p>
            <w:pPr>
              <w:spacing w:after="0"/>
              <w:rPr>
                <w:sz w:val="7"/>
                <w:szCs w:val="7"/>
                <w:color w:val="auto"/>
              </w:rPr>
            </w:pPr>
          </w:p>
        </w:tc>
        <w:tc>
          <w:tcPr>
            <w:tcW w:w="80" w:type="dxa"/>
            <w:vAlign w:val="bottom"/>
            <w:tcBorders>
              <w:bottom w:val="single" w:sz="8" w:color="CFF0FC"/>
            </w:tcBorders>
            <w:shd w:val="clear" w:color="auto" w:fill="CFF0FC"/>
          </w:tcPr>
          <w:p>
            <w:pPr>
              <w:spacing w:after="0"/>
              <w:rPr>
                <w:sz w:val="7"/>
                <w:szCs w:val="7"/>
                <w:color w:val="auto"/>
              </w:rPr>
            </w:pPr>
          </w:p>
        </w:tc>
        <w:tc>
          <w:tcPr>
            <w:tcW w:w="180" w:type="dxa"/>
            <w:vAlign w:val="bottom"/>
            <w:tcBorders>
              <w:bottom w:val="single" w:sz="8" w:color="CFF0FC"/>
            </w:tcBorders>
            <w:shd w:val="clear" w:color="auto" w:fill="CFF0FC"/>
          </w:tcPr>
          <w:p>
            <w:pPr>
              <w:spacing w:after="0"/>
              <w:rPr>
                <w:sz w:val="7"/>
                <w:szCs w:val="7"/>
                <w:color w:val="auto"/>
              </w:rPr>
            </w:pPr>
          </w:p>
        </w:tc>
        <w:tc>
          <w:tcPr>
            <w:tcW w:w="40" w:type="dxa"/>
            <w:vAlign w:val="bottom"/>
            <w:tcBorders>
              <w:bottom w:val="single" w:sz="8" w:color="CFF0FC"/>
            </w:tcBorders>
            <w:shd w:val="clear" w:color="auto" w:fill="CFF0FC"/>
          </w:tcPr>
          <w:p>
            <w:pPr>
              <w:spacing w:after="0"/>
              <w:rPr>
                <w:sz w:val="7"/>
                <w:szCs w:val="7"/>
                <w:color w:val="auto"/>
              </w:rPr>
            </w:pPr>
          </w:p>
        </w:tc>
        <w:tc>
          <w:tcPr>
            <w:tcW w:w="300" w:type="dxa"/>
            <w:vAlign w:val="bottom"/>
            <w:tcBorders>
              <w:bottom w:val="single" w:sz="8" w:color="auto"/>
            </w:tcBorders>
            <w:shd w:val="clear" w:color="auto" w:fill="CFF0FC"/>
          </w:tcPr>
          <w:p>
            <w:pPr>
              <w:spacing w:after="0"/>
              <w:rPr>
                <w:sz w:val="7"/>
                <w:szCs w:val="7"/>
                <w:color w:val="auto"/>
              </w:rPr>
            </w:pPr>
          </w:p>
        </w:tc>
        <w:tc>
          <w:tcPr>
            <w:tcW w:w="1100" w:type="dxa"/>
            <w:vAlign w:val="bottom"/>
            <w:tcBorders>
              <w:bottom w:val="single" w:sz="8" w:color="auto"/>
            </w:tcBorders>
            <w:shd w:val="clear" w:color="auto" w:fill="CFF0FC"/>
          </w:tcPr>
          <w:p>
            <w:pPr>
              <w:spacing w:after="0"/>
              <w:rPr>
                <w:sz w:val="7"/>
                <w:szCs w:val="7"/>
                <w:color w:val="auto"/>
              </w:rPr>
            </w:pPr>
          </w:p>
        </w:tc>
        <w:tc>
          <w:tcPr>
            <w:tcW w:w="40" w:type="dxa"/>
            <w:vAlign w:val="bottom"/>
            <w:tcBorders>
              <w:bottom w:val="single" w:sz="8" w:color="auto"/>
            </w:tcBorders>
            <w:shd w:val="clear" w:color="auto" w:fill="CFF0FC"/>
          </w:tcPr>
          <w:p>
            <w:pPr>
              <w:spacing w:after="0"/>
              <w:rPr>
                <w:sz w:val="7"/>
                <w:szCs w:val="7"/>
                <w:color w:val="auto"/>
              </w:rPr>
            </w:pPr>
          </w:p>
        </w:tc>
        <w:tc>
          <w:tcPr>
            <w:tcW w:w="260" w:type="dxa"/>
            <w:vAlign w:val="bottom"/>
            <w:tcBorders>
              <w:bottom w:val="single" w:sz="8" w:color="CFF0FC"/>
            </w:tcBorders>
            <w:shd w:val="clear" w:color="auto" w:fill="CFF0FC"/>
          </w:tcPr>
          <w:p>
            <w:pPr>
              <w:spacing w:after="0"/>
              <w:rPr>
                <w:sz w:val="7"/>
                <w:szCs w:val="7"/>
                <w:color w:val="auto"/>
              </w:rPr>
            </w:pPr>
          </w:p>
        </w:tc>
        <w:tc>
          <w:tcPr>
            <w:tcW w:w="20" w:type="dxa"/>
            <w:vAlign w:val="bottom"/>
            <w:tcBorders>
              <w:bottom w:val="single" w:sz="8" w:color="CFF0FC"/>
            </w:tcBorders>
            <w:shd w:val="clear" w:color="auto" w:fill="CFF0FC"/>
          </w:tcPr>
          <w:p>
            <w:pPr>
              <w:spacing w:after="0"/>
              <w:rPr>
                <w:sz w:val="7"/>
                <w:szCs w:val="7"/>
                <w:color w:val="auto"/>
              </w:rPr>
            </w:pPr>
          </w:p>
        </w:tc>
        <w:tc>
          <w:tcPr>
            <w:tcW w:w="260" w:type="dxa"/>
            <w:vAlign w:val="bottom"/>
            <w:tcBorders>
              <w:bottom w:val="single" w:sz="8" w:color="auto"/>
            </w:tcBorders>
            <w:shd w:val="clear" w:color="auto" w:fill="CFF0FC"/>
          </w:tcPr>
          <w:p>
            <w:pPr>
              <w:spacing w:after="0"/>
              <w:rPr>
                <w:sz w:val="7"/>
                <w:szCs w:val="7"/>
                <w:color w:val="auto"/>
              </w:rPr>
            </w:pPr>
          </w:p>
        </w:tc>
        <w:tc>
          <w:tcPr>
            <w:tcW w:w="1160" w:type="dxa"/>
            <w:vAlign w:val="bottom"/>
            <w:tcBorders>
              <w:bottom w:val="single" w:sz="8" w:color="auto"/>
            </w:tcBorders>
            <w:shd w:val="clear" w:color="auto" w:fill="CFF0FC"/>
          </w:tcPr>
          <w:p>
            <w:pPr>
              <w:spacing w:after="0"/>
              <w:rPr>
                <w:sz w:val="7"/>
                <w:szCs w:val="7"/>
                <w:color w:val="auto"/>
              </w:rPr>
            </w:pPr>
          </w:p>
        </w:tc>
        <w:tc>
          <w:tcPr>
            <w:tcW w:w="260" w:type="dxa"/>
            <w:vAlign w:val="bottom"/>
            <w:tcBorders>
              <w:bottom w:val="single" w:sz="8" w:color="CFF0FC"/>
            </w:tcBorders>
            <w:shd w:val="clear" w:color="auto" w:fill="CFF0FC"/>
          </w:tcPr>
          <w:p>
            <w:pPr>
              <w:spacing w:after="0"/>
              <w:rPr>
                <w:sz w:val="7"/>
                <w:szCs w:val="7"/>
                <w:color w:val="auto"/>
              </w:rPr>
            </w:pPr>
          </w:p>
        </w:tc>
        <w:tc>
          <w:tcPr>
            <w:tcW w:w="320" w:type="dxa"/>
            <w:vAlign w:val="bottom"/>
            <w:tcBorders>
              <w:bottom w:val="single" w:sz="8" w:color="auto"/>
            </w:tcBorders>
            <w:shd w:val="clear" w:color="auto" w:fill="CFF0FC"/>
          </w:tcPr>
          <w:p>
            <w:pPr>
              <w:spacing w:after="0"/>
              <w:rPr>
                <w:sz w:val="7"/>
                <w:szCs w:val="7"/>
                <w:color w:val="auto"/>
              </w:rPr>
            </w:pPr>
          </w:p>
        </w:tc>
        <w:tc>
          <w:tcPr>
            <w:tcW w:w="1140" w:type="dxa"/>
            <w:vAlign w:val="bottom"/>
            <w:tcBorders>
              <w:bottom w:val="single" w:sz="8" w:color="auto"/>
            </w:tcBorders>
            <w:shd w:val="clear" w:color="auto" w:fill="CFF0FC"/>
          </w:tcPr>
          <w:p>
            <w:pPr>
              <w:spacing w:after="0"/>
              <w:rPr>
                <w:sz w:val="7"/>
                <w:szCs w:val="7"/>
                <w:color w:val="auto"/>
              </w:rPr>
            </w:pPr>
          </w:p>
        </w:tc>
        <w:tc>
          <w:tcPr>
            <w:tcW w:w="100" w:type="dxa"/>
            <w:vAlign w:val="bottom"/>
            <w:tcBorders>
              <w:bottom w:val="single" w:sz="8" w:color="CFF0FC"/>
            </w:tcBorders>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5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interest expense</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657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(1,432 )</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(512 )</w:t>
            </w:r>
          </w:p>
        </w:tc>
        <w:tc>
          <w:tcPr>
            <w:tcW w:w="0" w:type="dxa"/>
            <w:vAlign w:val="bottom"/>
          </w:tcPr>
          <w:p>
            <w:pPr>
              <w:spacing w:after="0"/>
              <w:rPr>
                <w:sz w:val="1"/>
                <w:szCs w:val="1"/>
                <w:color w:val="auto"/>
              </w:rPr>
            </w:pPr>
          </w:p>
        </w:tc>
      </w:tr>
      <w:tr>
        <w:trPr>
          <w:trHeight w:val="236"/>
        </w:trPr>
        <w:tc>
          <w:tcPr>
            <w:tcW w:w="45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interest income</w:t>
            </w:r>
          </w:p>
        </w:tc>
        <w:tc>
          <w:tcPr>
            <w:tcW w:w="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57,210</w:t>
            </w:r>
          </w:p>
        </w:tc>
        <w:tc>
          <w:tcPr>
            <w:tcW w:w="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gridSpan w:val="2"/>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19,174</w:t>
            </w:r>
          </w:p>
        </w:tc>
        <w:tc>
          <w:tcPr>
            <w:tcW w:w="2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(20,421</w:t>
            </w:r>
          </w:p>
        </w:tc>
        <w:tc>
          <w:tcPr>
            <w:tcW w:w="26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55,963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-4568190</wp:posOffset>
            </wp:positionV>
            <wp:extent cx="77470" cy="26543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7470" cy="26543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-4568190</wp:posOffset>
            </wp:positionV>
            <wp:extent cx="77470" cy="26543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7470" cy="26543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-4568190</wp:posOffset>
            </wp:positionV>
            <wp:extent cx="68580" cy="26543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-4568190</wp:posOffset>
            </wp:positionV>
            <wp:extent cx="68580" cy="26543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-3822700</wp:posOffset>
            </wp:positionV>
            <wp:extent cx="77470" cy="14605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-3822700</wp:posOffset>
            </wp:positionV>
            <wp:extent cx="77470" cy="14605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-3822700</wp:posOffset>
            </wp:positionV>
            <wp:extent cx="68580" cy="14605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-3822700</wp:posOffset>
            </wp:positionV>
            <wp:extent cx="68580" cy="14605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-3548380</wp:posOffset>
            </wp:positionV>
            <wp:extent cx="7747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-3531235</wp:posOffset>
            </wp:positionV>
            <wp:extent cx="7747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-3548380</wp:posOffset>
            </wp:positionV>
            <wp:extent cx="7747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-3531235</wp:posOffset>
            </wp:positionV>
            <wp:extent cx="7747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-3548380</wp:posOffset>
            </wp:positionV>
            <wp:extent cx="6858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-3531235</wp:posOffset>
            </wp:positionV>
            <wp:extent cx="6858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-3548380</wp:posOffset>
            </wp:positionV>
            <wp:extent cx="685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-3531235</wp:posOffset>
            </wp:positionV>
            <wp:extent cx="6858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-1045210</wp:posOffset>
            </wp:positionV>
            <wp:extent cx="76835" cy="26606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6835" cy="26606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-1045210</wp:posOffset>
            </wp:positionV>
            <wp:extent cx="77470" cy="26606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7470" cy="26606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-1045210</wp:posOffset>
            </wp:positionV>
            <wp:extent cx="68580" cy="26606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8580" cy="2660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26606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8580" cy="26606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-299720</wp:posOffset>
            </wp:positionV>
            <wp:extent cx="76835" cy="14605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-299720</wp:posOffset>
            </wp:positionV>
            <wp:extent cx="77470" cy="14605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-299720</wp:posOffset>
            </wp:positionV>
            <wp:extent cx="68580" cy="14605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14605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-24765</wp:posOffset>
            </wp:positionV>
            <wp:extent cx="7683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-7620</wp:posOffset>
            </wp:positionV>
            <wp:extent cx="7683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-24765</wp:posOffset>
            </wp:positionV>
            <wp:extent cx="7747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7747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858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8" w:name="page49"/>
    <w:bookmarkEnd w:id="48"/>
    <w:p>
      <w:pPr>
        <w:ind w:left="480"/>
        <w:spacing w:after="0"/>
        <w:rPr>
          <w:sz w:val="20"/>
          <w:szCs w:val="20"/>
          <w:color w:val="auto"/>
        </w:rPr>
      </w:pPr>
      <w:r>
        <w:rPr>
          <w:rFonts w:ascii="Times New Roman" w:cs="Times New Roman" w:eastAsia="Times New Roman" w:hAnsi="Times New Roman"/>
          <w:sz w:val="18"/>
          <w:szCs w:val="18"/>
          <w:i w:val="1"/>
          <w:iCs w:val="1"/>
          <w:color w:val="auto"/>
        </w:rPr>
        <w:t>Third Quarter of 2022 Compared to the Third Quarter of 2021</w:t>
      </w:r>
    </w:p>
    <w:p>
      <w:pPr>
        <w:spacing w:after="0" w:line="200" w:lineRule="exact"/>
        <w:rPr>
          <w:sz w:val="20"/>
          <w:szCs w:val="20"/>
          <w:color w:val="auto"/>
        </w:rPr>
      </w:pPr>
    </w:p>
    <w:p>
      <w:pPr>
        <w:ind w:right="40" w:firstLine="360"/>
        <w:spacing w:after="0" w:line="245" w:lineRule="auto"/>
        <w:rPr>
          <w:sz w:val="20"/>
          <w:szCs w:val="20"/>
          <w:color w:val="auto"/>
        </w:rPr>
      </w:pPr>
      <w:r>
        <w:rPr>
          <w:rFonts w:ascii="Times New Roman" w:cs="Times New Roman" w:eastAsia="Times New Roman" w:hAnsi="Times New Roman"/>
          <w:sz w:val="18"/>
          <w:szCs w:val="18"/>
          <w:color w:val="auto"/>
        </w:rPr>
        <w:t>Net interest income, before provision for credit losses, of $133.3 million for the third quarter of 2022 increased $30.0 million, or 29.08%, compared to $103.3 million for the third quarter of 2021. Interest-earning assets increased on average by $981.8 million, or 6.82%, from $14.40 billion for the third quarter of 2021 to $15.38 billion for the third quarter of 2022. Our net interest margin (TE) was 3.46% for the third quarter of 2022, compared to 2.89% for the third quarter of 2021. Higher yields on average earning assets and a change in the mix of our earning assets resulted in the higher net interest margin. The 57 basis point increase in our net interest margin was primarily the result of a 59 basis point increase in earning asset yield, while maintaining our very low cost of funds that increased from 4 basis points in the third quarter of 2021 to 5 basis points in the third quarter of 2022, during a period of time when the Federal Reserve increased short-term interest rates by 300 basis points.</w:t>
      </w:r>
    </w:p>
    <w:p>
      <w:pPr>
        <w:spacing w:after="0" w:line="181" w:lineRule="exact"/>
        <w:rPr>
          <w:sz w:val="20"/>
          <w:szCs w:val="20"/>
          <w:color w:val="auto"/>
        </w:rPr>
      </w:pPr>
    </w:p>
    <w:p>
      <w:pPr>
        <w:ind w:firstLine="360"/>
        <w:spacing w:after="0" w:line="243" w:lineRule="auto"/>
        <w:rPr>
          <w:sz w:val="20"/>
          <w:szCs w:val="20"/>
          <w:color w:val="auto"/>
        </w:rPr>
      </w:pPr>
      <w:r>
        <w:rPr>
          <w:rFonts w:ascii="Times New Roman" w:cs="Times New Roman" w:eastAsia="Times New Roman" w:hAnsi="Times New Roman"/>
          <w:sz w:val="18"/>
          <w:szCs w:val="18"/>
          <w:color w:val="auto"/>
        </w:rPr>
        <w:t>Total interest income was $135.2 million for the third quarter of 2022, which was $30.6 million, or 29.31%, higher than the same period of 2021. The increase in interest incomes was due to a combination of growth in average interest-earning assets of $981.8 million and a 59 basis points expansion of the earning asset yield, from 2.92% for the third quarter of 2021 to 3.51% for the third quarter of 2022. Year-over-year earning asset growth resulted from both the acquisition of Suncrest on January 7, 2022 and core loan and deposit growth over the last year. The 59 basis point increase in the average interest-earning asset yield compared to the third quarter of 2021, was impacted by higher yields on loans and investments and a change in asset mix. Funds on deposit at the Federal Reserve declined from 16.17% of earning assets during the third quarter of 2021 to 4.07% for the third quarter of 2022. Excess liquidity held at the Federal Reserve was invested into higher yielding loans and investments. Loans increased from 54.97% of average earning assets in the third quarter of 2021 to 56.55% in the third quarter of 2022. Investments increased from 28.55% of average earning assets in the third quarter of 2021 to 39.22% in the third quarter of 2022. Throughout the first nine months of 2022, we deployed some of the excess liquidity on the balance sheet into additional investment securities by purchasing approximately $1.72 billion in securities.</w:t>
      </w:r>
    </w:p>
    <w:p>
      <w:pPr>
        <w:spacing w:after="0" w:line="172" w:lineRule="exact"/>
        <w:rPr>
          <w:sz w:val="20"/>
          <w:szCs w:val="20"/>
          <w:color w:val="auto"/>
        </w:rPr>
      </w:pPr>
    </w:p>
    <w:p>
      <w:pPr>
        <w:ind w:right="100" w:firstLine="360"/>
        <w:spacing w:after="0" w:line="247" w:lineRule="auto"/>
        <w:rPr>
          <w:sz w:val="20"/>
          <w:szCs w:val="20"/>
          <w:color w:val="auto"/>
        </w:rPr>
      </w:pPr>
      <w:r>
        <w:rPr>
          <w:rFonts w:ascii="Times New Roman" w:cs="Times New Roman" w:eastAsia="Times New Roman" w:hAnsi="Times New Roman"/>
          <w:sz w:val="18"/>
          <w:szCs w:val="18"/>
          <w:color w:val="auto"/>
        </w:rPr>
        <w:t>Total interest income and fees on loans for the third quarter of 2022 was $100.1 million, an increase of $11.7 million, or 13.22%, from the third quarter of 2021. The increase in interest income and fees on loans year-over-year was primarily due to a $782.9 million increase in average loans, which included approximately $775 million in loans acquired from Suncrest on January 7, 2022. Average loans grew by approximately $471.5 million, when Suncrest and the $463.6 million decrease in average PPP loans are excluded. Loan yields were 4.56% for the third quarter of 2022, compared to 4.43% for the third quarter of 2021. Interest and fee income from PPP loans declined by $6.9 million from $7.9 million in the third quarter of 2021. After excluding discount accretion and the impact from PPP loans ("core") loan yields grew by 28 basis points compared to the third quarter of 2021.</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Interest income from investment securities was $31.4 million, an increase of $16.4 million, or 109.17%, from the third quarter of 2021. Investment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growth resulted from higher levels of investment securities as a result of purchases of investment securities funded by the growth in the Bank's</w:t>
      </w:r>
    </w:p>
    <w:p>
      <w:pPr>
        <w:spacing w:after="0" w:line="234" w:lineRule="auto"/>
        <w:rPr>
          <w:sz w:val="20"/>
          <w:szCs w:val="20"/>
          <w:color w:val="auto"/>
        </w:rPr>
      </w:pPr>
      <w:r>
        <w:rPr>
          <w:rFonts w:ascii="Times New Roman" w:cs="Times New Roman" w:eastAsia="Times New Roman" w:hAnsi="Times New Roman"/>
          <w:sz w:val="18"/>
          <w:szCs w:val="18"/>
          <w:color w:val="auto"/>
        </w:rPr>
        <w:t>deposits. Excess liquidity held at the Federal Reserve was invested into higher yielding investments, while our balance at the Federal Reserve averaged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$625.7 million for the third quarter of 2022, compared to more than $2.3 billion in the third quarter of 2021. During the third quarter of 2022, we purchased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$197 million in investment securities, with expected yields of approximately 4.04%. With interest rates increasing during the third quarter of</w:t>
      </w:r>
    </w:p>
    <w:p>
      <w:pPr>
        <w:spacing w:after="0"/>
        <w:rPr>
          <w:sz w:val="20"/>
          <w:szCs w:val="20"/>
          <w:color w:val="auto"/>
        </w:rPr>
      </w:pPr>
      <w:r>
        <w:rPr>
          <w:rFonts w:ascii="Times New Roman" w:cs="Times New Roman" w:eastAsia="Times New Roman" w:hAnsi="Times New Roman"/>
          <w:sz w:val="18"/>
          <w:szCs w:val="18"/>
          <w:color w:val="auto"/>
        </w:rPr>
        <w:t>2022, our tax-equivalent yield on investment securities increased from 1.54% in the third quarter of 2021 to 2.12% for the third quarter of 2022.</w:t>
      </w:r>
    </w:p>
    <w:p>
      <w:pPr>
        <w:spacing w:after="0" w:line="192" w:lineRule="exact"/>
        <w:rPr>
          <w:sz w:val="20"/>
          <w:szCs w:val="20"/>
          <w:color w:val="auto"/>
        </w:rPr>
      </w:pPr>
    </w:p>
    <w:p>
      <w:pPr>
        <w:ind w:right="40" w:firstLine="360"/>
        <w:spacing w:after="0" w:line="243" w:lineRule="auto"/>
        <w:rPr>
          <w:sz w:val="20"/>
          <w:szCs w:val="20"/>
          <w:color w:val="auto"/>
        </w:rPr>
      </w:pPr>
      <w:r>
        <w:rPr>
          <w:rFonts w:ascii="Times New Roman" w:cs="Times New Roman" w:eastAsia="Times New Roman" w:hAnsi="Times New Roman"/>
          <w:sz w:val="18"/>
          <w:szCs w:val="18"/>
          <w:color w:val="auto"/>
        </w:rPr>
        <w:t>Interest expense of $1.9 million for the third quarter of 2022, increased $602,000, or 48.24%, compared to the third quarter of 2021. Although short-term interest rates were 300 basis points higher during the third quarter of 2022, in comparison to the prior year, the average rate paid on interest-bearing liabilities increased by 4 basis points, to 0.13% for the third quarter of 2022 from 0.09% for the third quarter of 2021. Average interest-bearing liabilities of $5.72 billion for the third quarter of 2022 grew by $380.2 million when compared to the third quarter of 2021. On average, noninterest-bearing deposits were 63.38% of our total deposits for the third quarter of 2022, compared to 62.94% for the third quarter of 2021. Although we are beginning to experience some pressure to increase deposit rates, due to the recent increases in market rates, our overall cost of funds increased by one basis point compared to the third quarter of 2021, partially due to growth in average noninterest-bearing deposits of $1.02 billion, compared to the increase in average interest-bearing deposits of $501.4 million.</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9" w:name="page50"/>
    <w:bookmarkEnd w:id="49"/>
    <w:p>
      <w:pPr>
        <w:ind w:left="480"/>
        <w:spacing w:after="0"/>
        <w:rPr>
          <w:sz w:val="20"/>
          <w:szCs w:val="20"/>
          <w:color w:val="auto"/>
        </w:rPr>
      </w:pPr>
      <w:r>
        <w:rPr>
          <w:rFonts w:ascii="Times New Roman" w:cs="Times New Roman" w:eastAsia="Times New Roman" w:hAnsi="Times New Roman"/>
          <w:sz w:val="18"/>
          <w:szCs w:val="18"/>
          <w:i w:val="1"/>
          <w:iCs w:val="1"/>
          <w:color w:val="auto"/>
        </w:rPr>
        <w:t>Nine Months of 2022 Compared to Nine Months of 2021</w:t>
      </w:r>
    </w:p>
    <w:p>
      <w:pPr>
        <w:spacing w:after="0" w:line="200" w:lineRule="exact"/>
        <w:rPr>
          <w:sz w:val="20"/>
          <w:szCs w:val="20"/>
          <w:color w:val="auto"/>
        </w:rPr>
      </w:pPr>
    </w:p>
    <w:p>
      <w:pPr>
        <w:ind w:firstLine="469"/>
        <w:spacing w:after="0" w:line="250" w:lineRule="auto"/>
        <w:rPr>
          <w:sz w:val="20"/>
          <w:szCs w:val="20"/>
          <w:color w:val="auto"/>
        </w:rPr>
      </w:pPr>
      <w:r>
        <w:rPr>
          <w:rFonts w:ascii="Times New Roman" w:cs="Times New Roman" w:eastAsia="Times New Roman" w:hAnsi="Times New Roman"/>
          <w:sz w:val="18"/>
          <w:szCs w:val="18"/>
          <w:color w:val="auto"/>
        </w:rPr>
        <w:t>Net interest income, before provision for credit losses, was $368.1 million for the nine months ended September 30, 2022, an increase of $56.0 million, or 17.93%, compared to $312.2 million for the same period of 2021. Interest-earning assets increased on average by $1.76 billion, or 12.66%, from $13.88 billion for the nine months ended September 30, 2021 to $15.63 billion for the same period in the current year. Our net interest margin (TE) was 3.17% for the first nine months of 2022, compared to 3.04% for the same period of 2021.</w:t>
      </w:r>
    </w:p>
    <w:p>
      <w:pPr>
        <w:spacing w:after="0" w:line="177" w:lineRule="exact"/>
        <w:rPr>
          <w:sz w:val="20"/>
          <w:szCs w:val="20"/>
          <w:color w:val="auto"/>
        </w:rPr>
      </w:pPr>
    </w:p>
    <w:p>
      <w:pPr>
        <w:ind w:right="40" w:firstLine="360"/>
        <w:spacing w:after="0" w:line="242" w:lineRule="auto"/>
        <w:rPr>
          <w:sz w:val="20"/>
          <w:szCs w:val="20"/>
          <w:color w:val="auto"/>
        </w:rPr>
      </w:pPr>
      <w:r>
        <w:rPr>
          <w:rFonts w:ascii="Times New Roman" w:cs="Times New Roman" w:eastAsia="Times New Roman" w:hAnsi="Times New Roman"/>
          <w:sz w:val="18"/>
          <w:szCs w:val="18"/>
          <w:color w:val="auto"/>
        </w:rPr>
        <w:t>Interest income for the nine months ended September 30, 2022, was $372.6 million, which represented a $55.5 million, or 17.49%, increase when compared to the same period of 2021. Compared to the first nine months of 2021, average interest-earning assets increased by $1.76 billion and the yield on interest-earning assets increased by 12 basis points. Year-over-year earning asset growth resulted from both the acquisition of Suncrest on January 7, 2022, in addition to core loan and deposit growth over the last year. The 12 basis point increase in the earning asset yield over the first nine months of 2021, resulted from a 35 basis point increase in investment yield, partially offset by an 8 basis point decline in loan yields from 4.46% for the first nine months of 2021 to 4.38% for the same period of 2022, as well as a change in the mix of earning assets. Average loans as a percentage of earning assets declined from 58.69% for the first nine months of 2021 to 55.09% for the first nine months of 2022. Average investments as a percentage of earning assets increased to 38.20% for the first nine months of 2022 from 27.33% for the same period of 2021. The tax-equivalent yield on investment securities was 1.92% for the nine months ended September 30, 2022, compared to 1.57% for the same period of 2021.</w:t>
      </w:r>
    </w:p>
    <w:p>
      <w:pPr>
        <w:spacing w:after="0" w:line="187" w:lineRule="exact"/>
        <w:rPr>
          <w:sz w:val="20"/>
          <w:szCs w:val="20"/>
          <w:color w:val="auto"/>
        </w:rPr>
      </w:pPr>
    </w:p>
    <w:p>
      <w:pPr>
        <w:ind w:right="60" w:firstLine="360"/>
        <w:spacing w:after="0" w:line="244" w:lineRule="auto"/>
        <w:rPr>
          <w:sz w:val="20"/>
          <w:szCs w:val="20"/>
          <w:color w:val="auto"/>
        </w:rPr>
      </w:pPr>
      <w:r>
        <w:rPr>
          <w:rFonts w:ascii="Times New Roman" w:cs="Times New Roman" w:eastAsia="Times New Roman" w:hAnsi="Times New Roman"/>
          <w:sz w:val="18"/>
          <w:szCs w:val="18"/>
          <w:color w:val="auto"/>
        </w:rPr>
        <w:t>Total interest income and fees on loans for the first nine months of 2022 of $282.3 million increased $10.4 million, or 3.82%, when compared to the same period of 2021. Average loans increased $468.1 million for the first nine months of 2022 when compared with the same period of 2021. After excluding discount accretion and the impact from PPP loans ("core") the core loan yield increased by two basis points compared to the first nine months of 2021. The first nine months of 2022 reflected a $4.0 million decrease in discount accretion on acquired loans when compared to the first nine months of</w:t>
      </w:r>
    </w:p>
    <w:p>
      <w:pPr>
        <w:spacing w:after="0" w:line="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2021. Additionally, the PPP loans generated approximately $5.3 million in loan fee and interest income during the first nine months of 2022, compared to $26.4 million for the same period in 2021.</w:t>
      </w:r>
    </w:p>
    <w:p>
      <w:pPr>
        <w:spacing w:after="0" w:line="156" w:lineRule="exact"/>
        <w:rPr>
          <w:sz w:val="20"/>
          <w:szCs w:val="20"/>
          <w:color w:val="auto"/>
        </w:rPr>
      </w:pPr>
    </w:p>
    <w:p>
      <w:pPr>
        <w:ind w:right="140" w:firstLine="360"/>
        <w:spacing w:after="0" w:line="258" w:lineRule="auto"/>
        <w:rPr>
          <w:sz w:val="20"/>
          <w:szCs w:val="20"/>
          <w:color w:val="auto"/>
        </w:rPr>
      </w:pPr>
      <w:r>
        <w:rPr>
          <w:rFonts w:ascii="Times New Roman" w:cs="Times New Roman" w:eastAsia="Times New Roman" w:hAnsi="Times New Roman"/>
          <w:sz w:val="18"/>
          <w:szCs w:val="18"/>
          <w:color w:val="auto"/>
        </w:rPr>
        <w:t>Interest income from investment securities of $83.6 million for the nine months ended September 30, 2022, increased $41.0 million from $42.6 million for the first nine months of 2021. This increase was the combined result of a $2.18 billion increase in average investment securities and a 35 basis point increase in the yield on securities, compared to the first nine months of 2021.</w:t>
      </w:r>
    </w:p>
    <w:p>
      <w:pPr>
        <w:spacing w:after="0" w:line="156" w:lineRule="exact"/>
        <w:rPr>
          <w:sz w:val="20"/>
          <w:szCs w:val="20"/>
          <w:color w:val="auto"/>
        </w:rPr>
      </w:pPr>
    </w:p>
    <w:p>
      <w:pPr>
        <w:ind w:right="20" w:firstLine="360"/>
        <w:spacing w:after="0" w:line="245" w:lineRule="auto"/>
        <w:rPr>
          <w:sz w:val="20"/>
          <w:szCs w:val="20"/>
          <w:color w:val="auto"/>
        </w:rPr>
      </w:pPr>
      <w:r>
        <w:rPr>
          <w:rFonts w:ascii="Times New Roman" w:cs="Times New Roman" w:eastAsia="Times New Roman" w:hAnsi="Times New Roman"/>
          <w:sz w:val="18"/>
          <w:szCs w:val="18"/>
          <w:color w:val="auto"/>
        </w:rPr>
        <w:t>Interest expense of $4.4 million for the nine months ended September 30, 2022, decreased by $512,000 from the same period of 2021. The average rate paid on interest-bearing liabilities decreased by 3 basis points, to 0.10% for the first nine months of 2022, from 0.13% for the same period of 2021. Likewise, the rate on interest-bearing deposits for the first nine months of 2022 decreased by 3 basis points from the same period in 2021. Average interest-bearing liabilities were $694.0 million higher for the first nine months of 2022 when compared with the same period of 2021. Average interest-bearing deposits grew by $714.0 million when compared to the first nine months of 2021. Average noninterest-bearing deposits represented 62.61% of our total deposits for the nine months ended September 30, 2022, compared to 62.48% for the same period of 2021. Total cost of funds for the first nine months of 2022 was 0.04%, compared with 0.05% for the same period of 2021.</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(Recapture of) Credit Losses</w:t>
      </w:r>
    </w:p>
    <w:p>
      <w:pPr>
        <w:spacing w:after="0" w:line="216" w:lineRule="exact"/>
        <w:rPr>
          <w:sz w:val="20"/>
          <w:szCs w:val="20"/>
          <w:color w:val="auto"/>
        </w:rPr>
      </w:pPr>
    </w:p>
    <w:p>
      <w:pPr>
        <w:ind w:right="940" w:firstLine="469"/>
        <w:spacing w:after="0" w:line="266" w:lineRule="auto"/>
        <w:rPr>
          <w:sz w:val="20"/>
          <w:szCs w:val="20"/>
          <w:color w:val="auto"/>
        </w:rPr>
      </w:pPr>
      <w:r>
        <w:rPr>
          <w:rFonts w:ascii="Times New Roman" w:cs="Times New Roman" w:eastAsia="Times New Roman" w:hAnsi="Times New Roman"/>
          <w:sz w:val="18"/>
          <w:szCs w:val="18"/>
          <w:color w:val="auto"/>
        </w:rPr>
        <w:t>The provision for (recapture of) credit losses is a charge to earnings to maintain the allowance for credit losses at a level consistent with management’s assessment of expected lifetime losses in the loan portfolio as of the balance sheet date.</w:t>
      </w:r>
    </w:p>
    <w:p>
      <w:pPr>
        <w:spacing w:after="0" w:line="162" w:lineRule="exact"/>
        <w:rPr>
          <w:sz w:val="20"/>
          <w:szCs w:val="20"/>
          <w:color w:val="auto"/>
        </w:rPr>
      </w:pPr>
    </w:p>
    <w:p>
      <w:pPr>
        <w:ind w:right="20" w:firstLine="360"/>
        <w:spacing w:after="0" w:line="242" w:lineRule="auto"/>
        <w:rPr>
          <w:sz w:val="20"/>
          <w:szCs w:val="20"/>
          <w:color w:val="auto"/>
        </w:rPr>
      </w:pPr>
      <w:r>
        <w:rPr>
          <w:rFonts w:ascii="Times New Roman" w:cs="Times New Roman" w:eastAsia="Times New Roman" w:hAnsi="Times New Roman"/>
          <w:sz w:val="18"/>
          <w:szCs w:val="18"/>
          <w:color w:val="auto"/>
        </w:rPr>
        <w:t>The allowance for credit losses on loans totaled $82.6 million at September 30, 2022, compared to $65.0 million at December 31, 2021 and $65.4 million as of September 30, 2021. The third quarter of 2022 included $2.0 million in provision for credit losses, compared to $3.6 million in provision for credit losses in the second quarter of 2022. A $4.0 million recapture of provision for credit losses was recorded in the third quarter of 2021. The $2.0 million provision for credit losses in the most recent quarter was the net result of core loan growth of approximately $131.5 million from June 30, 2022 to September 30, 2022 and an increase in projected loss rates from a deteriorating economic forecast that assumes a modest recession in early 2023 and modest GDP growth through 2024, as well as lower commercial real estate values and an increase in unemployment of over 5% in both 2023 and 2024. The provision for credit losses in the third quarter of 2022 also reflects an approximately $5 million decrease in the expected loss on individually evaluated loans, which were identified as purchased credit deteriorated or PCD loans at the time of acquisition from Suncrest. The $2.0 million provision for credit losses was also impacted by net recoveries of $379,000 during the third quarter.</w:t>
      </w:r>
    </w:p>
    <w:p>
      <w:pPr>
        <w:spacing w:after="0" w:line="187" w:lineRule="exact"/>
        <w:rPr>
          <w:sz w:val="20"/>
          <w:szCs w:val="20"/>
          <w:color w:val="auto"/>
        </w:rPr>
      </w:pPr>
    </w:p>
    <w:p>
      <w:pPr>
        <w:ind w:right="20" w:firstLine="360"/>
        <w:spacing w:after="0" w:line="241" w:lineRule="auto"/>
        <w:rPr>
          <w:sz w:val="20"/>
          <w:szCs w:val="20"/>
          <w:color w:val="auto"/>
        </w:rPr>
      </w:pPr>
      <w:r>
        <w:rPr>
          <w:rFonts w:ascii="Times New Roman" w:cs="Times New Roman" w:eastAsia="Times New Roman" w:hAnsi="Times New Roman"/>
          <w:sz w:val="18"/>
          <w:szCs w:val="18"/>
          <w:color w:val="auto"/>
        </w:rPr>
        <w:t xml:space="preserve">For the nine months ended September 30, 2022, we recorded $8.1 million in provision for credit losses, and experienced credit charge-offs of $70,000 and total recoveries of $947,000, resulting in net recoveries of $877,000. The first quarter of 2022 included the $4.9 million provision for credit losses recorded for the acquisition of the Suncrest non-PCD loans on January 7, 2022. Core loan growth from the end of 2021 to September 30, 2022, as well as forecasted deteriorations in macroeconomic variables such as GDP and the unemployment rate resulted in an additional $4.1 million provision for credit losses. For the nine months ended September 30, 2021, we recaptured $25.5 million in provision for credit losses, due to the improved outlook in our forecast of certain macroeconomic variables that were influenced by the economic impact of the pandemic and government stimulus. For the nine months ended September 30, 2021, we experienced credit charge-offs of $3.0 million and total recoveries of $168,000, resulting in net charge-offs of $2.8 million. At September 30, 2022, ACL as a percentage of total loans and leases outstanding, at amortized cost, was 0.94%, or 0.94% of total loans when excluding the $17.3 million in PPP loans. This compares to 0.82% and 0.84% at December 31, 2021, respectively. As of September 30, 2022, remaining discounts on acquired loans were $9.5 million. Refer to the discussion of “Allowance for Credit Losses” in Item 2 – </w:t>
      </w:r>
      <w:r>
        <w:rPr>
          <w:rFonts w:ascii="Times New Roman" w:cs="Times New Roman" w:eastAsia="Times New Roman" w:hAnsi="Times New Roman"/>
          <w:sz w:val="18"/>
          <w:szCs w:val="18"/>
          <w:i w:val="1"/>
          <w:iCs w:val="1"/>
          <w:color w:val="auto"/>
        </w:rPr>
        <w:t>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Condition and Results of Operations </w:t>
      </w:r>
      <w:r>
        <w:rPr>
          <w:rFonts w:ascii="Times New Roman" w:cs="Times New Roman" w:eastAsia="Times New Roman" w:hAnsi="Times New Roman"/>
          <w:sz w:val="18"/>
          <w:szCs w:val="18"/>
          <w:color w:val="auto"/>
        </w:rPr>
        <w:t>contained herein for discussion concerning observed changes in the credit quality of various components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loan portfolio as well as changes and refinements to our methodology.</w:t>
      </w:r>
    </w:p>
    <w:p>
      <w:pPr>
        <w:spacing w:after="0" w:line="192" w:lineRule="exact"/>
        <w:rPr>
          <w:sz w:val="20"/>
          <w:szCs w:val="20"/>
          <w:color w:val="auto"/>
        </w:rPr>
      </w:pPr>
    </w:p>
    <w:p>
      <w:pPr>
        <w:ind w:right="40" w:firstLine="360"/>
        <w:spacing w:after="0" w:line="246" w:lineRule="auto"/>
        <w:rPr>
          <w:sz w:val="20"/>
          <w:szCs w:val="20"/>
          <w:color w:val="auto"/>
        </w:rPr>
      </w:pPr>
      <w:r>
        <w:rPr>
          <w:rFonts w:ascii="Times New Roman" w:cs="Times New Roman" w:eastAsia="Times New Roman" w:hAnsi="Times New Roman"/>
          <w:sz w:val="18"/>
          <w:szCs w:val="18"/>
          <w:color w:val="auto"/>
        </w:rPr>
        <w:t xml:space="preserve">No assurance can be given that economic conditions which affect the Company’s service areas or other circumstances will or will not be reflected in future changes in the level of our allowance for credit losses and the resulting provision or recapture of provision for credit losses. The process to estimate the allowance for credit losses requires considerable judgment and our economic forecasts may continue to vary due to the uncertainty of the future impact that the pandemic, geopolitical events in Europe, and global inflation will have on interest rates, and the overall economy and resulting impact on our customers. See “Allowance for credit Losses” under </w:t>
      </w:r>
      <w:r>
        <w:rPr>
          <w:rFonts w:ascii="Times New Roman" w:cs="Times New Roman" w:eastAsia="Times New Roman" w:hAnsi="Times New Roman"/>
          <w:sz w:val="18"/>
          <w:szCs w:val="18"/>
          <w:i w:val="1"/>
          <w:iCs w:val="1"/>
          <w:color w:val="auto"/>
        </w:rPr>
        <w:t>Analysis of Financial Condition</w:t>
      </w:r>
      <w:r>
        <w:rPr>
          <w:rFonts w:ascii="Times New Roman" w:cs="Times New Roman" w:eastAsia="Times New Roman" w:hAnsi="Times New Roman"/>
          <w:sz w:val="18"/>
          <w:szCs w:val="18"/>
          <w:color w:val="auto"/>
        </w:rPr>
        <w:t xml:space="preserve"> herein.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16" w:lineRule="exact"/>
        <w:rPr>
          <w:sz w:val="20"/>
          <w:szCs w:val="20"/>
          <w:color w:val="auto"/>
        </w:rPr>
      </w:pPr>
    </w:p>
    <w:p>
      <w:pPr>
        <w:ind w:firstLine="469"/>
        <w:spacing w:after="0" w:line="244" w:lineRule="auto"/>
        <w:rPr>
          <w:sz w:val="20"/>
          <w:szCs w:val="20"/>
          <w:color w:val="auto"/>
        </w:rPr>
      </w:pPr>
      <w:r>
        <w:rPr>
          <w:rFonts w:ascii="Times New Roman" w:cs="Times New Roman" w:eastAsia="Times New Roman" w:hAnsi="Times New Roman"/>
          <w:sz w:val="18"/>
          <w:szCs w:val="18"/>
          <w:color w:val="auto"/>
        </w:rPr>
        <w:t>Noninterest income includes income derived from financial services offered to our customers, such as CitizensTrust, BankCard services, international banking, and other business services. Also included in noninterest income are service charges and fees, primarily from deposit accounts, gains (net of losses) from the disposition of investment securities, loans, other real estate owned, and fixed assets, and other revenues not included as interest on earning assets.</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51" w:name="page52"/>
    <w:bookmarkEnd w:id="51"/>
    <w:p>
      <w:pPr>
        <w:ind w:left="480"/>
        <w:spacing w:after="0"/>
        <w:rPr>
          <w:sz w:val="20"/>
          <w:szCs w:val="20"/>
          <w:color w:val="auto"/>
        </w:rPr>
      </w:pPr>
      <w:r>
        <w:rPr>
          <w:rFonts w:ascii="Times New Roman" w:cs="Times New Roman" w:eastAsia="Times New Roman" w:hAnsi="Times New Roman"/>
          <w:sz w:val="18"/>
          <w:szCs w:val="18"/>
          <w:color w:val="auto"/>
        </w:rPr>
        <w:t>The following table sets forth the various components of noninterest income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7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(Dollars in</w:t>
            </w:r>
          </w:p>
        </w:tc>
        <w:tc>
          <w:tcPr>
            <w:tcW w:w="940" w:type="dxa"/>
            <w:vAlign w:val="bottom"/>
            <w:gridSpan w:val="3"/>
          </w:tcPr>
          <w:p>
            <w:pPr>
              <w:jc w:val="center"/>
              <w:ind w:right="248"/>
              <w:spacing w:after="0"/>
              <w:rPr>
                <w:sz w:val="20"/>
                <w:szCs w:val="20"/>
                <w:color w:val="auto"/>
              </w:rPr>
            </w:pPr>
            <w:r>
              <w:rPr>
                <w:rFonts w:ascii="Times New Roman" w:cs="Times New Roman" w:eastAsia="Times New Roman" w:hAnsi="Times New Roman"/>
                <w:sz w:val="14"/>
                <w:szCs w:val="14"/>
                <w:i w:val="1"/>
                <w:iCs w:val="1"/>
                <w:color w:val="auto"/>
              </w:rPr>
              <w:t>thousands)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94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Service charges on deposit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5,233</w:t>
            </w:r>
          </w:p>
        </w:tc>
        <w:tc>
          <w:tcPr>
            <w:tcW w:w="4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4,513</w:t>
            </w:r>
          </w:p>
        </w:tc>
        <w:tc>
          <w:tcPr>
            <w:tcW w:w="52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15.95 %</w:t>
            </w: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15,625</w:t>
            </w:r>
          </w:p>
        </w:tc>
        <w:tc>
          <w:tcPr>
            <w:tcW w:w="4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12,667</w:t>
            </w:r>
          </w:p>
        </w:tc>
        <w:tc>
          <w:tcPr>
            <w:tcW w:w="4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2,958</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23.35 %</w:t>
            </w:r>
          </w:p>
        </w:tc>
        <w:tc>
          <w:tcPr>
            <w:tcW w:w="0" w:type="dxa"/>
            <w:vAlign w:val="bottom"/>
          </w:tcPr>
          <w:p>
            <w:pPr>
              <w:spacing w:after="0"/>
              <w:rPr>
                <w:sz w:val="1"/>
                <w:szCs w:val="1"/>
                <w:color w:val="auto"/>
              </w:rPr>
            </w:pPr>
          </w:p>
        </w:tc>
      </w:tr>
      <w:tr>
        <w:trPr>
          <w:trHeight w:val="185"/>
        </w:trPr>
        <w:tc>
          <w:tcPr>
            <w:tcW w:w="2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w:t>
            </w:r>
          </w:p>
        </w:tc>
        <w:tc>
          <w:tcPr>
            <w:tcW w:w="14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Trust and investment services</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2,867</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2,681</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6.94 %</w:t>
            </w: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8,651</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8,459</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Bankcard services</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(103 )</w:t>
            </w:r>
          </w:p>
        </w:tc>
        <w:tc>
          <w:tcPr>
            <w:tcW w:w="220" w:type="dxa"/>
            <w:vAlign w:val="bottom"/>
          </w:tcPr>
          <w:p>
            <w:pPr>
              <w:spacing w:after="0"/>
              <w:rPr>
                <w:sz w:val="15"/>
                <w:szCs w:val="15"/>
                <w:color w:val="auto"/>
              </w:rPr>
            </w:pPr>
          </w:p>
        </w:tc>
        <w:tc>
          <w:tcPr>
            <w:tcW w:w="9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-21.50 %</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(260 )</w:t>
            </w:r>
          </w:p>
        </w:tc>
        <w:tc>
          <w:tcPr>
            <w:tcW w:w="30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-19.09 %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BOLI income</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61.68 %</w:t>
            </w: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3,939</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7,093</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(3,154 )</w:t>
            </w:r>
          </w:p>
        </w:tc>
        <w:tc>
          <w:tcPr>
            <w:tcW w:w="3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-44.47 %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Swap fee income</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(167 )</w:t>
            </w:r>
          </w:p>
        </w:tc>
        <w:tc>
          <w:tcPr>
            <w:tcW w:w="220" w:type="dxa"/>
            <w:vAlign w:val="bottom"/>
          </w:tcPr>
          <w:p>
            <w:pPr>
              <w:spacing w:after="0"/>
              <w:rPr>
                <w:sz w:val="15"/>
                <w:szCs w:val="15"/>
                <w:color w:val="auto"/>
              </w:rPr>
            </w:pPr>
          </w:p>
        </w:tc>
        <w:tc>
          <w:tcPr>
            <w:tcW w:w="9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-100.00 %</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(382 )</w:t>
            </w:r>
          </w:p>
        </w:tc>
        <w:tc>
          <w:tcPr>
            <w:tcW w:w="30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Gain on OREO, net</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0.00 %</w:t>
            </w: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(477 )</w:t>
            </w:r>
          </w:p>
        </w:tc>
        <w:tc>
          <w:tcPr>
            <w:tcW w:w="3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(287 )</w:t>
            </w:r>
          </w:p>
        </w:tc>
        <w:tc>
          <w:tcPr>
            <w:tcW w:w="220" w:type="dxa"/>
            <w:vAlign w:val="bottom"/>
          </w:tcPr>
          <w:p>
            <w:pPr>
              <w:spacing w:after="0"/>
              <w:rPr>
                <w:sz w:val="15"/>
                <w:szCs w:val="15"/>
                <w:color w:val="auto"/>
              </w:rPr>
            </w:pPr>
          </w:p>
        </w:tc>
        <w:tc>
          <w:tcPr>
            <w:tcW w:w="9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-20.30 %</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8,207</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3,647</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79.98 %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940" w:type="dxa"/>
            <w:vAlign w:val="bottom"/>
            <w:tcBorders>
              <w:bottom w:val="single" w:sz="8" w:color="CFF0FC"/>
            </w:tcBorders>
            <w:shd w:val="clear" w:color="auto" w:fill="CFF0FC"/>
          </w:tcPr>
          <w:p>
            <w:pPr>
              <w:ind w:left="380"/>
              <w:spacing w:after="0" w:line="155" w:lineRule="exact"/>
              <w:rPr>
                <w:sz w:val="20"/>
                <w:szCs w:val="20"/>
                <w:color w:val="auto"/>
              </w:rPr>
            </w:pPr>
            <w:r>
              <w:rPr>
                <w:rFonts w:ascii="Times New Roman" w:cs="Times New Roman" w:eastAsia="Times New Roman" w:hAnsi="Times New Roman"/>
                <w:sz w:val="14"/>
                <w:szCs w:val="14"/>
                <w:color w:val="auto"/>
              </w:rPr>
              <w:t>Total noninterest income</w:t>
            </w: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11,590</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10,483</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1,107</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10.56</w:t>
            </w:r>
          </w:p>
        </w:tc>
        <w:tc>
          <w:tcPr>
            <w:tcW w:w="260" w:type="dxa"/>
            <w:vAlign w:val="bottom"/>
            <w:tcBorders>
              <w:bottom w:val="single" w:sz="8" w:color="CFF0FC"/>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auto"/>
              <w:bottom w:val="single" w:sz="8" w:color="auto"/>
            </w:tcBorders>
            <w:shd w:val="clear" w:color="auto" w:fill="CFF0FC"/>
          </w:tcPr>
          <w:p>
            <w:pPr>
              <w:jc w:val="cente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37,524</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35,000</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2,524</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7.21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-24765</wp:posOffset>
            </wp:positionV>
            <wp:extent cx="7683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-7620</wp:posOffset>
            </wp:positionV>
            <wp:extent cx="7683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-24765</wp:posOffset>
            </wp:positionV>
            <wp:extent cx="7683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-7620</wp:posOffset>
            </wp:positionV>
            <wp:extent cx="7683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-24765</wp:posOffset>
            </wp:positionV>
            <wp:extent cx="7747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-7620</wp:posOffset>
            </wp:positionV>
            <wp:extent cx="7747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-24765</wp:posOffset>
            </wp:positionV>
            <wp:extent cx="7683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7683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6858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6858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6858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6858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Third Quarter of 2022 Compared to the Third Quarter of 2021</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Noninterest income was $11.6 million for the third quarter of 2022, compared with $10.5 million for the third quarter of 2021. The third quarter of</w:t>
      </w:r>
    </w:p>
    <w:p>
      <w:pPr>
        <w:spacing w:after="0" w:line="1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2022 included a $758,000 increase in BOLI income. The $287,000 decrease in other income included a $1.1 million decline in our CRA investment income due to valuation changes, partially offset by $680,000 in the third quarter of 2022 for recovery of acquired loans charged off prior to previous acquisitions. Service charges on deposit accounts increased by $720,000 from the prior year quarter, due to the addition of customers from the Suncrest acquisition.</w:t>
      </w:r>
    </w:p>
    <w:p>
      <w:pPr>
        <w:spacing w:after="0" w:line="167" w:lineRule="exact"/>
        <w:rPr>
          <w:sz w:val="20"/>
          <w:szCs w:val="20"/>
          <w:color w:val="auto"/>
        </w:rPr>
      </w:pPr>
    </w:p>
    <w:p>
      <w:pPr>
        <w:ind w:right="140" w:firstLine="469"/>
        <w:spacing w:after="0" w:line="247" w:lineRule="auto"/>
        <w:rPr>
          <w:sz w:val="20"/>
          <w:szCs w:val="20"/>
          <w:color w:val="auto"/>
        </w:rPr>
      </w:pPr>
      <w:r>
        <w:rPr>
          <w:rFonts w:ascii="Times New Roman" w:cs="Times New Roman" w:eastAsia="Times New Roman" w:hAnsi="Times New Roman"/>
          <w:sz w:val="18"/>
          <w:szCs w:val="18"/>
          <w:color w:val="auto"/>
        </w:rPr>
        <w:t>CitizensTrust consists of Wealth Management and Investment Services income. The Wealth Management group provides a variety of services, which include asset management, financial planning, estate planning, retirement planning, private and corporate trustee services, and probate services. Investment Services provides self-directed brokerage, 401(k) plans, mutual funds, insurance and other non-insured investment products. At September 30, 2022, CitizensTrust had approximately $2.6 billion in assets under management and administration, including $1.72 billion in assets under management. CitizensTrust generated fees of $2.9 million for the third quarter of 2022, compared to $2.7 million for the same period of 2021. Market conditions continue to negatively impact assets under management and trust fee income.</w:t>
      </w:r>
    </w:p>
    <w:p>
      <w:pPr>
        <w:spacing w:after="0" w:line="180" w:lineRule="exact"/>
        <w:rPr>
          <w:sz w:val="20"/>
          <w:szCs w:val="20"/>
          <w:color w:val="auto"/>
        </w:rPr>
      </w:pPr>
    </w:p>
    <w:p>
      <w:pPr>
        <w:ind w:right="240" w:firstLine="360"/>
        <w:spacing w:after="0" w:line="245" w:lineRule="auto"/>
        <w:rPr>
          <w:sz w:val="20"/>
          <w:szCs w:val="20"/>
          <w:color w:val="auto"/>
        </w:rPr>
      </w:pPr>
      <w:r>
        <w:rPr>
          <w:rFonts w:ascii="Times New Roman" w:cs="Times New Roman" w:eastAsia="Times New Roman" w:hAnsi="Times New Roman"/>
          <w:sz w:val="18"/>
          <w:szCs w:val="18"/>
          <w:color w:val="auto"/>
        </w:rPr>
        <w:t>The Bank’s investment in BOLI includes life insurance policies acquired through acquisitions and the purchase of life insurance by the Bank on a select group of employees. The Bank is the owner and beneficiary of these policies. BOLI is recorded as an asset at its cash surrender value. The policies consist of general account, separate account, and hybrid policies. Increases in the cash value of these policies, as well as insurance proceeds received, are recorded in noninterest income and are not subject to income tax, as long as they are held for the life of the covered parties. The third quarter of 2022 included $1.8 million in death benefits that exceeded the asset value of certain BOLI policies, which was offset by a $1.0 million decline in the market value of separate account life insurance policies that are used to fund to our deferred compensation liabilities. There were no death benefits for the third quarter of 2021.</w:t>
      </w:r>
    </w:p>
    <w:p>
      <w:pPr>
        <w:spacing w:after="0" w:line="168" w:lineRule="exact"/>
        <w:rPr>
          <w:sz w:val="20"/>
          <w:szCs w:val="20"/>
          <w:color w:val="auto"/>
        </w:rPr>
      </w:pPr>
    </w:p>
    <w:p>
      <w:pPr>
        <w:ind w:right="40" w:firstLine="360"/>
        <w:spacing w:after="0" w:line="246" w:lineRule="auto"/>
        <w:rPr>
          <w:sz w:val="20"/>
          <w:szCs w:val="20"/>
          <w:color w:val="auto"/>
        </w:rPr>
      </w:pPr>
      <w:r>
        <w:rPr>
          <w:rFonts w:ascii="Times New Roman" w:cs="Times New Roman" w:eastAsia="Times New Roman" w:hAnsi="Times New Roman"/>
          <w:sz w:val="18"/>
          <w:szCs w:val="18"/>
          <w:color w:val="auto"/>
        </w:rPr>
        <w:t xml:space="preserve">The Bank enters into interest rate swap agreements with our customers to manage our interest rate risk and enters into identical offsetting swaps with a counterparty. The changes in the fair value of the swaps primarily offset each other resulting in swap fee income (refer to Note 9 – </w:t>
      </w:r>
      <w:r>
        <w:rPr>
          <w:rFonts w:ascii="Times New Roman" w:cs="Times New Roman" w:eastAsia="Times New Roman" w:hAnsi="Times New Roman"/>
          <w:sz w:val="18"/>
          <w:szCs w:val="18"/>
          <w:i w:val="1"/>
          <w:iCs w:val="1"/>
          <w:color w:val="auto"/>
        </w:rPr>
        <w:t>Derivative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of the notes to the unaudited condensed consolidated financial statements of this report for additional information). Generally speaking,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volume of interest rate swaps is impacted by the shape of the yield curve, with a relatively flat yield curve more conducive to a higher volume of swaps. There were no executed swap agreements related to new loan originations for the third quarter of 2022 and the third quarter of 2021.</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Nine Months of 2022 Compared to Nine Months of 2021</w:t>
      </w:r>
    </w:p>
    <w:p>
      <w:pPr>
        <w:spacing w:after="0" w:line="214" w:lineRule="exact"/>
        <w:rPr>
          <w:sz w:val="20"/>
          <w:szCs w:val="20"/>
          <w:color w:val="auto"/>
        </w:rPr>
      </w:pPr>
    </w:p>
    <w:p>
      <w:pPr>
        <w:ind w:right="40" w:firstLine="360"/>
        <w:spacing w:after="0" w:line="245" w:lineRule="auto"/>
        <w:rPr>
          <w:sz w:val="20"/>
          <w:szCs w:val="20"/>
          <w:color w:val="auto"/>
        </w:rPr>
      </w:pPr>
      <w:r>
        <w:rPr>
          <w:rFonts w:ascii="Times New Roman" w:cs="Times New Roman" w:eastAsia="Times New Roman" w:hAnsi="Times New Roman"/>
          <w:sz w:val="18"/>
          <w:szCs w:val="18"/>
          <w:color w:val="auto"/>
        </w:rPr>
        <w:t>The $2.5 million increase in noninterest income includes a $2.4 million in net gain on the sale of one of our properties and a $2.1 million gain from a distribution related to one of our CRA investments during the first nine months of 2022. Other income during the first nine months of 2022 also included a $1.9 million decrease in our CRA investments due to valuation changes, partially offset by $680,000 for recovery of acquired loans charged off prior to previous acquisitions. Service charges on deposit accounts increased by $3.0 million from the first nine months of 2021. BOLI income declined from the prior year period, as the first nine months of 2022 included $1.8 million in death benefits offset by more than $1 million of market value decline of separate account life insurance policies that are related to our deferred compensation plans. The first nine months of 2021 included $3.5 million in death benefits that exceeded the asset value of certain BOLI policies.</w:t>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32"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various components of noninterest expense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00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bottom w:val="single" w:sz="8" w:color="auto"/>
            </w:tcBorders>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33,233</w:t>
            </w:r>
          </w:p>
        </w:tc>
        <w:tc>
          <w:tcPr>
            <w:tcW w:w="28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29,741</w:t>
            </w:r>
          </w:p>
        </w:tc>
        <w:tc>
          <w:tcPr>
            <w:tcW w:w="28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11.74 %</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97,442</w:t>
            </w:r>
          </w:p>
        </w:tc>
        <w:tc>
          <w:tcPr>
            <w:tcW w:w="24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88,283</w:t>
            </w:r>
          </w:p>
        </w:tc>
        <w:tc>
          <w:tcPr>
            <w:tcW w:w="24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9,159</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10.37 %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Occupancy</w:t>
            </w: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4,926</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4,292</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14.77 %</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13,957</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12,655</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Equipment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2.77 %</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2,960</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2,279</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29.88 %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Professional services</w:t>
            </w: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2,438</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1,626</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49.94 %</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6,788</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6,042</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Computer software expense</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3,243</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3,020</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7.38 %</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10,141</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19.01 %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Marketing and promotion</w:t>
            </w: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73.63 %</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4,584</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3,381</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35.58 %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84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Amortization of intangible</w:t>
            </w: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1,846</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(168 )</w:t>
            </w:r>
          </w:p>
        </w:tc>
        <w:tc>
          <w:tcPr>
            <w:tcW w:w="220" w:type="dxa"/>
            <w:vAlign w:val="bottom"/>
          </w:tcPr>
          <w:p>
            <w:pPr>
              <w:spacing w:after="0"/>
              <w:rPr>
                <w:sz w:val="12"/>
                <w:szCs w:val="12"/>
                <w:color w:val="auto"/>
              </w:rPr>
            </w:pPr>
          </w:p>
        </w:tc>
        <w:tc>
          <w:tcPr>
            <w:tcW w:w="8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-8.34 %</w:t>
            </w:r>
          </w:p>
        </w:tc>
        <w:tc>
          <w:tcPr>
            <w:tcW w:w="1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5,842</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6,348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(506 )</w:t>
            </w:r>
          </w:p>
        </w:tc>
        <w:tc>
          <w:tcPr>
            <w:tcW w:w="280" w:type="dxa"/>
            <w:vAlign w:val="bottom"/>
          </w:tcPr>
          <w:p>
            <w:pPr>
              <w:spacing w:after="0"/>
              <w:rPr>
                <w:sz w:val="12"/>
                <w:szCs w:val="12"/>
                <w:color w:val="auto"/>
              </w:rPr>
            </w:pPr>
          </w:p>
        </w:tc>
        <w:tc>
          <w:tcPr>
            <w:tcW w:w="6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-7.97 %</w:t>
            </w:r>
          </w:p>
        </w:tc>
        <w:tc>
          <w:tcPr>
            <w:tcW w:w="0" w:type="dxa"/>
            <w:vAlign w:val="bottom"/>
          </w:tcPr>
          <w:p>
            <w:pPr>
              <w:spacing w:after="0"/>
              <w:rPr>
                <w:sz w:val="1"/>
                <w:szCs w:val="1"/>
                <w:color w:val="auto"/>
              </w:rPr>
            </w:pPr>
          </w:p>
        </w:tc>
      </w:tr>
      <w:tr>
        <w:trPr>
          <w:trHeight w:val="185"/>
        </w:trPr>
        <w:tc>
          <w:tcPr>
            <w:tcW w:w="28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assets</w:t>
            </w: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Telecommunications expense</w:t>
            </w: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12.06 %</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1,646</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1,592</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Regulatory assessments</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11.58 %</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4,136</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20.79 %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Insurance</w:t>
            </w: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7.52 %</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1,468</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Loan expense</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(49 )</w:t>
            </w:r>
          </w:p>
        </w:tc>
        <w:tc>
          <w:tcPr>
            <w:tcW w:w="220" w:type="dxa"/>
            <w:vAlign w:val="bottom"/>
          </w:tcPr>
          <w:p>
            <w:pPr>
              <w:spacing w:after="0"/>
              <w:rPr>
                <w:sz w:val="15"/>
                <w:szCs w:val="15"/>
                <w:color w:val="auto"/>
              </w:rPr>
            </w:pPr>
          </w:p>
        </w:tc>
        <w:tc>
          <w:tcPr>
            <w:tcW w:w="8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-17.75 %</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(59 )</w:t>
            </w:r>
          </w:p>
        </w:tc>
        <w:tc>
          <w:tcPr>
            <w:tcW w:w="28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OREO expense</w:t>
            </w: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(3 )</w:t>
            </w:r>
          </w:p>
        </w:tc>
        <w:tc>
          <w:tcPr>
            <w:tcW w:w="3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(45 )</w:t>
            </w:r>
          </w:p>
        </w:tc>
        <w:tc>
          <w:tcPr>
            <w:tcW w:w="2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-107.14 %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84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(Recapture of) provision for</w:t>
            </w: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(1,000 )</w:t>
            </w:r>
          </w:p>
        </w:tc>
        <w:tc>
          <w:tcPr>
            <w:tcW w:w="22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0" w:type="dxa"/>
            <w:vAlign w:val="bottom"/>
          </w:tcPr>
          <w:p>
            <w:pPr>
              <w:spacing w:after="0"/>
              <w:rPr>
                <w:sz w:val="1"/>
                <w:szCs w:val="1"/>
                <w:color w:val="auto"/>
              </w:rPr>
            </w:pPr>
          </w:p>
        </w:tc>
      </w:tr>
      <w:tr>
        <w:trPr>
          <w:trHeight w:val="185"/>
        </w:trPr>
        <w:tc>
          <w:tcPr>
            <w:tcW w:w="28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unfunded loan commitments</w:t>
            </w: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Directors' expenses</w:t>
            </w: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(46 )</w:t>
            </w: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-11.86 %</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(85 )</w:t>
            </w:r>
          </w:p>
        </w:tc>
        <w:tc>
          <w:tcPr>
            <w:tcW w:w="2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Stationery and supplies</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(4 )</w:t>
            </w:r>
          </w:p>
        </w:tc>
        <w:tc>
          <w:tcPr>
            <w:tcW w:w="220" w:type="dxa"/>
            <w:vAlign w:val="bottom"/>
          </w:tcPr>
          <w:p>
            <w:pPr>
              <w:spacing w:after="0"/>
              <w:rPr>
                <w:sz w:val="15"/>
                <w:szCs w:val="15"/>
                <w:color w:val="auto"/>
              </w:rPr>
            </w:pPr>
          </w:p>
        </w:tc>
        <w:tc>
          <w:tcPr>
            <w:tcW w:w="8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-1.57 %</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(23 )</w:t>
            </w:r>
          </w:p>
        </w:tc>
        <w:tc>
          <w:tcPr>
            <w:tcW w:w="28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Acquisition related expenses</w:t>
            </w: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(809 )</w:t>
            </w: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-100.00 %</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6,013</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5,204</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643.26 %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1,751</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(49 )</w:t>
            </w:r>
          </w:p>
        </w:tc>
        <w:tc>
          <w:tcPr>
            <w:tcW w:w="220" w:type="dxa"/>
            <w:vAlign w:val="bottom"/>
          </w:tcPr>
          <w:p>
            <w:pPr>
              <w:spacing w:after="0"/>
              <w:rPr>
                <w:sz w:val="15"/>
                <w:szCs w:val="15"/>
                <w:color w:val="auto"/>
              </w:rPr>
            </w:pPr>
          </w:p>
        </w:tc>
        <w:tc>
          <w:tcPr>
            <w:tcW w:w="8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-2.72 %</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4,609</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(742 )</w:t>
            </w:r>
          </w:p>
        </w:tc>
        <w:tc>
          <w:tcPr>
            <w:tcW w:w="28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-13.87 %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840" w:type="dxa"/>
            <w:vAlign w:val="bottom"/>
            <w:tcBorders>
              <w:bottom w:val="single" w:sz="8" w:color="CFF0FC"/>
            </w:tcBorders>
            <w:shd w:val="clear" w:color="auto" w:fill="CFF0FC"/>
          </w:tcPr>
          <w:p>
            <w:pPr>
              <w:ind w:left="380"/>
              <w:spacing w:after="0" w:line="155" w:lineRule="exact"/>
              <w:rPr>
                <w:sz w:val="20"/>
                <w:szCs w:val="20"/>
                <w:color w:val="auto"/>
              </w:rPr>
            </w:pPr>
            <w:r>
              <w:rPr>
                <w:rFonts w:ascii="Times New Roman" w:cs="Times New Roman" w:eastAsia="Times New Roman" w:hAnsi="Times New Roman"/>
                <w:sz w:val="14"/>
                <w:szCs w:val="14"/>
                <w:color w:val="auto"/>
              </w:rPr>
              <w:t>Total noninterest expense</w:t>
            </w: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53,027</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48,099</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4,928</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10.25</w:t>
            </w:r>
          </w:p>
        </w:tc>
        <w:tc>
          <w:tcPr>
            <w:tcW w:w="240" w:type="dxa"/>
            <w:vAlign w:val="bottom"/>
            <w:tcBorders>
              <w:bottom w:val="single" w:sz="8" w:color="CFF0FC"/>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162,136</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141,807</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20,329</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14.34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2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Noninterest expense to average</w:t>
            </w:r>
          </w:p>
        </w:tc>
        <w:tc>
          <w:tcPr>
            <w:tcW w:w="180" w:type="dxa"/>
            <w:vAlign w:val="bottom"/>
          </w:tcPr>
          <w:p>
            <w:pPr>
              <w:spacing w:after="0"/>
              <w:rPr>
                <w:sz w:val="24"/>
                <w:szCs w:val="2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1.25 %</w:t>
            </w:r>
          </w:p>
        </w:tc>
        <w:tc>
          <w:tcPr>
            <w:tcW w:w="180" w:type="dxa"/>
            <w:vAlign w:val="bottom"/>
          </w:tcPr>
          <w:p>
            <w:pPr>
              <w:spacing w:after="0"/>
              <w:rPr>
                <w:sz w:val="24"/>
                <w:szCs w:val="24"/>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1.22 %</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1.27 %</w:t>
            </w:r>
          </w:p>
        </w:tc>
        <w:tc>
          <w:tcPr>
            <w:tcW w:w="320" w:type="dxa"/>
            <w:vAlign w:val="bottom"/>
          </w:tcPr>
          <w:p>
            <w:pPr>
              <w:spacing w:after="0"/>
              <w:rPr>
                <w:sz w:val="24"/>
                <w:szCs w:val="24"/>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1.25 %</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8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assets</w:t>
            </w: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Efficiency ratio (1)</w:t>
            </w:r>
          </w:p>
        </w:tc>
        <w:tc>
          <w:tcPr>
            <w:tcW w:w="1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36.59 %</w:t>
            </w:r>
          </w:p>
        </w:tc>
        <w:tc>
          <w:tcPr>
            <w:tcW w:w="1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42.27 %</w:t>
            </w: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39.97 %</w:t>
            </w:r>
          </w:p>
        </w:tc>
        <w:tc>
          <w:tcPr>
            <w:tcW w:w="3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40.85 %</w:t>
            </w: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-454025</wp:posOffset>
            </wp:positionV>
            <wp:extent cx="4783455" cy="3429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4783455" cy="342900"/>
                    </a:xfrm>
                    <a:prstGeom prst="rect">
                      <a:avLst/>
                    </a:prstGeom>
                    <a:noFill/>
                  </pic:spPr>
                </pic:pic>
              </a:graphicData>
            </a:graphic>
          </wp:anchor>
        </w:drawing>
      </w:r>
    </w:p>
    <w:p>
      <w:pPr>
        <w:spacing w:after="0" w:line="160" w:lineRule="exact"/>
        <w:rPr>
          <w:sz w:val="20"/>
          <w:szCs w:val="20"/>
          <w:color w:val="auto"/>
        </w:rPr>
      </w:pPr>
    </w:p>
    <w:p>
      <w:pPr>
        <w:ind w:left="1500" w:hanging="369"/>
        <w:spacing w:after="0"/>
        <w:tabs>
          <w:tab w:leader="none" w:pos="1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Noninterest expense divided by net interest income before provision for credit losses plus noninterest income.</w:t>
      </w:r>
    </w:p>
    <w:p>
      <w:pPr>
        <w:spacing w:after="0" w:line="221" w:lineRule="exact"/>
        <w:rPr>
          <w:sz w:val="20"/>
          <w:szCs w:val="20"/>
          <w:color w:val="auto"/>
        </w:rPr>
      </w:pPr>
    </w:p>
    <w:p>
      <w:pPr>
        <w:ind w:right="220" w:firstLine="469"/>
        <w:spacing w:after="0" w:line="250" w:lineRule="auto"/>
        <w:rPr>
          <w:sz w:val="20"/>
          <w:szCs w:val="20"/>
          <w:color w:val="auto"/>
        </w:rPr>
      </w:pPr>
      <w:r>
        <w:rPr>
          <w:rFonts w:ascii="Times New Roman" w:cs="Times New Roman" w:eastAsia="Times New Roman" w:hAnsi="Times New Roman"/>
          <w:sz w:val="18"/>
          <w:szCs w:val="18"/>
          <w:color w:val="auto"/>
        </w:rPr>
        <w:t>Our ability to control noninterest expenses in relation to asset growth can be measured in terms of total noninterest expenses as a percentage of average assets. Noninterest expense as a percentage of average assets was 1.25% for the third quarter of 2022, compared to 1.22% for the third quarter of 2021.</w:t>
      </w:r>
    </w:p>
    <w:p>
      <w:pPr>
        <w:spacing w:after="0" w:line="177" w:lineRule="exact"/>
        <w:rPr>
          <w:sz w:val="20"/>
          <w:szCs w:val="20"/>
          <w:color w:val="auto"/>
        </w:rPr>
      </w:pPr>
    </w:p>
    <w:p>
      <w:pPr>
        <w:ind w:right="120" w:firstLine="469"/>
        <w:spacing w:after="0" w:line="258" w:lineRule="auto"/>
        <w:rPr>
          <w:sz w:val="20"/>
          <w:szCs w:val="20"/>
          <w:color w:val="auto"/>
        </w:rPr>
      </w:pPr>
      <w:r>
        <w:rPr>
          <w:rFonts w:ascii="Times New Roman" w:cs="Times New Roman" w:eastAsia="Times New Roman" w:hAnsi="Times New Roman"/>
          <w:sz w:val="18"/>
          <w:szCs w:val="18"/>
          <w:color w:val="auto"/>
        </w:rPr>
        <w:t>Our ability to control noninterest expenses in relation to the level of total revenue (net interest income before provision for credit losses plus noninterest income) can be measured by the efficiency ratio and indicates the percentage of net revenue that is used to cover expenses. The efficiency ratio was 36.59% for the third quarter of 2022, compared to 42.27% for the third quarter of 2021.</w:t>
      </w:r>
    </w:p>
    <w:p>
      <w:pPr>
        <w:spacing w:after="0" w:line="1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Third Quarter of 2022 Compared to the Third Quarter of 2021</w:t>
      </w:r>
    </w:p>
    <w:p>
      <w:pPr>
        <w:spacing w:after="0" w:line="214" w:lineRule="exact"/>
        <w:rPr>
          <w:sz w:val="20"/>
          <w:szCs w:val="20"/>
          <w:color w:val="auto"/>
        </w:rPr>
      </w:pPr>
    </w:p>
    <w:p>
      <w:pPr>
        <w:ind w:right="100" w:firstLine="464"/>
        <w:spacing w:after="0" w:line="242" w:lineRule="auto"/>
        <w:rPr>
          <w:sz w:val="20"/>
          <w:szCs w:val="20"/>
          <w:color w:val="auto"/>
        </w:rPr>
      </w:pPr>
      <w:r>
        <w:rPr>
          <w:rFonts w:ascii="Times New Roman" w:cs="Times New Roman" w:eastAsia="Times New Roman" w:hAnsi="Times New Roman"/>
          <w:sz w:val="18"/>
          <w:szCs w:val="18"/>
          <w:color w:val="auto"/>
        </w:rPr>
        <w:t>Noninterest expense of $53.0 million for the third quarter of 2022 was $4.9 million, or 10.25% higher than the third quarter of 2021. The $4.9 million increase year-over-year was primarily the result of expense growth associated with the acquisition of Suncrest Bank. The $3.5 million increase in salaries and employee benefits included the impact of adding associates from Suncrest, as well as salary increases and increased expense for stock grants. Occupancy and equipment expense growth of $657,000 was primarily due to the addition of seven banking centers resulting from the acquisition of Suncrest at the beginning of 2022, two of which were consolidated at the end of the second quarter. There was no acquisition expense related to the merger of Suncrest for the third quarter of 2022, compared to $809,000 for the third quarter of 2021. With the pandemic receding, marketing expenses grew by $631,000 over the third quarter of 2021. Professional service expense was $812,000 higher in the third quarter of 2022 compared to the third quarter of 2021, primarily due to more than $500,000 in higher consulting costs supporting system upgrades and new technology implementations and a $250,000 increase in employee recruiting fees.</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Nine Months of 2022 Compared to Nine Months of 2021</w:t>
      </w:r>
    </w:p>
    <w:p>
      <w:pPr>
        <w:spacing w:after="0" w:line="214" w:lineRule="exact"/>
        <w:rPr>
          <w:sz w:val="20"/>
          <w:szCs w:val="20"/>
          <w:color w:val="auto"/>
        </w:rPr>
      </w:pPr>
    </w:p>
    <w:p>
      <w:pPr>
        <w:ind w:right="220" w:firstLine="360"/>
        <w:spacing w:after="0" w:line="247" w:lineRule="auto"/>
        <w:rPr>
          <w:sz w:val="20"/>
          <w:szCs w:val="20"/>
          <w:color w:val="auto"/>
        </w:rPr>
      </w:pPr>
      <w:r>
        <w:rPr>
          <w:rFonts w:ascii="Times New Roman" w:cs="Times New Roman" w:eastAsia="Times New Roman" w:hAnsi="Times New Roman"/>
          <w:sz w:val="18"/>
          <w:szCs w:val="18"/>
          <w:color w:val="auto"/>
        </w:rPr>
        <w:t>Noninterest expense of $162.1 million for the first nine months of 2022 was $20.3 million higher than the prior year period. The year-over-year increase included a $9.2 million increase in salaries and employee benefits, which included additional compensation related expenses for the newly hired and former Suncrest associates. Occupancy and equipment</w:t>
      </w:r>
    </w:p>
    <w:p>
      <w:pPr>
        <w:jc w:val="center"/>
        <w:ind w:right="2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53" w:name="page54"/>
    <w:bookmarkEnd w:id="53"/>
    <w:p>
      <w:pPr>
        <w:spacing w:after="0" w:line="243" w:lineRule="auto"/>
        <w:rPr>
          <w:sz w:val="20"/>
          <w:szCs w:val="20"/>
          <w:color w:val="auto"/>
        </w:rPr>
      </w:pPr>
      <w:r>
        <w:rPr>
          <w:rFonts w:ascii="Times New Roman" w:cs="Times New Roman" w:eastAsia="Times New Roman" w:hAnsi="Times New Roman"/>
          <w:sz w:val="18"/>
          <w:szCs w:val="18"/>
          <w:color w:val="auto"/>
        </w:rPr>
        <w:t>increased by $2.0 million due to the addition of seven banking centers resulting from the acquisition of Suncrest, two of which were consolidated at the end of the second quarter. Acquisition expense related to the merger of Suncrest was $6.0 million for the first nine months of 2022. The increase in software expense of $1.6 million, included costs associated with the continued use of Suncrest's legacy banking systems, prior to conversions, as well as continued investments in technology. The year-over-year increase also included a $1.0 million recapture of provision for unfunded loan commitments for the nine months ended September 30, 2021. The increase in marketing and promotion expense compared to the first nine months of 2021 was primarily due to the impact that the COVID-19 pandemic had on marketing and promotional events in 2021. As a percentage of average assets, noninterest expense was 1.27% for the nine months ended September 30, 2022, compared to 1.25% for the same period of 2021. If acquisition expense is excluded, noninterest expense as a percentage of average assets was 1.22% for the first nine months of 2022. For the nine months ended September 30, 2022, the efficiency ratio was</w:t>
      </w:r>
    </w:p>
    <w:p>
      <w:pPr>
        <w:spacing w:after="0" w:line="4" w:lineRule="exact"/>
        <w:rPr>
          <w:sz w:val="20"/>
          <w:szCs w:val="20"/>
          <w:color w:val="auto"/>
        </w:rPr>
      </w:pPr>
    </w:p>
    <w:p>
      <w:pPr>
        <w:ind w:right="460"/>
        <w:spacing w:after="0" w:line="243" w:lineRule="auto"/>
        <w:rPr>
          <w:sz w:val="20"/>
          <w:szCs w:val="20"/>
          <w:color w:val="auto"/>
        </w:rPr>
      </w:pPr>
      <w:r>
        <w:rPr>
          <w:rFonts w:ascii="Times New Roman" w:cs="Times New Roman" w:eastAsia="Times New Roman" w:hAnsi="Times New Roman"/>
          <w:sz w:val="18"/>
          <w:szCs w:val="18"/>
          <w:color w:val="auto"/>
        </w:rPr>
        <w:t>39.97%, compared to 40.85% for the same period of 2021. Excluding acquisition expense, the efficiency ratio was 38.49% for the nine months ended September 30, 2022.</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jc w:val="both"/>
        <w:ind w:right="100" w:firstLine="469"/>
        <w:spacing w:after="0" w:line="250" w:lineRule="auto"/>
        <w:rPr>
          <w:sz w:val="20"/>
          <w:szCs w:val="20"/>
          <w:color w:val="auto"/>
        </w:rPr>
      </w:pPr>
      <w:r>
        <w:rPr>
          <w:rFonts w:ascii="Times New Roman" w:cs="Times New Roman" w:eastAsia="Times New Roman" w:hAnsi="Times New Roman"/>
          <w:sz w:val="18"/>
          <w:szCs w:val="18"/>
          <w:color w:val="auto"/>
        </w:rPr>
        <w:t>The Company’s effective tax rate for the three and nine months ended September 30, 2022 was 28.10%, compared to 28.60% for the three and nine months ended September 30, 2021, respectively. Our estimated annual effective tax rate varies depending upon the level of tax-advantaged income as well as available tax credits.</w:t>
      </w:r>
    </w:p>
    <w:p>
      <w:pPr>
        <w:spacing w:after="0" w:line="177" w:lineRule="exact"/>
        <w:rPr>
          <w:sz w:val="20"/>
          <w:szCs w:val="20"/>
          <w:color w:val="auto"/>
        </w:rPr>
      </w:pPr>
    </w:p>
    <w:p>
      <w:pPr>
        <w:ind w:right="220" w:firstLine="469"/>
        <w:spacing w:after="0" w:line="266" w:lineRule="auto"/>
        <w:rPr>
          <w:sz w:val="20"/>
          <w:szCs w:val="20"/>
          <w:color w:val="auto"/>
        </w:rPr>
      </w:pPr>
      <w:r>
        <w:rPr>
          <w:rFonts w:ascii="Times New Roman" w:cs="Times New Roman" w:eastAsia="Times New Roman" w:hAnsi="Times New Roman"/>
          <w:sz w:val="18"/>
          <w:szCs w:val="18"/>
          <w:color w:val="auto"/>
        </w:rPr>
        <w:t>The Company’s effective tax rates are below the nominal combined Federal and State tax rate primarily as a result of tax-advantaged income from certain municipal security investments, municipal loans and leases and BOLI, as well as available tax credits for each period.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ANALYSIS OF FINANCIAL CONDITION</w:t>
      </w:r>
    </w:p>
    <w:p>
      <w:pPr>
        <w:spacing w:after="0" w:line="216" w:lineRule="exact"/>
        <w:rPr>
          <w:sz w:val="20"/>
          <w:szCs w:val="20"/>
          <w:color w:val="auto"/>
        </w:rPr>
      </w:pPr>
    </w:p>
    <w:p>
      <w:pPr>
        <w:jc w:val="both"/>
        <w:ind w:right="20" w:firstLine="469"/>
        <w:spacing w:after="0" w:line="250" w:lineRule="auto"/>
        <w:rPr>
          <w:sz w:val="20"/>
          <w:szCs w:val="20"/>
          <w:color w:val="auto"/>
        </w:rPr>
      </w:pPr>
      <w:r>
        <w:rPr>
          <w:rFonts w:ascii="Times New Roman" w:cs="Times New Roman" w:eastAsia="Times New Roman" w:hAnsi="Times New Roman"/>
          <w:sz w:val="18"/>
          <w:szCs w:val="18"/>
          <w:color w:val="auto"/>
        </w:rPr>
        <w:t>Total assets of $16.35 billion at September 30, 2022 increased by $465.6 million, or 2.93%, from total assets of $15.88 billion at December 31, 2021. Interest-earning assets of $14.81 billion at September 30, 2022 increased by $127.6 million, or 0.87%, when compared with $14.68 billion at December 31, 2021. The increase in interest-earning assets was primarily due to a $769.9 million increase in investment securities and an $886.4 million increase in total loans, partially offset by a $1.51 billion decrease in interest-earning balances due from the Federal Reserve.</w:t>
      </w:r>
    </w:p>
    <w:p>
      <w:pPr>
        <w:spacing w:after="0" w:line="177" w:lineRule="exact"/>
        <w:rPr>
          <w:sz w:val="20"/>
          <w:szCs w:val="20"/>
          <w:color w:val="auto"/>
        </w:rPr>
      </w:pPr>
    </w:p>
    <w:p>
      <w:pPr>
        <w:ind w:right="20" w:firstLine="360"/>
        <w:spacing w:after="0" w:line="245" w:lineRule="auto"/>
        <w:rPr>
          <w:sz w:val="20"/>
          <w:szCs w:val="20"/>
          <w:color w:val="auto"/>
        </w:rPr>
      </w:pPr>
      <w:r>
        <w:rPr>
          <w:rFonts w:ascii="Times New Roman" w:cs="Times New Roman" w:eastAsia="Times New Roman" w:hAnsi="Times New Roman"/>
          <w:sz w:val="18"/>
          <w:szCs w:val="18"/>
          <w:color w:val="auto"/>
        </w:rPr>
        <w:t>On January 7, 2022, we completed the acquisition of Suncrest with approximately $1.38 billion in total assets, acquired at fair value, and seven banking centers. The increase in total assets at September 30, 2022 included $765.9 million of acquired net loans at fair value, $131.1 million of investment securities, and $9 million in bank-owned life insurance. The acquisition resulted in $102.1 million of goodwill and $3.9 million in core deposit intangibles. Net cash proceeds were used to fund the $39.6 million in cash paid to the former shareholders of Suncrest as part of the merger consideration.</w:t>
      </w:r>
    </w:p>
    <w:p>
      <w:pPr>
        <w:spacing w:after="0" w:line="181" w:lineRule="exact"/>
        <w:rPr>
          <w:sz w:val="20"/>
          <w:szCs w:val="20"/>
          <w:color w:val="auto"/>
        </w:rPr>
      </w:pPr>
    </w:p>
    <w:p>
      <w:pPr>
        <w:ind w:firstLine="360"/>
        <w:spacing w:after="0" w:line="245" w:lineRule="auto"/>
        <w:rPr>
          <w:sz w:val="20"/>
          <w:szCs w:val="20"/>
          <w:color w:val="auto"/>
        </w:rPr>
      </w:pPr>
      <w:r>
        <w:rPr>
          <w:rFonts w:ascii="Times New Roman" w:cs="Times New Roman" w:eastAsia="Times New Roman" w:hAnsi="Times New Roman"/>
          <w:sz w:val="18"/>
          <w:szCs w:val="18"/>
          <w:color w:val="auto"/>
        </w:rPr>
        <w:t>Total liabilities were $14.47 billion at September 30, 2022, an increase of $668.2 million, or 4.84%, from total liabilities of $13.80 billion at December 31, 2021. Total deposits grew by $896.0 million, or 6.90%. Total equity decreased $202.6 million, or 9.73%, to $1.88 billion at September 30, 2022, compared to total equity of $2.08 billion at December 31, 2021. Increases to equity included $197.1 million for issuance of 8.6 million shares to acquire Suncrest and $169.3 million in net earnings. Decreases included $80.2 million in cash dividends and a $379.5 million decrease in other comprehensive income from the tax effected impact of the decline in market value of available-for-sale securities. During 2022, we executed on a $70 million accelerated stock repurchase program and retired 2,993,551 shares of common stock at an average price of $23.38. We also repurchased, under our 10b5-1 stock repurchase plan, 1,914,590 shares of common stock, at an average repurchase price of $23.43, totaling $44.9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02" w:lineRule="exact"/>
        <w:rPr>
          <w:sz w:val="20"/>
          <w:szCs w:val="20"/>
          <w:color w:val="auto"/>
        </w:rPr>
      </w:pPr>
    </w:p>
    <w:p>
      <w:pPr>
        <w:ind w:right="60" w:firstLine="469"/>
        <w:spacing w:after="0" w:line="242" w:lineRule="auto"/>
        <w:rPr>
          <w:sz w:val="20"/>
          <w:szCs w:val="20"/>
          <w:color w:val="auto"/>
        </w:rPr>
      </w:pPr>
      <w:r>
        <w:rPr>
          <w:rFonts w:ascii="Times New Roman" w:cs="Times New Roman" w:eastAsia="Times New Roman" w:hAnsi="Times New Roman"/>
          <w:sz w:val="18"/>
          <w:szCs w:val="18"/>
          <w:color w:val="auto"/>
        </w:rPr>
        <w:t>The Company maintains a portfolio of investment securities to provide interest income and to serve as a source of liquidity for its ongoing operations. At September 30, 2022, total investment securities were $5.88 billion. This represented an increase of $769.9 million, or 15.07%, from $5.11 billion at December 31, 2021. The increase in investment securities was primarily due to new securities purchased exceeding cash outflow from the portfolio in the first nine months of 2022. At September 30, 2022, investment securities HTM totaled $2.56 billion. At September 30, 2022, our AFS investment securities totaled $3.32 billion, inclusive of a pre-tax net unrealized loss of $540.4 million. The after-tax unrealized loss reported in AOCI on AFS investment securities was $380.6 million. The changes in the net unrealized holding loss resulted primarily from fluctuations in market interest rates. For the nine months ended September 30, 2022 and 2021, repayments/maturities of investment securities totaled $523.9 million and $712.3 million, respectively. We deployed some of our excess liquidity into additional securities by purchasing $1.72 billion in new investment securities with yields on average of approximately 2.92%, and $2.44 billion for the nine months ended September 30, 2022 and 2021, respectively. During the third quarter of 2022, we purchased approximately $14.9 million of AFS securities with an average expected yield of approximately 4% and $182.2 million of HTM securities with an average expected yield of approximately 4%. The first nine months of 2022, included purchases of $1.09 billion in new AFS securities with an expected tax equivalent yield of approximately 2.70% and $631.2 million in new HTM securities with an expected tax equivalent yield of approximately 3.29%. There were no investment securities sold during the third quarter of 2022 and 2021.</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5" w:name="page56"/>
    <w:bookmarkEnd w:id="55"/>
    <w:p>
      <w:pPr>
        <w:ind w:left="480"/>
        <w:spacing w:after="0"/>
        <w:rPr>
          <w:sz w:val="20"/>
          <w:szCs w:val="20"/>
          <w:color w:val="auto"/>
        </w:rPr>
      </w:pPr>
      <w:r>
        <w:rPr>
          <w:rFonts w:ascii="Times New Roman" w:cs="Times New Roman" w:eastAsia="Times New Roman" w:hAnsi="Times New Roman"/>
          <w:sz w:val="18"/>
          <w:szCs w:val="18"/>
          <w:color w:val="auto"/>
        </w:rPr>
        <w:t>The tables below set forth our investment securities AFS and HTM portfolio by type for the dates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3940" w:type="dxa"/>
            <w:vAlign w:val="bottom"/>
          </w:tcPr>
          <w:p>
            <w:pPr>
              <w:spacing w:after="0"/>
              <w:rPr>
                <w:sz w:val="13"/>
                <w:szCs w:val="13"/>
                <w:color w:val="auto"/>
              </w:rPr>
            </w:pPr>
          </w:p>
        </w:tc>
        <w:tc>
          <w:tcPr>
            <w:tcW w:w="14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4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940" w:type="dxa"/>
            <w:vAlign w:val="bottom"/>
          </w:tcPr>
          <w:p>
            <w:pPr>
              <w:spacing w:after="0"/>
              <w:rPr>
                <w:sz w:val="16"/>
                <w:szCs w:val="16"/>
                <w:color w:val="auto"/>
              </w:rPr>
            </w:pPr>
          </w:p>
        </w:tc>
        <w:tc>
          <w:tcPr>
            <w:tcW w:w="1440" w:type="dxa"/>
            <w:vAlign w:val="bottom"/>
            <w:gridSpan w:val="4"/>
            <w:vMerge w:val="continue"/>
          </w:tcPr>
          <w:p>
            <w:pPr>
              <w:spacing w:after="0"/>
              <w:rPr>
                <w:sz w:val="16"/>
                <w:szCs w:val="16"/>
                <w:color w:val="auto"/>
              </w:rPr>
            </w:pPr>
          </w:p>
        </w:tc>
        <w:tc>
          <w:tcPr>
            <w:tcW w:w="1420" w:type="dxa"/>
            <w:vAlign w:val="bottom"/>
            <w:gridSpan w:val="4"/>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4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9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320" w:type="dxa"/>
            <w:vAlign w:val="bottom"/>
            <w:vMerge w:val="restart"/>
          </w:tcPr>
          <w:p>
            <w:pPr>
              <w:spacing w:after="0"/>
              <w:rPr>
                <w:sz w:val="16"/>
                <w:szCs w:val="16"/>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Percent</w:t>
            </w:r>
          </w:p>
        </w:tc>
        <w:tc>
          <w:tcPr>
            <w:tcW w:w="160" w:type="dxa"/>
            <w:vAlign w:val="bottom"/>
            <w:gridSpan w:val="2"/>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40" w:type="dxa"/>
            <w:vAlign w:val="bottom"/>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Holding Gain</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Holding Loss</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40" w:type="dxa"/>
            <w:vAlign w:val="bottom"/>
            <w:tcBorders>
              <w:left w:val="single" w:sz="8" w:color="CFF0FC"/>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tcBorders>
              <w:left w:val="single" w:sz="8" w:color="CFF0FC"/>
              <w:right w:val="single" w:sz="8" w:color="CFF0FC"/>
            </w:tcBorders>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3,288,484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(448,585 )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2,839,929</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85.49 %</w:t>
            </w: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545,638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(89,248 )</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456,390</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13.74 %</w:t>
            </w: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(2,636 )</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24,551</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0.74 %</w:t>
            </w: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securities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0" w:type="dxa"/>
            <w:vAlign w:val="bottom"/>
          </w:tcPr>
          <w:p>
            <w:pPr>
              <w:spacing w:after="0"/>
              <w:rPr>
                <w:sz w:val="1"/>
                <w:szCs w:val="1"/>
                <w:color w:val="auto"/>
              </w:rPr>
            </w:pPr>
          </w:p>
        </w:tc>
      </w:tr>
      <w:tr>
        <w:trPr>
          <w:trHeight w:val="20"/>
        </w:trPr>
        <w:tc>
          <w:tcPr>
            <w:tcW w:w="39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3,862,216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40" w:type="dxa"/>
            <w:vAlign w:val="bottom"/>
            <w:gridSpan w:val="2"/>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(540,469 )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3,321,824</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100.00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tcBorders>
              <w:right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Investment securities held-to-maturity:</w:t>
            </w: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8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4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20" w:type="dxa"/>
            <w:vAlign w:val="bottom"/>
            <w:tcBorders>
              <w:left w:val="single" w:sz="8" w:color="CFF0FC"/>
              <w:right w:val="single" w:sz="8" w:color="CFF0FC"/>
            </w:tcBorders>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agency/GSE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555,777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(113,547 )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442,230</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21.73 %</w:t>
            </w: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718,908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(111,359 )</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607,549</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28.10 %</w:t>
            </w: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839,971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(117,948 )</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722,023</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32.84 %</w:t>
            </w: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(64,088 )</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379,186</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17.33 %</w:t>
            </w:r>
          </w:p>
        </w:tc>
        <w:tc>
          <w:tcPr>
            <w:tcW w:w="0" w:type="dxa"/>
            <w:vAlign w:val="bottom"/>
          </w:tcPr>
          <w:p>
            <w:pPr>
              <w:spacing w:after="0"/>
              <w:rPr>
                <w:sz w:val="1"/>
                <w:szCs w:val="1"/>
                <w:color w:val="auto"/>
              </w:rPr>
            </w:pPr>
          </w:p>
        </w:tc>
      </w:tr>
      <w:tr>
        <w:trPr>
          <w:trHeight w:val="20"/>
        </w:trPr>
        <w:tc>
          <w:tcPr>
            <w:tcW w:w="39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held-to-maturity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2,557,922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gridSpan w:val="2"/>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(406,942 )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2,150,988</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100.00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30"/>
              <w:spacing w:after="0" w:line="160" w:lineRule="exact"/>
              <w:rPr>
                <w:sz w:val="20"/>
                <w:szCs w:val="20"/>
                <w:color w:val="auto"/>
              </w:rPr>
            </w:pPr>
            <w:r>
              <w:rPr>
                <w:rFonts w:ascii="Times New Roman" w:cs="Times New Roman" w:eastAsia="Times New Roman" w:hAnsi="Times New Roman"/>
                <w:sz w:val="18"/>
                <w:szCs w:val="18"/>
                <w:b w:val="1"/>
                <w:bCs w:val="1"/>
                <w:color w:val="auto"/>
              </w:rPr>
              <w:t>Gross</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right"/>
              <w:ind w:right="760"/>
              <w:spacing w:after="0" w:line="160" w:lineRule="exact"/>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3"/>
          </w:tcPr>
          <w:p>
            <w:pPr>
              <w:jc w:val="right"/>
              <w:ind w:right="560"/>
              <w:spacing w:after="0" w:line="189"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20" w:type="dxa"/>
            <w:vAlign w:val="bottom"/>
          </w:tcPr>
          <w:p>
            <w:pPr>
              <w:spacing w:after="0"/>
              <w:rPr>
                <w:sz w:val="16"/>
                <w:szCs w:val="16"/>
                <w:color w:val="auto"/>
              </w:rPr>
            </w:pPr>
          </w:p>
        </w:tc>
        <w:tc>
          <w:tcPr>
            <w:tcW w:w="9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320" w:type="dxa"/>
            <w:vAlign w:val="bottom"/>
            <w:vMerge w:val="restart"/>
          </w:tcPr>
          <w:p>
            <w:pPr>
              <w:spacing w:after="0"/>
              <w:rPr>
                <w:sz w:val="16"/>
                <w:szCs w:val="16"/>
                <w:color w:val="auto"/>
              </w:rPr>
            </w:pP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Total Percent</w:t>
            </w:r>
          </w:p>
        </w:tc>
        <w:tc>
          <w:tcPr>
            <w:tcW w:w="160" w:type="dxa"/>
            <w:vAlign w:val="bottom"/>
            <w:gridSpan w:val="2"/>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Holding Gain</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Holding Loss</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80" w:type="dxa"/>
            <w:vAlign w:val="bottom"/>
            <w:gridSpan w:val="5"/>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(Dollars in thousands)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40" w:type="dxa"/>
            <w:vAlign w:val="bottom"/>
            <w:tcBorders>
              <w:left w:val="single" w:sz="8" w:color="CFF0FC"/>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tcBorders>
              <w:left w:val="single" w:sz="8" w:color="CFF0FC"/>
              <w:right w:val="single" w:sz="8" w:color="CFF0FC"/>
            </w:tcBorders>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2,553,246</w:t>
            </w:r>
          </w:p>
        </w:tc>
        <w:tc>
          <w:tcPr>
            <w:tcW w:w="260" w:type="dxa"/>
            <w:vAlign w:val="bottom"/>
          </w:tcPr>
          <w:p>
            <w:pPr>
              <w:spacing w:after="0"/>
              <w:rPr>
                <w:sz w:val="18"/>
                <w:szCs w:val="18"/>
                <w:color w:val="auto"/>
              </w:rPr>
            </w:pP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25,873</w:t>
            </w:r>
          </w:p>
        </w:tc>
        <w:tc>
          <w:tcPr>
            <w:tcW w:w="80" w:type="dxa"/>
            <w:vAlign w:val="bottom"/>
          </w:tcPr>
          <w:p>
            <w:pPr>
              <w:spacing w:after="0"/>
              <w:rPr>
                <w:sz w:val="18"/>
                <w:szCs w:val="18"/>
                <w:color w:val="auto"/>
              </w:rPr>
            </w:pPr>
          </w:p>
        </w:tc>
        <w:tc>
          <w:tcPr>
            <w:tcW w:w="4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(15,905 )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2,563,214</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80.50 %</w:t>
            </w: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602,555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(13,983 )</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590,158</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18.53 %</w:t>
            </w: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28,365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29,468</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0.93 %</w:t>
            </w: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securities</w:t>
            </w: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0.04 %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3,185,249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(29,888 )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3,183,923</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100.00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tcBorders>
              <w:right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Investment securities held-to-maturity:</w:t>
            </w: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8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4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20" w:type="dxa"/>
            <w:vAlign w:val="bottom"/>
            <w:tcBorders>
              <w:left w:val="single" w:sz="8" w:color="CFF0FC"/>
              <w:right w:val="single" w:sz="8" w:color="CFF0FC"/>
            </w:tcBorders>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agency/GSE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576,899</w:t>
            </w:r>
          </w:p>
        </w:tc>
        <w:tc>
          <w:tcPr>
            <w:tcW w:w="260" w:type="dxa"/>
            <w:vAlign w:val="bottom"/>
          </w:tcPr>
          <w:p>
            <w:pPr>
              <w:spacing w:after="0"/>
              <w:rPr>
                <w:sz w:val="18"/>
                <w:szCs w:val="18"/>
                <w:color w:val="auto"/>
              </w:rPr>
            </w:pP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80" w:type="dxa"/>
            <w:vAlign w:val="bottom"/>
          </w:tcPr>
          <w:p>
            <w:pPr>
              <w:spacing w:after="0"/>
              <w:rPr>
                <w:sz w:val="18"/>
                <w:szCs w:val="18"/>
                <w:color w:val="auto"/>
              </w:rPr>
            </w:pPr>
          </w:p>
        </w:tc>
        <w:tc>
          <w:tcPr>
            <w:tcW w:w="4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(7,312 )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575,494</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29.95 %</w:t>
            </w: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647,390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(6,106 )</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645,393</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33.61 %</w:t>
            </w: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490,670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(5,030 )</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486,236</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25.48 %</w:t>
            </w:r>
          </w:p>
        </w:tc>
        <w:tc>
          <w:tcPr>
            <w:tcW w:w="0" w:type="dxa"/>
            <w:vAlign w:val="bottom"/>
          </w:tcPr>
          <w:p>
            <w:pPr>
              <w:spacing w:after="0"/>
              <w:rPr>
                <w:sz w:val="1"/>
                <w:szCs w:val="1"/>
                <w:color w:val="auto"/>
              </w:rPr>
            </w:pPr>
          </w:p>
        </w:tc>
      </w:tr>
      <w:tr>
        <w:trPr>
          <w:trHeight w:val="21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211,011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(1,155 )</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214,570</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10.96 %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held-to-maturity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1,925,970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(19,603 )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1,921,693</w:t>
            </w:r>
          </w:p>
        </w:tc>
        <w:tc>
          <w:tcPr>
            <w:tcW w:w="3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100.00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-4088130</wp:posOffset>
            </wp:positionV>
            <wp:extent cx="7132320" cy="13716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-3813810</wp:posOffset>
            </wp:positionV>
            <wp:extent cx="7132320" cy="30861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-3230880</wp:posOffset>
            </wp:positionV>
            <wp:extent cx="7132320" cy="13716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-2956560</wp:posOffset>
            </wp:positionV>
            <wp:extent cx="7132320" cy="30861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-1439545</wp:posOffset>
            </wp:positionV>
            <wp:extent cx="7132320" cy="13716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-1165225</wp:posOffset>
            </wp:positionV>
            <wp:extent cx="7132320" cy="30861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3716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30861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64" w:lineRule="exact"/>
        <w:rPr>
          <w:sz w:val="20"/>
          <w:szCs w:val="20"/>
          <w:color w:val="auto"/>
        </w:rPr>
      </w:pPr>
    </w:p>
    <w:p>
      <w:pPr>
        <w:jc w:val="both"/>
        <w:ind w:right="400" w:firstLine="469"/>
        <w:spacing w:after="0" w:line="258" w:lineRule="auto"/>
        <w:rPr>
          <w:sz w:val="20"/>
          <w:szCs w:val="20"/>
          <w:color w:val="auto"/>
        </w:rPr>
      </w:pPr>
      <w:r>
        <w:rPr>
          <w:rFonts w:ascii="Times New Roman" w:cs="Times New Roman" w:eastAsia="Times New Roman" w:hAnsi="Times New Roman"/>
          <w:sz w:val="18"/>
          <w:szCs w:val="18"/>
          <w:color w:val="auto"/>
        </w:rPr>
        <w:t>As of September 30, 2022, approximately $39.7 million in U.S. government agency bonds are callable. The Agency CMO/REMIC securities are backed by agency-pooled collateral. Municipal bonds, which represented approximately 9% of the total investment portfolio, are predominately AA or higher rated securities.</w:t>
      </w:r>
    </w:p>
    <w:p>
      <w:pPr>
        <w:spacing w:after="0" w:line="156" w:lineRule="exact"/>
        <w:rPr>
          <w:sz w:val="20"/>
          <w:szCs w:val="20"/>
          <w:color w:val="auto"/>
        </w:rPr>
      </w:pPr>
    </w:p>
    <w:p>
      <w:pPr>
        <w:ind w:right="100" w:firstLine="46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Company’s available-for-sale investment securities, by investment category, in an unrealized loss position for which an allowance for credit losses has not been recorded as of September 30, 2022 and December 31, 2021.</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24" w:right="279" w:bottom="1440" w:gutter="0" w:footer="0" w:header="0"/>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Investment securities available-for-sale:</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Mortgage-backed securities</w:t>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CMO/REMIC</w:t>
      </w:r>
    </w:p>
    <w:p>
      <w:pPr>
        <w:spacing w:after="0" w:line="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Municipal bonds</w:t>
      </w:r>
    </w:p>
    <w:p>
      <w:pPr>
        <w:spacing w:after="0" w:line="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Total available-for-sale securities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Investment securities held-to-maturity:</w:t>
      </w:r>
    </w:p>
    <w:p>
      <w:pPr>
        <w:spacing w:after="0" w:line="19" w:lineRule="exact"/>
        <w:rPr>
          <w:sz w:val="20"/>
          <w:szCs w:val="20"/>
          <w:color w:val="auto"/>
        </w:rPr>
      </w:pPr>
    </w:p>
    <w:p>
      <w:pPr>
        <w:ind w:left="380" w:right="640"/>
        <w:spacing w:after="0" w:line="266" w:lineRule="auto"/>
        <w:rPr>
          <w:sz w:val="20"/>
          <w:szCs w:val="20"/>
          <w:color w:val="auto"/>
        </w:rPr>
      </w:pPr>
      <w:r>
        <w:rPr>
          <w:rFonts w:ascii="Times New Roman" w:cs="Times New Roman" w:eastAsia="Times New Roman" w:hAnsi="Times New Roman"/>
          <w:sz w:val="16"/>
          <w:szCs w:val="16"/>
          <w:color w:val="auto"/>
        </w:rPr>
        <w:t>Government agency/GSE Mortgage-backed securities CMO/REMIC</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Municipal bonds</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Total held-to-maturity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Investment securities available-for-sale:</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Mortgage-backed securities</w:t>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CMO/REMIC</w:t>
      </w:r>
    </w:p>
    <w:p>
      <w:pPr>
        <w:spacing w:after="0" w:line="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Municipal bonds</w:t>
      </w:r>
    </w:p>
    <w:p>
      <w:pPr>
        <w:spacing w:after="0" w:line="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Total available-for-sale securities</w:t>
      </w:r>
    </w:p>
    <w:p>
      <w:pPr>
        <w:spacing w:after="0" w:line="20" w:lineRule="exact"/>
        <w:rPr>
          <w:sz w:val="20"/>
          <w:szCs w:val="20"/>
          <w:color w:val="auto"/>
        </w:rPr>
      </w:pPr>
      <w:r>
        <w:rPr>
          <w:sz w:val="20"/>
          <w:szCs w:val="20"/>
          <w:color w:val="auto"/>
        </w:rPr>
        <w:br w:type="column"/>
      </w:r>
    </w:p>
    <w:p>
      <w:pPr>
        <w:ind w:left="3120"/>
        <w:spacing w:after="0"/>
        <w:rPr>
          <w:sz w:val="20"/>
          <w:szCs w:val="20"/>
          <w:color w:val="auto"/>
        </w:rPr>
      </w:pPr>
      <w:r>
        <w:rPr>
          <w:rFonts w:ascii="Times New Roman" w:cs="Times New Roman" w:eastAsia="Times New Roman" w:hAnsi="Times New Roman"/>
          <w:sz w:val="16"/>
          <w:szCs w:val="16"/>
          <w:b w:val="1"/>
          <w:bCs w:val="1"/>
          <w:color w:val="auto"/>
        </w:rPr>
        <w:t>September 30,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0" w:type="dxa"/>
            <w:vAlign w:val="bottom"/>
            <w:tcBorders>
              <w:top w:val="single" w:sz="8" w:color="auto"/>
            </w:tcBorders>
          </w:tcPr>
          <w:p>
            <w:pPr>
              <w:spacing w:after="0"/>
              <w:rPr>
                <w:sz w:val="17"/>
                <w:szCs w:val="17"/>
                <w:color w:val="auto"/>
              </w:rPr>
            </w:pPr>
          </w:p>
        </w:tc>
        <w:tc>
          <w:tcPr>
            <w:tcW w:w="2580" w:type="dxa"/>
            <w:vAlign w:val="bottom"/>
            <w:tcBorders>
              <w:top w:val="single" w:sz="8" w:color="auto"/>
            </w:tcBorders>
            <w:gridSpan w:val="7"/>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500" w:type="dxa"/>
            <w:vAlign w:val="bottom"/>
            <w:tcBorders>
              <w:top w:val="single" w:sz="8" w:color="auto"/>
            </w:tcBorders>
            <w:gridSpan w:val="8"/>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12 Months or Longer</w:t>
            </w: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9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79"/>
              <w:spacing w:after="0" w:line="153"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3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center"/>
              <w:ind w:right="39"/>
              <w:spacing w:after="0" w:line="153"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59"/>
              <w:spacing w:after="0" w:line="153"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79"/>
              <w:spacing w:after="0" w:line="17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center"/>
              <w:ind w:right="319"/>
              <w:spacing w:after="0" w:line="175"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139"/>
              <w:spacing w:after="0" w:line="17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164"/>
        </w:trPr>
        <w:tc>
          <w:tcPr>
            <w:tcW w:w="100" w:type="dxa"/>
            <w:vAlign w:val="bottom"/>
          </w:tcPr>
          <w:p>
            <w:pPr>
              <w:spacing w:after="0"/>
              <w:rPr>
                <w:sz w:val="14"/>
                <w:szCs w:val="14"/>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99"/>
              <w:spacing w:after="0" w:line="165" w:lineRule="exact"/>
              <w:rPr>
                <w:sz w:val="20"/>
                <w:szCs w:val="20"/>
                <w:color w:val="auto"/>
              </w:rPr>
            </w:pPr>
            <w:r>
              <w:rPr>
                <w:rFonts w:ascii="Times New Roman" w:cs="Times New Roman" w:eastAsia="Times New Roman" w:hAnsi="Times New Roman"/>
                <w:sz w:val="16"/>
                <w:szCs w:val="16"/>
                <w:b w:val="1"/>
                <w:bCs w:val="1"/>
                <w:color w:val="auto"/>
              </w:rPr>
              <w:t>Holding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319"/>
              <w:spacing w:after="0" w:line="165" w:lineRule="exact"/>
              <w:rPr>
                <w:sz w:val="20"/>
                <w:szCs w:val="20"/>
                <w:color w:val="auto"/>
              </w:rPr>
            </w:pPr>
            <w:r>
              <w:rPr>
                <w:rFonts w:ascii="Times New Roman" w:cs="Times New Roman" w:eastAsia="Times New Roman" w:hAnsi="Times New Roman"/>
                <w:sz w:val="16"/>
                <w:szCs w:val="16"/>
                <w:b w:val="1"/>
                <w:bCs w:val="1"/>
                <w:color w:val="auto"/>
              </w:rPr>
              <w:t>Holding</w:t>
            </w:r>
          </w:p>
        </w:tc>
        <w:tc>
          <w:tcPr>
            <w:tcW w:w="120" w:type="dxa"/>
            <w:vAlign w:val="bottom"/>
          </w:tcPr>
          <w:p>
            <w:pPr>
              <w:spacing w:after="0"/>
              <w:rPr>
                <w:sz w:val="14"/>
                <w:szCs w:val="14"/>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19"/>
              <w:spacing w:after="0" w:line="165" w:lineRule="exact"/>
              <w:rPr>
                <w:sz w:val="20"/>
                <w:szCs w:val="20"/>
                <w:color w:val="auto"/>
              </w:rPr>
            </w:pPr>
            <w:r>
              <w:rPr>
                <w:rFonts w:ascii="Times New Roman" w:cs="Times New Roman" w:eastAsia="Times New Roman" w:hAnsi="Times New Roman"/>
                <w:sz w:val="16"/>
                <w:szCs w:val="16"/>
                <w:b w:val="1"/>
                <w:bCs w:val="1"/>
                <w:color w:val="auto"/>
              </w:rPr>
              <w:t>Holding</w:t>
            </w:r>
          </w:p>
        </w:tc>
        <w:tc>
          <w:tcPr>
            <w:tcW w:w="0" w:type="dxa"/>
            <w:vAlign w:val="bottom"/>
          </w:tcPr>
          <w:p>
            <w:pPr>
              <w:spacing w:after="0"/>
              <w:rPr>
                <w:sz w:val="1"/>
                <w:szCs w:val="1"/>
                <w:color w:val="auto"/>
              </w:rPr>
            </w:pPr>
          </w:p>
        </w:tc>
      </w:tr>
      <w:tr>
        <w:trPr>
          <w:trHeight w:val="203"/>
        </w:trPr>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00" w:type="dxa"/>
            <w:vAlign w:val="bottom"/>
            <w:gridSpan w:val="8"/>
          </w:tcPr>
          <w:p>
            <w:pPr>
              <w:jc w:val="right"/>
              <w:ind w:right="659"/>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1"/>
        </w:trPr>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1,889,658</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(248,476 )</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948,800</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(200,109 )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2,838,458</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(448,585 )</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59,884</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(4,693 )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396,503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(84,555 )</w:t>
            </w:r>
          </w:p>
        </w:tc>
        <w:tc>
          <w:tcPr>
            <w:tcW w:w="1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456,387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(89,248 )</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23,057</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(2,636 )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23,057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(2,636 )</w:t>
            </w:r>
          </w:p>
        </w:tc>
        <w:tc>
          <w:tcPr>
            <w:tcW w:w="0" w:type="dxa"/>
            <w:vAlign w:val="bottom"/>
          </w:tcPr>
          <w:p>
            <w:pPr>
              <w:spacing w:after="0"/>
              <w:rPr>
                <w:sz w:val="1"/>
                <w:szCs w:val="1"/>
                <w:color w:val="auto"/>
              </w:rPr>
            </w:pPr>
          </w:p>
        </w:tc>
      </w:tr>
      <w:tr>
        <w:trPr>
          <w:trHeight w:val="202"/>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1,972,599</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(255,805</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1,345,303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(284,664</w:t>
            </w:r>
          </w:p>
        </w:tc>
        <w:tc>
          <w:tcPr>
            <w:tcW w:w="2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3,317,902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(540,469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187,453</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(39,548 )</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254,777</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(73,999 )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442,230</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(113,547 )</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505,153</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(86,409 )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102,395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(24,950 )</w:t>
            </w:r>
          </w:p>
        </w:tc>
        <w:tc>
          <w:tcPr>
            <w:tcW w:w="1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607,548</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(111,359 )</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624,470</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(97,023 )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97,553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(20,925 )</w:t>
            </w:r>
          </w:p>
        </w:tc>
        <w:tc>
          <w:tcPr>
            <w:tcW w:w="1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722,023</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(117,948 )</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314,186</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(49,463 )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51,016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(14,625 )</w:t>
            </w: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365,202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(64,088 )</w:t>
            </w:r>
          </w:p>
        </w:tc>
        <w:tc>
          <w:tcPr>
            <w:tcW w:w="0" w:type="dxa"/>
            <w:vAlign w:val="bottom"/>
          </w:tcPr>
          <w:p>
            <w:pPr>
              <w:spacing w:after="0"/>
              <w:rPr>
                <w:sz w:val="1"/>
                <w:szCs w:val="1"/>
                <w:color w:val="auto"/>
              </w:rPr>
            </w:pPr>
          </w:p>
        </w:tc>
      </w:tr>
      <w:tr>
        <w:trPr>
          <w:trHeight w:val="202"/>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1,631,262</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(272,443</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505,741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(134,499</w:t>
            </w:r>
          </w:p>
        </w:tc>
        <w:tc>
          <w:tcPr>
            <w:tcW w:w="2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2,137,003</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(406,942</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8"/>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2580" w:type="dxa"/>
            <w:vAlign w:val="bottom"/>
            <w:gridSpan w:val="7"/>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00" w:type="dxa"/>
            <w:vAlign w:val="bottom"/>
            <w:gridSpan w:val="8"/>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12 Months or Longer</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119"/>
              <w:spacing w:after="0" w:line="142"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6"/>
                <w:szCs w:val="16"/>
                <w:b w:val="1"/>
                <w:bCs w:val="1"/>
                <w:color w:val="auto"/>
              </w:rPr>
              <w:t>Gross</w:t>
            </w:r>
          </w:p>
        </w:tc>
        <w:tc>
          <w:tcPr>
            <w:tcW w:w="300" w:type="dxa"/>
            <w:vAlign w:val="bottom"/>
            <w:gridSpan w:val="2"/>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6"/>
                <w:szCs w:val="16"/>
                <w:b w:val="1"/>
                <w:bCs w:val="1"/>
                <w:color w:val="auto"/>
              </w:rPr>
              <w:t>Gross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gridSpan w:val="3"/>
          </w:tcPr>
          <w:p>
            <w:pPr>
              <w:jc w:val="right"/>
              <w:ind w:right="419"/>
              <w:spacing w:after="0" w:line="173"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4"/>
          </w:tcPr>
          <w:p>
            <w:pPr>
              <w:jc w:val="right"/>
              <w:ind w:right="399"/>
              <w:spacing w:after="0" w:line="173"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3"/>
          </w:tcPr>
          <w:p>
            <w:pPr>
              <w:jc w:val="center"/>
              <w:ind w:right="99"/>
              <w:spacing w:after="0" w:line="173"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240" w:type="dxa"/>
            <w:vAlign w:val="bottom"/>
          </w:tcPr>
          <w:p>
            <w:pPr>
              <w:spacing w:after="0"/>
              <w:rPr>
                <w:sz w:val="18"/>
                <w:szCs w:val="18"/>
                <w:color w:val="auto"/>
              </w:rPr>
            </w:pPr>
          </w:p>
        </w:tc>
        <w:tc>
          <w:tcPr>
            <w:tcW w:w="1420" w:type="dxa"/>
            <w:vAlign w:val="bottom"/>
            <w:gridSpan w:val="4"/>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Holding Losses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200" w:type="dxa"/>
            <w:vAlign w:val="bottom"/>
          </w:tcPr>
          <w:p>
            <w:pPr>
              <w:spacing w:after="0"/>
              <w:rPr>
                <w:sz w:val="18"/>
                <w:szCs w:val="18"/>
                <w:color w:val="auto"/>
              </w:rPr>
            </w:pPr>
          </w:p>
        </w:tc>
        <w:tc>
          <w:tcPr>
            <w:tcW w:w="138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Holding Losses</w:t>
            </w: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Pr>
          <w:p>
            <w:pPr>
              <w:spacing w:after="0"/>
              <w:rPr>
                <w:sz w:val="18"/>
                <w:szCs w:val="18"/>
                <w:color w:val="auto"/>
              </w:rPr>
            </w:pP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Holding Losses</w:t>
            </w:r>
          </w:p>
        </w:tc>
        <w:tc>
          <w:tcPr>
            <w:tcW w:w="0" w:type="dxa"/>
            <w:vAlign w:val="bottom"/>
          </w:tcPr>
          <w:p>
            <w:pPr>
              <w:spacing w:after="0"/>
              <w:rPr>
                <w:sz w:val="1"/>
                <w:szCs w:val="1"/>
                <w:color w:val="auto"/>
              </w:rPr>
            </w:pPr>
          </w:p>
        </w:tc>
      </w:tr>
      <w:tr>
        <w:trPr>
          <w:trHeight w:val="212"/>
        </w:trPr>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6"/>
                <w:szCs w:val="16"/>
                <w:i w:val="1"/>
                <w:iCs w:val="1"/>
                <w:color w:val="auto"/>
              </w:rPr>
              <w:t>in</w:t>
            </w:r>
          </w:p>
        </w:tc>
        <w:tc>
          <w:tcPr>
            <w:tcW w:w="1080" w:type="dxa"/>
            <w:vAlign w:val="bottom"/>
            <w:tcBorders>
              <w:top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6"/>
                <w:szCs w:val="16"/>
                <w:i w:val="1"/>
                <w:iCs w:val="1"/>
                <w:color w:val="auto"/>
                <w:w w:val="88"/>
              </w:rPr>
              <w:t>thousands)</w:t>
            </w:r>
          </w:p>
        </w:tc>
        <w:tc>
          <w:tcPr>
            <w:tcW w:w="300" w:type="dxa"/>
            <w:vAlign w:val="bottom"/>
            <w:gridSpan w:val="2"/>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1,465,647</w:t>
            </w:r>
          </w:p>
        </w:tc>
        <w:tc>
          <w:tcPr>
            <w:tcW w:w="8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(15,099 )</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44,244</w:t>
            </w:r>
          </w:p>
        </w:tc>
        <w:tc>
          <w:tcPr>
            <w:tcW w:w="100" w:type="dxa"/>
            <w:vAlign w:val="bottom"/>
          </w:tcPr>
          <w:p>
            <w:pPr>
              <w:spacing w:after="0"/>
              <w:rPr>
                <w:sz w:val="24"/>
                <w:szCs w:val="24"/>
                <w:color w:val="auto"/>
              </w:rPr>
            </w:pPr>
          </w:p>
        </w:tc>
        <w:tc>
          <w:tcPr>
            <w:tcW w:w="3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(806 )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1,509,891</w:t>
            </w:r>
          </w:p>
        </w:tc>
        <w:tc>
          <w:tcPr>
            <w:tcW w:w="8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(15,905 )</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450,393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(11,515 )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(2,468 )</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504,138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(13,983 )</w:t>
            </w:r>
          </w:p>
        </w:tc>
        <w:tc>
          <w:tcPr>
            <w:tcW w:w="0" w:type="dxa"/>
            <w:vAlign w:val="bottom"/>
          </w:tcPr>
          <w:p>
            <w:pPr>
              <w:spacing w:after="0"/>
              <w:rPr>
                <w:sz w:val="1"/>
                <w:szCs w:val="1"/>
                <w:color w:val="auto"/>
              </w:rPr>
            </w:pPr>
          </w:p>
        </w:tc>
      </w:tr>
      <w:tr>
        <w:trPr>
          <w:trHeight w:val="210"/>
        </w:trPr>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1,916,040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(26,614</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97,989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(3,274</w:t>
            </w:r>
          </w:p>
        </w:tc>
        <w:tc>
          <w:tcPr>
            <w:tcW w:w="3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2,014,029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(29,888</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-3051175</wp:posOffset>
            </wp:positionV>
            <wp:extent cx="7132320" cy="12890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-2794000</wp:posOffset>
            </wp:positionV>
            <wp:extent cx="7132320" cy="12890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-2527935</wp:posOffset>
            </wp:positionV>
            <wp:extent cx="7132320" cy="41148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-1988185</wp:posOffset>
            </wp:positionV>
            <wp:extent cx="7132320" cy="12890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-1722120</wp:posOffset>
            </wp:positionV>
            <wp:extent cx="7132320" cy="15430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-676275</wp:posOffset>
            </wp:positionV>
            <wp:extent cx="7132320" cy="12890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-419100</wp:posOffset>
            </wp:positionV>
            <wp:extent cx="7132320" cy="12890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-153670</wp:posOffset>
            </wp:positionV>
            <wp:extent cx="7132320" cy="15430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2820" w:space="720"/>
            <w:col w:w="7660"/>
          </w:cols>
          <w:pgMar w:left="320" w:top="326" w:right="379" w:bottom="1440" w:gutter="0" w:footer="0" w:header="0"/>
        </w:sectPr>
      </w:pPr>
    </w:p>
    <w:p>
      <w:pPr>
        <w:ind w:right="80" w:firstLine="469"/>
        <w:spacing w:after="0" w:line="258" w:lineRule="auto"/>
        <w:rPr>
          <w:sz w:val="20"/>
          <w:szCs w:val="20"/>
          <w:color w:val="auto"/>
        </w:rPr>
      </w:pPr>
      <w:r>
        <w:rPr>
          <w:rFonts w:ascii="Times New Roman" w:cs="Times New Roman" w:eastAsia="Times New Roman" w:hAnsi="Times New Roman"/>
          <w:sz w:val="18"/>
          <w:szCs w:val="18"/>
          <w:color w:val="auto"/>
        </w:rPr>
        <w:t>Once it is determined that a credit loss has occurred, an allowance for credit losses is established on our available-for-sale and held-to-maturity securities. Management determined that credit losses did not exist for securities in an unrealized loss position as of September 30, 2022 and December 31, 2021.</w:t>
      </w:r>
    </w:p>
    <w:p>
      <w:pPr>
        <w:spacing w:after="0" w:line="154" w:lineRule="exact"/>
        <w:rPr>
          <w:sz w:val="20"/>
          <w:szCs w:val="20"/>
          <w:color w:val="auto"/>
        </w:rPr>
      </w:pPr>
    </w:p>
    <w:p>
      <w:pPr>
        <w:ind w:right="660" w:firstLine="374"/>
        <w:spacing w:after="0" w:line="255" w:lineRule="auto"/>
        <w:rPr>
          <w:sz w:val="20"/>
          <w:szCs w:val="20"/>
          <w:color w:val="auto"/>
        </w:rPr>
      </w:pPr>
      <w:r>
        <w:rPr>
          <w:rFonts w:ascii="Times New Roman" w:cs="Times New Roman" w:eastAsia="Times New Roman" w:hAnsi="Times New Roman"/>
          <w:sz w:val="18"/>
          <w:szCs w:val="18"/>
          <w:color w:val="auto"/>
        </w:rPr>
        <w:t xml:space="preserve">Refer to Note 5 – </w:t>
      </w:r>
      <w:r>
        <w:rPr>
          <w:rFonts w:ascii="Times New Roman" w:cs="Times New Roman" w:eastAsia="Times New Roman" w:hAnsi="Times New Roman"/>
          <w:sz w:val="18"/>
          <w:szCs w:val="18"/>
          <w:i w:val="1"/>
          <w:iCs w:val="1"/>
          <w:color w:val="auto"/>
        </w:rPr>
        <w:t>Investment Securities</w:t>
      </w:r>
      <w:r>
        <w:rPr>
          <w:rFonts w:ascii="Times New Roman" w:cs="Times New Roman" w:eastAsia="Times New Roman" w:hAnsi="Times New Roman"/>
          <w:sz w:val="18"/>
          <w:szCs w:val="18"/>
          <w:color w:val="auto"/>
        </w:rPr>
        <w:t xml:space="preserve"> of the notes to the unaudited condensed consolidated financial statements of this report for additional information on our investment securities portfolio.</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6" w:right="37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16" w:lineRule="exact"/>
        <w:rPr>
          <w:sz w:val="20"/>
          <w:szCs w:val="20"/>
          <w:color w:val="auto"/>
        </w:rPr>
      </w:pPr>
    </w:p>
    <w:p>
      <w:pPr>
        <w:ind w:right="100" w:firstLine="469"/>
        <w:spacing w:after="0" w:line="245" w:lineRule="auto"/>
        <w:rPr>
          <w:sz w:val="20"/>
          <w:szCs w:val="20"/>
          <w:color w:val="auto"/>
        </w:rPr>
      </w:pPr>
      <w:r>
        <w:rPr>
          <w:rFonts w:ascii="Times New Roman" w:cs="Times New Roman" w:eastAsia="Times New Roman" w:hAnsi="Times New Roman"/>
          <w:sz w:val="18"/>
          <w:szCs w:val="18"/>
          <w:color w:val="auto"/>
        </w:rPr>
        <w:t>Total loans and leases, at amortized cost, of $8.77 billion at September 30, 2022 increased by $886.4 million, or 11.24%, from December 31, 2021. The increase in total loans included $774.5 million of loans acquired from Suncrest in the first quarter of 2022. Dairy &amp; livestock loans decreased $87.0 million, the majority of which were seasonal declines. After adjusting for acquired loans, seasonality and forgiveness of PPP loans, our core loans grew by $407.8 million, or 5.55%, from the end of 2021, or approximately 7% annualized from December 31, 2021. The $407.8 million core loan growth included $314.7 million in commercial real estate loans, $54.7 million in commercial and industrial loans, $22.7 million in SFR mortgage loans, $13.4 million in municipal lease financings, $8.4 million in agribusiness loans, and $8.4 million in consumer and other loans, partially offset by decreases of $12.0 million in SBA loans, and $2.5 million in construction loans.</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our loan portfolio by type as of the dates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Distribution of Loan Portfolio by Type</w:t>
            </w:r>
          </w:p>
        </w:tc>
        <w:tc>
          <w:tcPr>
            <w:tcW w:w="1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39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99"/>
              </w:rPr>
              <w:t>September 30, 2022</w:t>
            </w:r>
          </w:p>
        </w:tc>
        <w:tc>
          <w:tcPr>
            <w:tcW w:w="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Pr>
          <w:p>
            <w:pPr>
              <w:spacing w:after="0"/>
              <w:rPr>
                <w:sz w:val="24"/>
                <w:szCs w:val="24"/>
                <w:color w:val="auto"/>
              </w:rPr>
            </w:pPr>
          </w:p>
        </w:tc>
      </w:tr>
      <w:tr>
        <w:trPr>
          <w:trHeight w:val="206"/>
        </w:trPr>
        <w:tc>
          <w:tcPr>
            <w:tcW w:w="39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2300" w:type="dxa"/>
            <w:vAlign w:val="bottom"/>
            <w:gridSpan w:val="3"/>
          </w:tcPr>
          <w:p>
            <w:pPr>
              <w:jc w:val="center"/>
              <w:ind w:right="129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7"/>
                <w:szCs w:val="17"/>
                <w:color w:val="auto"/>
              </w:rPr>
            </w:pPr>
          </w:p>
        </w:tc>
      </w:tr>
      <w:tr>
        <w:trPr>
          <w:trHeight w:val="220"/>
        </w:trPr>
        <w:tc>
          <w:tcPr>
            <w:tcW w:w="3900" w:type="dxa"/>
            <w:vAlign w:val="bottom"/>
          </w:tcPr>
          <w:p>
            <w:pPr>
              <w:spacing w:after="0"/>
              <w:rPr>
                <w:sz w:val="19"/>
                <w:szCs w:val="19"/>
                <w:color w:val="auto"/>
              </w:rPr>
            </w:pPr>
          </w:p>
        </w:tc>
        <w:tc>
          <w:tcPr>
            <w:tcW w:w="3200" w:type="dxa"/>
            <w:vAlign w:val="bottom"/>
            <w:gridSpan w:val="2"/>
          </w:tcPr>
          <w:p>
            <w:pPr>
              <w:spacing w:after="0"/>
              <w:rPr>
                <w:sz w:val="19"/>
                <w:szCs w:val="19"/>
                <w:color w:val="auto"/>
              </w:rPr>
            </w:pPr>
          </w:p>
        </w:tc>
        <w:tc>
          <w:tcPr>
            <w:tcW w:w="1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2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6,685,245</w:t>
            </w: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5,789,730</w:t>
            </w: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76,495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62,264</w:t>
            </w:r>
          </w:p>
        </w:tc>
        <w:tc>
          <w:tcPr>
            <w:tcW w:w="100" w:type="dxa"/>
            <w:vAlign w:val="bottom"/>
          </w:tcPr>
          <w:p>
            <w:pPr>
              <w:spacing w:after="0"/>
              <w:rPr>
                <w:sz w:val="18"/>
                <w:szCs w:val="18"/>
                <w:color w:val="auto"/>
              </w:rPr>
            </w:pPr>
          </w:p>
        </w:tc>
      </w:tr>
      <w:tr>
        <w:trPr>
          <w:trHeight w:val="21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3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296,664</w:t>
            </w: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288,600</w:t>
            </w: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SBA - Paycheck Protection Program (PPP)</w:t>
            </w:r>
          </w:p>
        </w:tc>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186,585</w:t>
            </w:r>
          </w:p>
        </w:tc>
        <w:tc>
          <w:tcPr>
            <w:tcW w:w="100" w:type="dxa"/>
            <w:vAlign w:val="bottom"/>
          </w:tcPr>
          <w:p>
            <w:pPr>
              <w:spacing w:after="0"/>
              <w:rPr>
                <w:sz w:val="18"/>
                <w:szCs w:val="18"/>
                <w:color w:val="auto"/>
              </w:rPr>
            </w:pPr>
          </w:p>
        </w:tc>
      </w:tr>
      <w:tr>
        <w:trPr>
          <w:trHeight w:val="21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952,231</w:t>
            </w: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813,063</w:t>
            </w: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323,105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386,219</w:t>
            </w:r>
          </w:p>
        </w:tc>
        <w:tc>
          <w:tcPr>
            <w:tcW w:w="100" w:type="dxa"/>
            <w:vAlign w:val="bottom"/>
          </w:tcPr>
          <w:p>
            <w:pPr>
              <w:spacing w:after="0"/>
              <w:rPr>
                <w:sz w:val="18"/>
                <w:szCs w:val="18"/>
                <w:color w:val="auto"/>
              </w:rPr>
            </w:pPr>
          </w:p>
        </w:tc>
      </w:tr>
      <w:tr>
        <w:trPr>
          <w:trHeight w:val="21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Municipal lease finance receivables</w:t>
            </w:r>
          </w:p>
        </w:tc>
        <w:tc>
          <w:tcPr>
            <w:tcW w:w="3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76,656</w:t>
            </w: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45,933</w:t>
            </w: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SFR mortgage</w:t>
            </w:r>
          </w:p>
        </w:tc>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263,646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240,654</w:t>
            </w:r>
          </w:p>
        </w:tc>
        <w:tc>
          <w:tcPr>
            <w:tcW w:w="100" w:type="dxa"/>
            <w:vAlign w:val="bottom"/>
          </w:tcPr>
          <w:p>
            <w:pPr>
              <w:spacing w:after="0"/>
              <w:rPr>
                <w:sz w:val="18"/>
                <w:szCs w:val="18"/>
                <w:color w:val="auto"/>
              </w:rPr>
            </w:pPr>
          </w:p>
        </w:tc>
      </w:tr>
      <w:tr>
        <w:trPr>
          <w:trHeight w:val="216"/>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and other loans</w:t>
            </w:r>
          </w:p>
        </w:tc>
        <w:tc>
          <w:tcPr>
            <w:tcW w:w="30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82,746</w:t>
            </w:r>
          </w:p>
        </w:tc>
        <w:tc>
          <w:tcPr>
            <w:tcW w:w="4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loans, at amortized cost</w:t>
            </w:r>
          </w:p>
        </w:tc>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8,774,136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7,887,713</w:t>
            </w:r>
          </w:p>
        </w:tc>
        <w:tc>
          <w:tcPr>
            <w:tcW w:w="100" w:type="dxa"/>
            <w:vAlign w:val="bottom"/>
          </w:tcPr>
          <w:p>
            <w:pPr>
              <w:spacing w:after="0"/>
              <w:rPr>
                <w:sz w:val="18"/>
                <w:szCs w:val="18"/>
                <w:color w:val="auto"/>
              </w:rPr>
            </w:pPr>
          </w:p>
        </w:tc>
      </w:tr>
      <w:tr>
        <w:trPr>
          <w:trHeight w:val="21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239"/>
              <w:spacing w:after="0"/>
              <w:rPr>
                <w:sz w:val="20"/>
                <w:szCs w:val="20"/>
                <w:color w:val="auto"/>
              </w:rPr>
            </w:pPr>
            <w:r>
              <w:rPr>
                <w:rFonts w:ascii="Times New Roman" w:cs="Times New Roman" w:eastAsia="Times New Roman" w:hAnsi="Times New Roman"/>
                <w:sz w:val="18"/>
                <w:szCs w:val="18"/>
                <w:color w:val="auto"/>
              </w:rPr>
              <w:t>(82,601 )</w:t>
            </w:r>
          </w:p>
        </w:tc>
        <w:tc>
          <w:tcPr>
            <w:tcW w:w="1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(65,019 )</w:t>
            </w:r>
          </w:p>
        </w:tc>
      </w:tr>
      <w:tr>
        <w:trPr>
          <w:trHeight w:val="210"/>
        </w:trPr>
        <w:tc>
          <w:tcPr>
            <w:tcW w:w="390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Total loans and lease finance receivables, net</w:t>
            </w:r>
          </w:p>
        </w:tc>
        <w:tc>
          <w:tcPr>
            <w:tcW w:w="300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8,691,535</w:t>
            </w:r>
          </w:p>
        </w:tc>
        <w:tc>
          <w:tcPr>
            <w:tcW w:w="40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7,822,694</w:t>
            </w:r>
          </w:p>
        </w:tc>
        <w:tc>
          <w:tcPr>
            <w:tcW w:w="100" w:type="dxa"/>
            <w:vAlign w:val="bottom"/>
            <w:tcBorders>
              <w:top w:val="single" w:sz="8" w:color="CFF0FC"/>
            </w:tcBorders>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-453390</wp:posOffset>
            </wp:positionV>
            <wp:extent cx="77470" cy="14541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14541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-170815</wp:posOffset>
            </wp:positionV>
            <wp:extent cx="77470" cy="17145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September 30, 2022, $486.4 million, or 7.28% of the total commercial real estate loans included loans secured by farmland, compared to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$364.4 million, or 6.29%, at December 31, 2021. The loans secured by farmland included $136.9 million for loans secured by dairy &amp; livestock land 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$349.5 million for loans secured by agricultural land at September 30, 2022, compared to $134.9 million for loans secured by dairy &amp; livestock land and</w:t>
      </w:r>
    </w:p>
    <w:p>
      <w:pPr>
        <w:spacing w:after="0" w:line="234" w:lineRule="auto"/>
        <w:rPr>
          <w:sz w:val="20"/>
          <w:szCs w:val="20"/>
          <w:color w:val="auto"/>
        </w:rPr>
      </w:pPr>
      <w:r>
        <w:rPr>
          <w:rFonts w:ascii="Times New Roman" w:cs="Times New Roman" w:eastAsia="Times New Roman" w:hAnsi="Times New Roman"/>
          <w:sz w:val="18"/>
          <w:szCs w:val="18"/>
          <w:color w:val="auto"/>
        </w:rPr>
        <w:t>$229.5 million for loans secured by agricultural land at December 31, 2021. As of September 30, 2022, dairy &amp; livestock and agribusiness loans of $323.1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were comprised of $264.7 million for dairy &amp; livestock loans and $58.4 million for agribusiness loans. This compares to $34.5 of agribusiness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included in the $386.2 million dairy &amp; livestock and agribusiness loans as of December 31, 2021.</w:t>
      </w:r>
    </w:p>
    <w:p>
      <w:pPr>
        <w:spacing w:after="0" w:line="180" w:lineRule="exact"/>
        <w:rPr>
          <w:sz w:val="20"/>
          <w:szCs w:val="20"/>
          <w:color w:val="auto"/>
        </w:rPr>
      </w:pPr>
    </w:p>
    <w:p>
      <w:pPr>
        <w:ind w:firstLine="469"/>
        <w:spacing w:after="0" w:line="246" w:lineRule="auto"/>
        <w:rPr>
          <w:sz w:val="20"/>
          <w:szCs w:val="20"/>
          <w:color w:val="auto"/>
        </w:rPr>
      </w:pPr>
      <w:r>
        <w:rPr>
          <w:rFonts w:ascii="Times New Roman" w:cs="Times New Roman" w:eastAsia="Times New Roman" w:hAnsi="Times New Roman"/>
          <w:sz w:val="18"/>
          <w:szCs w:val="18"/>
          <w:color w:val="auto"/>
        </w:rPr>
        <w:t>Real estate loans are loans secured by conforming trust deeds on real property, including property under construction, land development, commercial property and single-family and multi-family residences. Our real estate loans are comprised of industrial, office, retail, medical, single family residences, multi-family residences, and farmland. Consumer loans include installment loans to consumers as well as home equity loans, auto and equipment leases and other loans secured by junior liens on real property. Municipal lease finance receivables are leases to municipalities. Dairy &amp; livestock and agribusiness loans are loans to finance the operating needs of wholesale dairy farm operations, cattle feeders, livestock raisers and farmers.</w:t>
      </w:r>
    </w:p>
    <w:p>
      <w:pPr>
        <w:spacing w:after="0" w:line="181" w:lineRule="exact"/>
        <w:rPr>
          <w:sz w:val="20"/>
          <w:szCs w:val="20"/>
          <w:color w:val="auto"/>
        </w:rPr>
      </w:pPr>
    </w:p>
    <w:p>
      <w:pPr>
        <w:ind w:right="100" w:firstLine="469"/>
        <w:spacing w:after="0" w:line="244" w:lineRule="auto"/>
        <w:rPr>
          <w:sz w:val="20"/>
          <w:szCs w:val="20"/>
          <w:color w:val="auto"/>
        </w:rPr>
      </w:pPr>
      <w:r>
        <w:rPr>
          <w:rFonts w:ascii="Times New Roman" w:cs="Times New Roman" w:eastAsia="Times New Roman" w:hAnsi="Times New Roman"/>
          <w:sz w:val="18"/>
          <w:szCs w:val="18"/>
          <w:color w:val="auto"/>
        </w:rPr>
        <w:t>As of September 30, 2022, the Company had $212.1 million of total SBA 504 loans. SBA 504 loans include term loans to finance capital expenditures and for the purchase of commercial real estate. Initially the Bank provides two separate loans to the borrower representing a first and second lien on the collateral. The loan with the first lien is typically at a 50% advance to the acquisition costs and the second lien loan provides the financing for 40% of the acquisition costs with the borrower’s down payment of 10% of the acquisition costs. The Bank retains the first lien loan for its term and sells the second lien loan to the SBA subordinated debenture program. A majority of the Bank’s 504 loans are granted for the purpose of commercial real estate acquisition. As of September 30, 2022, the Company had $84.6 million of total SBA 7(a) loans that include a guarantee of payment from the SBA (typically 75% of the loan amount, but up to 90% in certain cases) in the event of default. The SBA 7(a) loans include revolving lines of credit (SBA Express) and term loans of up to ten (10) years to finance long-term working capital requirements, capital expenditures, and/or for the purchase or refinance of commercial real estate.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8" w:name="page59"/>
    <w:bookmarkEnd w:id="58"/>
    <w:p>
      <w:pPr>
        <w:ind w:right="80" w:firstLine="464"/>
        <w:spacing w:after="0" w:line="258" w:lineRule="auto"/>
        <w:rPr>
          <w:sz w:val="20"/>
          <w:szCs w:val="20"/>
          <w:color w:val="auto"/>
        </w:rPr>
      </w:pPr>
      <w:r>
        <w:rPr>
          <w:rFonts w:ascii="Times New Roman" w:cs="Times New Roman" w:eastAsia="Times New Roman" w:hAnsi="Times New Roman"/>
          <w:sz w:val="18"/>
          <w:szCs w:val="18"/>
          <w:color w:val="auto"/>
        </w:rPr>
        <w:t>As an active participant in the SBA’s Paycheck Protection Program, we originated approximately 4,100 PPP loans totaling $1.10 billion in round one and originated approximately 1,900 PPP loans totaling $420 million in round two. As of September 30, 2022, the remaining outstanding balance of PPP loans totaled $17.3 million.</w:t>
      </w:r>
    </w:p>
    <w:p>
      <w:pPr>
        <w:spacing w:after="0" w:line="169" w:lineRule="exact"/>
        <w:rPr>
          <w:sz w:val="20"/>
          <w:szCs w:val="20"/>
          <w:color w:val="auto"/>
        </w:rPr>
      </w:pPr>
    </w:p>
    <w:p>
      <w:pPr>
        <w:ind w:right="700" w:firstLine="464"/>
        <w:spacing w:after="0" w:line="266" w:lineRule="auto"/>
        <w:rPr>
          <w:sz w:val="20"/>
          <w:szCs w:val="20"/>
          <w:color w:val="auto"/>
        </w:rPr>
      </w:pPr>
      <w:r>
        <w:rPr>
          <w:rFonts w:ascii="Times New Roman" w:cs="Times New Roman" w:eastAsia="Times New Roman" w:hAnsi="Times New Roman"/>
          <w:sz w:val="18"/>
          <w:szCs w:val="18"/>
          <w:color w:val="auto"/>
        </w:rPr>
        <w:t>Our loan portfolio is geographically disbursed throughout our marketplace. The following is the breakdown of our total held-for-investment commercial real estate loans, by region as of September 30, 2022.</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8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5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40" w:type="dxa"/>
            <w:vAlign w:val="bottom"/>
            <w:gridSpan w:val="3"/>
            <w:vMerge w:val="restart"/>
          </w:tcPr>
          <w:p>
            <w:pPr>
              <w:ind w:left="600"/>
              <w:spacing w:after="0"/>
              <w:rPr>
                <w:sz w:val="20"/>
                <w:szCs w:val="20"/>
                <w:color w:val="auto"/>
              </w:rPr>
            </w:pPr>
            <w:r>
              <w:rPr>
                <w:rFonts w:ascii="Times New Roman" w:cs="Times New Roman" w:eastAsia="Times New Roman" w:hAnsi="Times New Roman"/>
                <w:sz w:val="16"/>
                <w:szCs w:val="16"/>
                <w:b w:val="1"/>
                <w:bCs w:val="1"/>
                <w:color w:val="auto"/>
              </w:rPr>
              <w:t>Total Loans</w:t>
            </w: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8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6"/>
                <w:szCs w:val="16"/>
                <w:b w:val="1"/>
                <w:bCs w:val="1"/>
                <w:color w:val="auto"/>
              </w:rPr>
              <w:t>Commercial Real</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Estate Loans</w:t>
            </w:r>
          </w:p>
        </w:tc>
        <w:tc>
          <w:tcPr>
            <w:tcW w:w="6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10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 Angeles County</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3,312,170</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37.8 %</w:t>
            </w:r>
          </w:p>
        </w:tc>
        <w:tc>
          <w:tcPr>
            <w:tcW w:w="6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2,381,808</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35.6 %</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Central Valley and Sacramento</w:t>
            </w: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2,082,727</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23.7 %</w:t>
            </w:r>
          </w:p>
        </w:tc>
        <w:tc>
          <w:tcPr>
            <w:tcW w:w="6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1,668,306</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25.0 %</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Orange County</w:t>
            </w: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1,055,129</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12.0 %</w:t>
            </w:r>
          </w:p>
        </w:tc>
        <w:tc>
          <w:tcPr>
            <w:tcW w:w="6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686,981</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Inland Empire</w:t>
            </w: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1,016,727</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11.6 %</w:t>
            </w:r>
          </w:p>
        </w:tc>
        <w:tc>
          <w:tcPr>
            <w:tcW w:w="6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878,835</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Central Coast</w:t>
            </w: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468,992</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5.4 %</w:t>
            </w:r>
          </w:p>
        </w:tc>
        <w:tc>
          <w:tcPr>
            <w:tcW w:w="6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389,884</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San Diego</w:t>
            </w: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326,839</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3.7 %</w:t>
            </w:r>
          </w:p>
        </w:tc>
        <w:tc>
          <w:tcPr>
            <w:tcW w:w="6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304,019</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California</w:t>
            </w: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167,264</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1.9 %</w:t>
            </w:r>
          </w:p>
        </w:tc>
        <w:tc>
          <w:tcPr>
            <w:tcW w:w="6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86,089</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 of State</w:t>
            </w: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344,288</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3.9 %</w:t>
            </w:r>
          </w:p>
        </w:tc>
        <w:tc>
          <w:tcPr>
            <w:tcW w:w="6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289,323</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8,774,136</w:t>
            </w:r>
          </w:p>
        </w:tc>
        <w:tc>
          <w:tcPr>
            <w:tcW w:w="3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6,685,245</w:t>
            </w:r>
          </w:p>
        </w:tc>
        <w:tc>
          <w:tcPr>
            <w:tcW w:w="260" w:type="dxa"/>
            <w:vAlign w:val="bottom"/>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-1191260</wp:posOffset>
            </wp:positionV>
            <wp:extent cx="7132320" cy="12890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-934085</wp:posOffset>
            </wp:positionV>
            <wp:extent cx="7132320" cy="12890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-676910</wp:posOffset>
            </wp:positionV>
            <wp:extent cx="7132320" cy="12890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2890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table below breaks down our commercial real estate portfolio.</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3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jc w:val="center"/>
              <w:ind w:left="199"/>
              <w:spacing w:after="0" w:line="156" w:lineRule="exact"/>
              <w:rPr>
                <w:sz w:val="20"/>
                <w:szCs w:val="20"/>
                <w:color w:val="auto"/>
              </w:rPr>
            </w:pPr>
            <w:r>
              <w:rPr>
                <w:rFonts w:ascii="Times New Roman" w:cs="Times New Roman" w:eastAsia="Times New Roman" w:hAnsi="Times New Roman"/>
                <w:sz w:val="16"/>
                <w:szCs w:val="16"/>
                <w:b w:val="1"/>
                <w:bCs w:val="1"/>
                <w:color w:val="auto"/>
                <w:w w:val="99"/>
              </w:rPr>
              <w:t>Percent</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Loan Balance</w:t>
            </w:r>
          </w:p>
        </w:tc>
        <w:tc>
          <w:tcPr>
            <w:tcW w:w="300" w:type="dxa"/>
            <w:vAlign w:val="bottom"/>
          </w:tcPr>
          <w:p>
            <w:pPr>
              <w:spacing w:after="0"/>
              <w:rPr>
                <w:sz w:val="15"/>
                <w:szCs w:val="15"/>
                <w:color w:val="auto"/>
              </w:rPr>
            </w:pPr>
          </w:p>
        </w:tc>
        <w:tc>
          <w:tcPr>
            <w:tcW w:w="1360" w:type="dxa"/>
            <w:vAlign w:val="bottom"/>
            <w:gridSpan w:val="2"/>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240" w:type="dxa"/>
            <w:vAlign w:val="bottom"/>
          </w:tcPr>
          <w:p>
            <w:pPr>
              <w:jc w:val="center"/>
              <w:ind w:left="239"/>
              <w:spacing w:after="0" w:line="175" w:lineRule="exact"/>
              <w:rPr>
                <w:sz w:val="20"/>
                <w:szCs w:val="20"/>
                <w:color w:val="auto"/>
              </w:rPr>
            </w:pPr>
            <w:r>
              <w:rPr>
                <w:rFonts w:ascii="Times New Roman" w:cs="Times New Roman" w:eastAsia="Times New Roman" w:hAnsi="Times New Roman"/>
                <w:sz w:val="16"/>
                <w:szCs w:val="16"/>
                <w:b w:val="1"/>
                <w:bCs w:val="1"/>
                <w:color w:val="auto"/>
                <w:w w:val="99"/>
              </w:rPr>
              <w:t>Owner-</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219"/>
              <w:spacing w:after="0" w:line="175"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24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Occupied (1)</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Loan Balance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in</w:t>
            </w:r>
          </w:p>
        </w:tc>
        <w:tc>
          <w:tcPr>
            <w:tcW w:w="1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3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Industrial</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2,210,181</w:t>
            </w:r>
          </w:p>
        </w:tc>
        <w:tc>
          <w:tcPr>
            <w:tcW w:w="16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33.1 %</w:t>
            </w:r>
          </w:p>
        </w:tc>
        <w:tc>
          <w:tcPr>
            <w:tcW w:w="1240" w:type="dxa"/>
            <w:vAlign w:val="bottom"/>
          </w:tcPr>
          <w:p>
            <w:pPr>
              <w:spacing w:after="0"/>
              <w:rPr>
                <w:sz w:val="17"/>
                <w:szCs w:val="17"/>
                <w:color w:val="auto"/>
              </w:rPr>
            </w:pPr>
          </w:p>
        </w:tc>
        <w:tc>
          <w:tcPr>
            <w:tcW w:w="6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w w:val="96"/>
              </w:rPr>
              <w:t>49.4 %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Office</w:t>
            </w: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1,109,426</w:t>
            </w:r>
          </w:p>
        </w:tc>
        <w:tc>
          <w:tcPr>
            <w:tcW w:w="166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16.6 %</w:t>
            </w:r>
          </w:p>
        </w:tc>
        <w:tc>
          <w:tcPr>
            <w:tcW w:w="124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6"/>
              </w:rPr>
              <w:t>23.4 %</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Retail</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953,097</w:t>
            </w:r>
          </w:p>
        </w:tc>
        <w:tc>
          <w:tcPr>
            <w:tcW w:w="16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14.2 %</w:t>
            </w:r>
          </w:p>
        </w:tc>
        <w:tc>
          <w:tcPr>
            <w:tcW w:w="1240" w:type="dxa"/>
            <w:vAlign w:val="bottom"/>
          </w:tcPr>
          <w:p>
            <w:pPr>
              <w:spacing w:after="0"/>
              <w:rPr>
                <w:sz w:val="17"/>
                <w:szCs w:val="17"/>
                <w:color w:val="auto"/>
              </w:rPr>
            </w:pPr>
          </w:p>
        </w:tc>
        <w:tc>
          <w:tcPr>
            <w:tcW w:w="6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w w:val="96"/>
              </w:rPr>
              <w:t>10.3 %</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Multi-family</w:t>
            </w: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767,651</w:t>
            </w:r>
          </w:p>
        </w:tc>
        <w:tc>
          <w:tcPr>
            <w:tcW w:w="166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11.5 %</w:t>
            </w:r>
          </w:p>
        </w:tc>
        <w:tc>
          <w:tcPr>
            <w:tcW w:w="124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Secured by farmland (2)</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486,395</w:t>
            </w:r>
          </w:p>
        </w:tc>
        <w:tc>
          <w:tcPr>
            <w:tcW w:w="16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7.3 %</w:t>
            </w:r>
          </w:p>
        </w:tc>
        <w:tc>
          <w:tcPr>
            <w:tcW w:w="1240" w:type="dxa"/>
            <w:vAlign w:val="bottom"/>
          </w:tcPr>
          <w:p>
            <w:pPr>
              <w:spacing w:after="0"/>
              <w:rPr>
                <w:sz w:val="17"/>
                <w:szCs w:val="17"/>
                <w:color w:val="auto"/>
              </w:rPr>
            </w:pPr>
          </w:p>
        </w:tc>
        <w:tc>
          <w:tcPr>
            <w:tcW w:w="6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w w:val="96"/>
              </w:rPr>
              <w:t>98.8 %</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Medical</w:t>
            </w: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344,057</w:t>
            </w:r>
          </w:p>
        </w:tc>
        <w:tc>
          <w:tcPr>
            <w:tcW w:w="166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5.1 %</w:t>
            </w:r>
          </w:p>
        </w:tc>
        <w:tc>
          <w:tcPr>
            <w:tcW w:w="124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6"/>
              </w:rPr>
              <w:t>34.9 %</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(3)</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814,438</w:t>
            </w:r>
          </w:p>
        </w:tc>
        <w:tc>
          <w:tcPr>
            <w:tcW w:w="16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12.2 %</w:t>
            </w:r>
          </w:p>
        </w:tc>
        <w:tc>
          <w:tcPr>
            <w:tcW w:w="1240" w:type="dxa"/>
            <w:vAlign w:val="bottom"/>
          </w:tcPr>
          <w:p>
            <w:pPr>
              <w:spacing w:after="0"/>
              <w:rPr>
                <w:sz w:val="17"/>
                <w:szCs w:val="17"/>
                <w:color w:val="auto"/>
              </w:rPr>
            </w:pPr>
          </w:p>
        </w:tc>
        <w:tc>
          <w:tcPr>
            <w:tcW w:w="6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w w:val="96"/>
              </w:rPr>
              <w:t>47.0 %</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6,685,245</w:t>
            </w:r>
          </w:p>
        </w:tc>
        <w:tc>
          <w:tcPr>
            <w:tcW w:w="3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bottom w:val="single" w:sz="8" w:color="auto"/>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36.5</w:t>
            </w:r>
          </w:p>
        </w:tc>
        <w:tc>
          <w:tcPr>
            <w:tcW w:w="320" w:type="dxa"/>
            <w:vAlign w:val="bottom"/>
            <w:tcBorders>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-24765</wp:posOffset>
            </wp:positionV>
            <wp:extent cx="7747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7747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-24765</wp:posOffset>
            </wp:positionV>
            <wp:extent cx="6858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6858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1320" w:hanging="473"/>
        <w:spacing w:after="0"/>
        <w:tabs>
          <w:tab w:leader="none" w:pos="1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percentage of reported owner-occupied at origination in each real estate loan category.</w:t>
      </w:r>
    </w:p>
    <w:p>
      <w:pPr>
        <w:spacing w:after="0" w:line="17" w:lineRule="exact"/>
        <w:rPr>
          <w:rFonts w:ascii="Times New Roman" w:cs="Times New Roman" w:eastAsia="Times New Roman" w:hAnsi="Times New Roman"/>
          <w:sz w:val="14"/>
          <w:szCs w:val="14"/>
          <w:color w:val="auto"/>
        </w:rPr>
      </w:pPr>
    </w:p>
    <w:p>
      <w:pPr>
        <w:ind w:left="1320" w:right="160" w:hanging="470"/>
        <w:spacing w:after="0" w:line="249" w:lineRule="auto"/>
        <w:tabs>
          <w:tab w:leader="none" w:pos="1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loans secured by farmland included $136.9 million for loans secured by dairy &amp; livestock land and $349.5 million for loans secured by agricultural land at September 30, 2022.</w:t>
      </w:r>
    </w:p>
    <w:p>
      <w:pPr>
        <w:ind w:left="1320" w:hanging="470"/>
        <w:spacing w:after="0"/>
        <w:tabs>
          <w:tab w:leader="none" w:pos="1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loans consist of a variety of loan types, none of which exceeds 2.0% of total commercial real estate loans at September 30, 2022.</w:t>
      </w:r>
    </w:p>
    <w:p>
      <w:pPr>
        <w:spacing w:after="0" w:line="1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24" w:right="2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provides information on nonperforming assets as of the dates presented.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2"/>
          </w:tcPr>
          <w:p>
            <w:pPr>
              <w:jc w:val="right"/>
              <w:ind w:right="489"/>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00" w:type="dxa"/>
            <w:vAlign w:val="bottom"/>
          </w:tcPr>
          <w:p>
            <w:pPr>
              <w:spacing w:after="0"/>
              <w:rPr>
                <w:sz w:val="18"/>
                <w:szCs w:val="18"/>
                <w:color w:val="auto"/>
              </w:rPr>
            </w:pPr>
          </w:p>
        </w:tc>
        <w:tc>
          <w:tcPr>
            <w:tcW w:w="186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02"/>
        </w:trPr>
        <w:tc>
          <w:tcPr>
            <w:tcW w:w="70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i w:val="1"/>
                <w:iCs w:val="1"/>
                <w:color w:val="auto"/>
                <w:w w:val="72"/>
              </w:rPr>
              <w:t>in</w:t>
            </w:r>
          </w:p>
        </w:tc>
        <w:tc>
          <w:tcPr>
            <w:tcW w:w="1920" w:type="dxa"/>
            <w:vAlign w:val="bottom"/>
            <w:tcBorders>
              <w:top w:val="single" w:sz="8" w:color="auto"/>
            </w:tcBorders>
            <w:gridSpan w:val="2"/>
          </w:tcPr>
          <w:p>
            <w:pPr>
              <w:jc w:val="right"/>
              <w:ind w:right="1259"/>
              <w:spacing w:after="0"/>
              <w:rPr>
                <w:sz w:val="20"/>
                <w:szCs w:val="20"/>
                <w:color w:val="auto"/>
              </w:rPr>
            </w:pPr>
            <w:r>
              <w:rPr>
                <w:rFonts w:ascii="Times New Roman" w:cs="Times New Roman" w:eastAsia="Times New Roman" w:hAnsi="Times New Roman"/>
                <w:sz w:val="16"/>
                <w:szCs w:val="16"/>
                <w:i w:val="1"/>
                <w:iCs w:val="1"/>
                <w:color w:val="auto"/>
                <w:w w:val="79"/>
              </w:rPr>
              <w:t>thousands)</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Nonaccrual loans</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10,117</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6,893</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past due 90 days or more and still accruing interest</w:t>
            </w:r>
          </w:p>
        </w:tc>
        <w:tc>
          <w:tcPr>
            <w:tcW w:w="1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Nonperforming troubled debt restructured loans (TDRs)</w:t>
            </w:r>
          </w:p>
        </w:tc>
        <w:tc>
          <w:tcPr>
            <w:tcW w:w="18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nonperforming loans</w:t>
            </w:r>
          </w:p>
        </w:tc>
        <w:tc>
          <w:tcPr>
            <w:tcW w:w="1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OREO, net</w:t>
            </w:r>
          </w:p>
        </w:tc>
        <w:tc>
          <w:tcPr>
            <w:tcW w:w="18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nonperforming assets</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10,117</w:t>
            </w:r>
          </w:p>
        </w:tc>
        <w:tc>
          <w:tcPr>
            <w:tcW w:w="26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Performing TDRs</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5,828</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5,293</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nonperforming loans and performing TDRs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15,945</w:t>
            </w:r>
          </w:p>
        </w:tc>
        <w:tc>
          <w:tcPr>
            <w:tcW w:w="26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nonperforming loans and performing TDRs to total loans,</w:t>
            </w:r>
          </w:p>
        </w:tc>
        <w:tc>
          <w:tcPr>
            <w:tcW w:w="180" w:type="dxa"/>
            <w:vAlign w:val="bottom"/>
          </w:tcPr>
          <w:p>
            <w:pPr>
              <w:spacing w:after="0"/>
              <w:rPr>
                <w:sz w:val="24"/>
                <w:szCs w:val="24"/>
                <w:color w:val="auto"/>
              </w:rPr>
            </w:pPr>
          </w:p>
        </w:tc>
        <w:tc>
          <w:tcPr>
            <w:tcW w:w="2020" w:type="dxa"/>
            <w:vAlign w:val="bottom"/>
            <w:gridSpan w:val="2"/>
            <w:vMerge w:val="restart"/>
          </w:tcPr>
          <w:p>
            <w:pPr>
              <w:jc w:val="right"/>
              <w:ind w:right="49"/>
              <w:spacing w:after="0"/>
              <w:rPr>
                <w:sz w:val="20"/>
                <w:szCs w:val="20"/>
                <w:color w:val="auto"/>
              </w:rPr>
            </w:pPr>
            <w:r>
              <w:rPr>
                <w:rFonts w:ascii="Times New Roman" w:cs="Times New Roman" w:eastAsia="Times New Roman" w:hAnsi="Times New Roman"/>
                <w:sz w:val="16"/>
                <w:szCs w:val="16"/>
                <w:color w:val="auto"/>
              </w:rPr>
              <w:t>0.18 %</w:t>
            </w:r>
          </w:p>
        </w:tc>
        <w:tc>
          <w:tcPr>
            <w:tcW w:w="200" w:type="dxa"/>
            <w:vAlign w:val="bottom"/>
          </w:tcPr>
          <w:p>
            <w:pPr>
              <w:spacing w:after="0"/>
              <w:rPr>
                <w:sz w:val="24"/>
                <w:szCs w:val="24"/>
                <w:color w:val="auto"/>
              </w:rPr>
            </w:pPr>
          </w:p>
        </w:tc>
        <w:tc>
          <w:tcPr>
            <w:tcW w:w="1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0.15 %</w:t>
            </w:r>
          </w:p>
        </w:tc>
        <w:tc>
          <w:tcPr>
            <w:tcW w:w="0" w:type="dxa"/>
            <w:vAlign w:val="bottom"/>
          </w:tcPr>
          <w:p>
            <w:pPr>
              <w:spacing w:after="0"/>
              <w:rPr>
                <w:sz w:val="1"/>
                <w:szCs w:val="1"/>
                <w:color w:val="auto"/>
              </w:rPr>
            </w:pPr>
          </w:p>
        </w:tc>
      </w:tr>
      <w:tr>
        <w:trPr>
          <w:trHeight w:val="210"/>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at amortized cost</w:t>
            </w:r>
          </w:p>
        </w:tc>
        <w:tc>
          <w:tcPr>
            <w:tcW w:w="18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nonperforming assets to total loans, at amortized cost,</w:t>
            </w:r>
          </w:p>
        </w:tc>
        <w:tc>
          <w:tcPr>
            <w:tcW w:w="180" w:type="dxa"/>
            <w:vAlign w:val="bottom"/>
          </w:tcPr>
          <w:p>
            <w:pPr>
              <w:spacing w:after="0"/>
              <w:rPr>
                <w:sz w:val="24"/>
                <w:szCs w:val="24"/>
                <w:color w:val="auto"/>
              </w:rPr>
            </w:pPr>
          </w:p>
        </w:tc>
        <w:tc>
          <w:tcPr>
            <w:tcW w:w="2020" w:type="dxa"/>
            <w:vAlign w:val="bottom"/>
            <w:gridSpan w:val="2"/>
            <w:vMerge w:val="restart"/>
          </w:tcPr>
          <w:p>
            <w:pPr>
              <w:jc w:val="right"/>
              <w:ind w:right="49"/>
              <w:spacing w:after="0"/>
              <w:rPr>
                <w:sz w:val="20"/>
                <w:szCs w:val="20"/>
                <w:color w:val="auto"/>
              </w:rPr>
            </w:pPr>
            <w:r>
              <w:rPr>
                <w:rFonts w:ascii="Times New Roman" w:cs="Times New Roman" w:eastAsia="Times New Roman" w:hAnsi="Times New Roman"/>
                <w:sz w:val="16"/>
                <w:szCs w:val="16"/>
                <w:color w:val="auto"/>
              </w:rPr>
              <w:t>0.12 %</w:t>
            </w:r>
          </w:p>
        </w:tc>
        <w:tc>
          <w:tcPr>
            <w:tcW w:w="200" w:type="dxa"/>
            <w:vAlign w:val="bottom"/>
          </w:tcPr>
          <w:p>
            <w:pPr>
              <w:spacing w:after="0"/>
              <w:rPr>
                <w:sz w:val="24"/>
                <w:szCs w:val="24"/>
                <w:color w:val="auto"/>
              </w:rPr>
            </w:pPr>
          </w:p>
        </w:tc>
        <w:tc>
          <w:tcPr>
            <w:tcW w:w="1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0.09 %</w:t>
            </w:r>
          </w:p>
        </w:tc>
        <w:tc>
          <w:tcPr>
            <w:tcW w:w="0" w:type="dxa"/>
            <w:vAlign w:val="bottom"/>
          </w:tcPr>
          <w:p>
            <w:pPr>
              <w:spacing w:after="0"/>
              <w:rPr>
                <w:sz w:val="1"/>
                <w:szCs w:val="1"/>
                <w:color w:val="auto"/>
              </w:rPr>
            </w:pPr>
          </w:p>
        </w:tc>
      </w:tr>
      <w:tr>
        <w:trPr>
          <w:trHeight w:val="210"/>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and OREO</w:t>
            </w:r>
          </w:p>
        </w:tc>
        <w:tc>
          <w:tcPr>
            <w:tcW w:w="18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nonperforming assets to total assets</w:t>
            </w:r>
          </w:p>
        </w:tc>
        <w:tc>
          <w:tcPr>
            <w:tcW w:w="180" w:type="dxa"/>
            <w:vAlign w:val="bottom"/>
          </w:tcPr>
          <w:p>
            <w:pPr>
              <w:spacing w:after="0"/>
              <w:rPr>
                <w:sz w:val="18"/>
                <w:szCs w:val="18"/>
                <w:color w:val="auto"/>
              </w:rPr>
            </w:pPr>
          </w:p>
        </w:tc>
        <w:tc>
          <w:tcPr>
            <w:tcW w:w="2020" w:type="dxa"/>
            <w:vAlign w:val="bottom"/>
            <w:gridSpan w:val="2"/>
          </w:tcPr>
          <w:p>
            <w:pPr>
              <w:jc w:val="right"/>
              <w:ind w:right="49"/>
              <w:spacing w:after="0"/>
              <w:rPr>
                <w:sz w:val="20"/>
                <w:szCs w:val="20"/>
                <w:color w:val="auto"/>
              </w:rPr>
            </w:pPr>
            <w:r>
              <w:rPr>
                <w:rFonts w:ascii="Times New Roman" w:cs="Times New Roman" w:eastAsia="Times New Roman" w:hAnsi="Times New Roman"/>
                <w:sz w:val="16"/>
                <w:szCs w:val="16"/>
                <w:color w:val="auto"/>
              </w:rPr>
              <w:t>0.06 %</w:t>
            </w:r>
          </w:p>
        </w:tc>
        <w:tc>
          <w:tcPr>
            <w:tcW w:w="200" w:type="dxa"/>
            <w:vAlign w:val="bottom"/>
          </w:tcPr>
          <w:p>
            <w:pPr>
              <w:spacing w:after="0"/>
              <w:rPr>
                <w:sz w:val="18"/>
                <w:szCs w:val="18"/>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0.04 %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-1687830</wp:posOffset>
            </wp:positionV>
            <wp:extent cx="68580" cy="13716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13716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-1422400</wp:posOffset>
            </wp:positionV>
            <wp:extent cx="68580" cy="16319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16319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643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32320" cy="643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2890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Troubled Debt Restructurings (“TDRs”)</w:t>
      </w:r>
    </w:p>
    <w:p>
      <w:pPr>
        <w:spacing w:after="0" w:line="216" w:lineRule="exact"/>
        <w:rPr>
          <w:sz w:val="20"/>
          <w:szCs w:val="20"/>
          <w:color w:val="auto"/>
        </w:rPr>
      </w:pPr>
    </w:p>
    <w:p>
      <w:pPr>
        <w:ind w:right="60" w:firstLine="469"/>
        <w:spacing w:after="0" w:line="246" w:lineRule="auto"/>
        <w:rPr>
          <w:sz w:val="20"/>
          <w:szCs w:val="20"/>
          <w:color w:val="auto"/>
        </w:rPr>
      </w:pPr>
      <w:r>
        <w:rPr>
          <w:rFonts w:ascii="Times New Roman" w:cs="Times New Roman" w:eastAsia="Times New Roman" w:hAnsi="Times New Roman"/>
          <w:sz w:val="18"/>
          <w:szCs w:val="18"/>
          <w:color w:val="auto"/>
        </w:rPr>
        <w:t>Total TDRs were $5.8 million at September 30, 2022, compared to $5.3 million at December 31, 2021. At September 30, 2022, all of our TDRs were performing and accruing interest as restructured loans. Our performing TDRs were generally provided a modification of loan repayment terms in response to borrower financial difficulties. The performing restructured loans represent the only loans accruing interest at each respective reporting date. A performing restructured loan is categorized as such if we believe that it is reasonably assured of repayment and is performing in accordance with the modified terms.</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provides a summary of TDRs as of the dates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3"/>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4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Loans</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Loans</w:t>
            </w:r>
          </w:p>
        </w:tc>
        <w:tc>
          <w:tcPr>
            <w:tcW w:w="100" w:type="dxa"/>
            <w:vAlign w:val="bottom"/>
          </w:tcPr>
          <w:p>
            <w:pPr>
              <w:spacing w:after="0"/>
              <w:rPr>
                <w:sz w:val="18"/>
                <w:szCs w:val="18"/>
                <w:color w:val="auto"/>
              </w:rPr>
            </w:pPr>
          </w:p>
        </w:tc>
      </w:tr>
      <w:tr>
        <w:trPr>
          <w:trHeight w:val="208"/>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4"/>
          </w:tcPr>
          <w:p>
            <w:pPr>
              <w:jc w:val="right"/>
              <w:ind w:right="43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Performing TDRs: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SBA</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SFR mortgage</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Consumer and other</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0"/>
        </w:trPr>
        <w:tc>
          <w:tcPr>
            <w:tcW w:w="53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performing TDRs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2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2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425"/>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Nonperforming TDRs: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SBA</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SFR mortgage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3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Consumer and other</w:t>
            </w: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nonperforming TDRs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53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TDRs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24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20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99"/>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8"/>
        </w:trPr>
        <w:tc>
          <w:tcPr>
            <w:tcW w:w="5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-2039620</wp:posOffset>
            </wp:positionV>
            <wp:extent cx="77470" cy="28257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7470" cy="28257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-2039620</wp:posOffset>
            </wp:positionV>
            <wp:extent cx="68580" cy="28257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-2039620</wp:posOffset>
            </wp:positionV>
            <wp:extent cx="68580" cy="28257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28257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-796290</wp:posOffset>
            </wp:positionV>
            <wp:extent cx="77470" cy="15430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-796290</wp:posOffset>
            </wp:positionV>
            <wp:extent cx="68580" cy="15430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-796290</wp:posOffset>
            </wp:positionV>
            <wp:extent cx="68580" cy="15430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15430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-504825</wp:posOffset>
            </wp:positionV>
            <wp:extent cx="7747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-487680</wp:posOffset>
            </wp:positionV>
            <wp:extent cx="7747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-504825</wp:posOffset>
            </wp:positionV>
            <wp:extent cx="6858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-487680</wp:posOffset>
            </wp:positionV>
            <wp:extent cx="6858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-504825</wp:posOffset>
            </wp:positionV>
            <wp:extent cx="6858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-487680</wp:posOffset>
            </wp:positionV>
            <wp:extent cx="6858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320" w:right="299" w:bottom="1440" w:gutter="0" w:footer="0" w:header="0"/>
        </w:sectPr>
      </w:pPr>
    </w:p>
    <w:bookmarkStart w:id="60" w:name="page61"/>
    <w:bookmarkEnd w:id="60"/>
    <w:p>
      <w:pPr>
        <w:ind w:right="200" w:firstLine="469"/>
        <w:spacing w:after="0" w:line="258" w:lineRule="auto"/>
        <w:rPr>
          <w:sz w:val="20"/>
          <w:szCs w:val="20"/>
          <w:color w:val="auto"/>
        </w:rPr>
      </w:pPr>
      <w:r>
        <w:rPr>
          <w:rFonts w:ascii="Times New Roman" w:cs="Times New Roman" w:eastAsia="Times New Roman" w:hAnsi="Times New Roman"/>
          <w:sz w:val="18"/>
          <w:szCs w:val="18"/>
          <w:color w:val="auto"/>
        </w:rPr>
        <w:t>At September 30, 2022 and December 31, 2021, there was no ACL allocated to TDRs. Impairment amounts identified are typically charged off against the allowance at the time the loan is considered uncollectible. There were no charge-offs on TDRs for the nine months ended September 30, 2022 and 2021.</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 and Delinquencies</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table below provides trends in our nonperforming assets and delinquencies as of the dates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220" w:type="dxa"/>
            <w:vAlign w:val="bottom"/>
            <w:gridSpan w:val="2"/>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5"/>
                <w:szCs w:val="15"/>
                <w:color w:val="auto"/>
              </w:rPr>
            </w:pPr>
          </w:p>
        </w:tc>
        <w:tc>
          <w:tcPr>
            <w:tcW w:w="140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5"/>
                <w:szCs w:val="15"/>
                <w:color w:val="auto"/>
              </w:rPr>
            </w:pP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w w:val="96"/>
              </w:rPr>
              <w:t>(Dollars in thousands)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3620" w:type="dxa"/>
            <w:vAlign w:val="bottom"/>
            <w:gridSpan w:val="4"/>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Nonperforming loans:</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FF0FC"/>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6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1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62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6,705</w:t>
            </w:r>
          </w:p>
        </w:tc>
        <w:tc>
          <w:tcPr>
            <w:tcW w:w="28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6,843</w:t>
            </w:r>
          </w:p>
        </w:tc>
        <w:tc>
          <w:tcPr>
            <w:tcW w:w="180" w:type="dxa"/>
            <w:vAlign w:val="bottom"/>
          </w:tcPr>
          <w:p>
            <w:pPr>
              <w:spacing w:after="0"/>
              <w:rPr>
                <w:sz w:val="15"/>
                <w:szCs w:val="15"/>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7,055</w:t>
            </w:r>
          </w:p>
        </w:tc>
        <w:tc>
          <w:tcPr>
            <w:tcW w:w="2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3,607</w:t>
            </w:r>
          </w:p>
        </w:tc>
        <w:tc>
          <w:tcPr>
            <w:tcW w:w="26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62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Construction</w:t>
            </w: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2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SBA</w:t>
            </w: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62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SBA - PPP</w:t>
            </w: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2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1,714</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62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Dairy &amp; livestock and agribusiness</w:t>
            </w: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3,354</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2,655</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2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SFR mortgage</w:t>
            </w: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FF0FC"/>
            </w:tcBorders>
            <w:shd w:val="clear" w:color="auto" w:fill="CFF0FC"/>
          </w:tcPr>
          <w:p>
            <w:pPr>
              <w:spacing w:after="0"/>
              <w:rPr>
                <w:sz w:val="15"/>
                <w:szCs w:val="15"/>
                <w:color w:val="auto"/>
              </w:rPr>
            </w:pPr>
          </w:p>
        </w:tc>
        <w:tc>
          <w:tcPr>
            <w:tcW w:w="3620" w:type="dxa"/>
            <w:vAlign w:val="bottom"/>
            <w:tcBorders>
              <w:bottom w:val="single" w:sz="8" w:color="CFF0FC"/>
            </w:tcBorders>
            <w:gridSpan w:val="4"/>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Consumer and other loans</w:t>
            </w:r>
          </w:p>
        </w:tc>
        <w:tc>
          <w:tcPr>
            <w:tcW w:w="16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8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tcBorders>
              <w:bottom w:val="single" w:sz="8" w:color="CFF0FC"/>
            </w:tcBorders>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10,117</w:t>
            </w:r>
          </w:p>
        </w:tc>
        <w:tc>
          <w:tcPr>
            <w:tcW w:w="28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12,964</w:t>
            </w:r>
          </w:p>
        </w:tc>
        <w:tc>
          <w:tcPr>
            <w:tcW w:w="180" w:type="dxa"/>
            <w:vAlign w:val="bottom"/>
          </w:tcPr>
          <w:p>
            <w:pPr>
              <w:spacing w:after="0"/>
              <w:rPr>
                <w:sz w:val="14"/>
                <w:szCs w:val="14"/>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13,265</w:t>
            </w:r>
          </w:p>
        </w:tc>
        <w:tc>
          <w:tcPr>
            <w:tcW w:w="2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6,893</w:t>
            </w:r>
          </w:p>
        </w:tc>
        <w:tc>
          <w:tcPr>
            <w:tcW w:w="2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8,446</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 of Total loans</w:t>
            </w:r>
          </w:p>
        </w:tc>
        <w:tc>
          <w:tcPr>
            <w:tcW w:w="1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0.12</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0.15</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0.15</w:t>
            </w: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0.09</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0.11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6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Past due 30-89 days:</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62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180" w:type="dxa"/>
            <w:vAlign w:val="bottom"/>
            <w:shd w:val="clear" w:color="auto" w:fill="CFF0FC"/>
          </w:tcPr>
          <w:p>
            <w:pPr>
              <w:spacing w:after="0"/>
              <w:rPr>
                <w:sz w:val="15"/>
                <w:szCs w:val="15"/>
                <w:color w:val="auto"/>
              </w:rPr>
            </w:pP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2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Construction</w:t>
            </w: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62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SBA</w:t>
            </w: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2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62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Dairy &amp; livestock and agribusiness</w:t>
            </w: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2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SFR mortgage</w:t>
            </w: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FF0FC"/>
            </w:tcBorders>
            <w:shd w:val="clear" w:color="auto" w:fill="CFF0FC"/>
          </w:tcPr>
          <w:p>
            <w:pPr>
              <w:spacing w:after="0"/>
              <w:rPr>
                <w:sz w:val="15"/>
                <w:szCs w:val="15"/>
                <w:color w:val="auto"/>
              </w:rPr>
            </w:pPr>
          </w:p>
        </w:tc>
        <w:tc>
          <w:tcPr>
            <w:tcW w:w="3620" w:type="dxa"/>
            <w:vAlign w:val="bottom"/>
            <w:tcBorders>
              <w:bottom w:val="single" w:sz="8" w:color="CFF0FC"/>
            </w:tcBorders>
            <w:gridSpan w:val="4"/>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Consumer and other loans</w:t>
            </w:r>
          </w:p>
        </w:tc>
        <w:tc>
          <w:tcPr>
            <w:tcW w:w="16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559</w:t>
            </w:r>
          </w:p>
        </w:tc>
        <w:tc>
          <w:tcPr>
            <w:tcW w:w="180" w:type="dxa"/>
            <w:vAlign w:val="bottom"/>
          </w:tcPr>
          <w:p>
            <w:pPr>
              <w:spacing w:after="0"/>
              <w:rPr>
                <w:sz w:val="14"/>
                <w:szCs w:val="14"/>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2,622</w:t>
            </w:r>
          </w:p>
        </w:tc>
        <w:tc>
          <w:tcPr>
            <w:tcW w:w="2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2,457</w:t>
            </w:r>
          </w:p>
        </w:tc>
        <w:tc>
          <w:tcPr>
            <w:tcW w:w="2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1,122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 of Total loans</w:t>
            </w:r>
          </w:p>
        </w:tc>
        <w:tc>
          <w:tcPr>
            <w:tcW w:w="1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0.00</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0.01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0.03</w:t>
            </w: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0.03</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0.01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OREO:</w:t>
            </w:r>
          </w:p>
        </w:tc>
        <w:tc>
          <w:tcPr>
            <w:tcW w:w="314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62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2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SBA</w:t>
            </w: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3620" w:type="dxa"/>
            <w:vAlign w:val="bottom"/>
            <w:tcBorders>
              <w:bottom w:val="single" w:sz="8" w:color="CFF0FC"/>
            </w:tcBorders>
            <w:gridSpan w:val="4"/>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SFR mortgage</w:t>
            </w:r>
          </w:p>
        </w:tc>
        <w:tc>
          <w:tcPr>
            <w:tcW w:w="16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3140" w:type="dxa"/>
            <w:vAlign w:val="bottom"/>
            <w:gridSpan w:val="3"/>
            <w:shd w:val="clear" w:color="auto" w:fill="CFF0FC"/>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Total nonperforming, past due,</w:t>
            </w: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10,117</w:t>
            </w:r>
          </w:p>
        </w:tc>
        <w:tc>
          <w:tcPr>
            <w:tcW w:w="280" w:type="dxa"/>
            <w:vAlign w:val="bottom"/>
            <w:shd w:val="clear" w:color="auto" w:fill="CFF0FC"/>
          </w:tcPr>
          <w:p>
            <w:pPr>
              <w:spacing w:after="0"/>
              <w:rPr>
                <w:sz w:val="11"/>
                <w:szCs w:val="11"/>
                <w:color w:val="auto"/>
              </w:rPr>
            </w:pPr>
          </w:p>
        </w:tc>
        <w:tc>
          <w:tcPr>
            <w:tcW w:w="2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13,253</w:t>
            </w:r>
          </w:p>
        </w:tc>
        <w:tc>
          <w:tcPr>
            <w:tcW w:w="180" w:type="dxa"/>
            <w:vAlign w:val="bottom"/>
            <w:shd w:val="clear" w:color="auto" w:fill="CFF0FC"/>
          </w:tcPr>
          <w:p>
            <w:pPr>
              <w:spacing w:after="0"/>
              <w:rPr>
                <w:sz w:val="11"/>
                <w:szCs w:val="11"/>
                <w:color w:val="auto"/>
              </w:rPr>
            </w:pPr>
          </w:p>
        </w:tc>
        <w:tc>
          <w:tcPr>
            <w:tcW w:w="80" w:type="dxa"/>
            <w:vAlign w:val="bottom"/>
            <w:vMerge w:val="restart"/>
            <w:shd w:val="clear" w:color="auto" w:fill="CFF0FC"/>
          </w:tcPr>
          <w:p>
            <w:pPr>
              <w:spacing w:after="0"/>
              <w:rPr>
                <w:sz w:val="11"/>
                <w:szCs w:val="11"/>
                <w:color w:val="auto"/>
              </w:rPr>
            </w:pPr>
          </w:p>
        </w:tc>
        <w:tc>
          <w:tcPr>
            <w:tcW w:w="1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15,887</w:t>
            </w:r>
          </w:p>
        </w:tc>
        <w:tc>
          <w:tcPr>
            <w:tcW w:w="240" w:type="dxa"/>
            <w:vAlign w:val="bottom"/>
            <w:shd w:val="clear" w:color="auto" w:fill="CFF0FC"/>
          </w:tcPr>
          <w:p>
            <w:pPr>
              <w:spacing w:after="0"/>
              <w:rPr>
                <w:sz w:val="11"/>
                <w:szCs w:val="11"/>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9,350</w:t>
            </w:r>
          </w:p>
        </w:tc>
        <w:tc>
          <w:tcPr>
            <w:tcW w:w="260" w:type="dxa"/>
            <w:vAlign w:val="bottom"/>
            <w:shd w:val="clear" w:color="auto" w:fill="CFF0FC"/>
          </w:tcPr>
          <w:p>
            <w:pPr>
              <w:spacing w:after="0"/>
              <w:rPr>
                <w:sz w:val="11"/>
                <w:szCs w:val="11"/>
                <w:color w:val="auto"/>
              </w:rPr>
            </w:pP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9,568</w:t>
            </w:r>
          </w:p>
        </w:tc>
        <w:tc>
          <w:tcPr>
            <w:tcW w:w="100" w:type="dxa"/>
            <w:vAlign w:val="bottom"/>
            <w:shd w:val="clear" w:color="auto" w:fill="CFF0FC"/>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CFF0FC"/>
            </w:tcBorders>
            <w:shd w:val="clear" w:color="auto" w:fill="CFF0FC"/>
          </w:tcPr>
          <w:p>
            <w:pPr>
              <w:spacing w:after="0"/>
              <w:rPr>
                <w:sz w:val="16"/>
                <w:szCs w:val="16"/>
                <w:color w:val="auto"/>
              </w:rPr>
            </w:pPr>
          </w:p>
        </w:tc>
        <w:tc>
          <w:tcPr>
            <w:tcW w:w="3140" w:type="dxa"/>
            <w:vAlign w:val="bottom"/>
            <w:tcBorders>
              <w:bottom w:val="single" w:sz="8" w:color="CFF0FC"/>
            </w:tcBorders>
            <w:gridSpan w:val="3"/>
            <w:shd w:val="clear" w:color="auto" w:fill="CFF0FC"/>
          </w:tcPr>
          <w:p>
            <w:pPr>
              <w:ind w:left="160"/>
              <w:spacing w:after="0" w:line="127" w:lineRule="exact"/>
              <w:rPr>
                <w:sz w:val="20"/>
                <w:szCs w:val="20"/>
                <w:color w:val="auto"/>
              </w:rPr>
            </w:pPr>
            <w:r>
              <w:rPr>
                <w:rFonts w:ascii="Times New Roman" w:cs="Times New Roman" w:eastAsia="Times New Roman" w:hAnsi="Times New Roman"/>
                <w:sz w:val="14"/>
                <w:szCs w:val="14"/>
                <w:b w:val="1"/>
                <w:bCs w:val="1"/>
                <w:color w:val="auto"/>
              </w:rPr>
              <w:t>and OREO</w:t>
            </w:r>
          </w:p>
        </w:tc>
        <w:tc>
          <w:tcPr>
            <w:tcW w:w="160" w:type="dxa"/>
            <w:vAlign w:val="bottom"/>
            <w:tcBorders>
              <w:bottom w:val="single" w:sz="8" w:color="auto"/>
            </w:tcBorders>
            <w:vMerge w:val="continue"/>
            <w:shd w:val="clear" w:color="auto" w:fill="CFF0FC"/>
          </w:tcPr>
          <w:p>
            <w:pPr>
              <w:spacing w:after="0"/>
              <w:rPr>
                <w:sz w:val="16"/>
                <w:szCs w:val="16"/>
                <w:color w:val="auto"/>
              </w:rPr>
            </w:pPr>
          </w:p>
        </w:tc>
        <w:tc>
          <w:tcPr>
            <w:tcW w:w="1180" w:type="dxa"/>
            <w:vAlign w:val="bottom"/>
            <w:tcBorders>
              <w:bottom w:val="single" w:sz="8" w:color="auto"/>
            </w:tcBorders>
            <w:vMerge w:val="continue"/>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vMerge w:val="continue"/>
            <w:shd w:val="clear" w:color="auto" w:fill="CFF0FC"/>
          </w:tcPr>
          <w:p>
            <w:pPr>
              <w:spacing w:after="0"/>
              <w:rPr>
                <w:sz w:val="16"/>
                <w:szCs w:val="16"/>
                <w:color w:val="auto"/>
              </w:rPr>
            </w:pPr>
          </w:p>
        </w:tc>
        <w:tc>
          <w:tcPr>
            <w:tcW w:w="1040" w:type="dxa"/>
            <w:vAlign w:val="bottom"/>
            <w:tcBorders>
              <w:bottom w:val="single" w:sz="8" w:color="auto"/>
            </w:tcBorders>
            <w:vMerge w:val="continue"/>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vMerge w:val="continue"/>
            <w:shd w:val="clear" w:color="auto" w:fill="CFF0FC"/>
          </w:tcPr>
          <w:p>
            <w:pPr>
              <w:spacing w:after="0"/>
              <w:rPr>
                <w:sz w:val="16"/>
                <w:szCs w:val="16"/>
                <w:color w:val="auto"/>
              </w:rPr>
            </w:pPr>
          </w:p>
        </w:tc>
        <w:tc>
          <w:tcPr>
            <w:tcW w:w="180" w:type="dxa"/>
            <w:vAlign w:val="bottom"/>
            <w:tcBorders>
              <w:bottom w:val="single" w:sz="8" w:color="auto"/>
            </w:tcBorders>
            <w:vMerge w:val="continue"/>
            <w:shd w:val="clear" w:color="auto" w:fill="CFF0FC"/>
          </w:tcPr>
          <w:p>
            <w:pPr>
              <w:spacing w:after="0"/>
              <w:rPr>
                <w:sz w:val="16"/>
                <w:szCs w:val="16"/>
                <w:color w:val="auto"/>
              </w:rPr>
            </w:pPr>
          </w:p>
        </w:tc>
        <w:tc>
          <w:tcPr>
            <w:tcW w:w="1060" w:type="dxa"/>
            <w:vAlign w:val="bottom"/>
            <w:tcBorders>
              <w:bottom w:val="single" w:sz="8" w:color="auto"/>
            </w:tcBorders>
            <w:vMerge w:val="continue"/>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vMerge w:val="continue"/>
            <w:shd w:val="clear" w:color="auto" w:fill="CFF0FC"/>
          </w:tcPr>
          <w:p>
            <w:pPr>
              <w:spacing w:after="0"/>
              <w:rPr>
                <w:sz w:val="16"/>
                <w:szCs w:val="16"/>
                <w:color w:val="auto"/>
              </w:rPr>
            </w:pPr>
          </w:p>
        </w:tc>
        <w:tc>
          <w:tcPr>
            <w:tcW w:w="114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vMerge w:val="continue"/>
            <w:shd w:val="clear" w:color="auto" w:fill="CFF0FC"/>
          </w:tcPr>
          <w:p>
            <w:pPr>
              <w:spacing w:after="0"/>
              <w:rPr>
                <w:sz w:val="16"/>
                <w:szCs w:val="16"/>
                <w:color w:val="auto"/>
              </w:rPr>
            </w:pPr>
          </w:p>
        </w:tc>
        <w:tc>
          <w:tcPr>
            <w:tcW w:w="116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of Total loans</w:t>
            </w:r>
          </w:p>
        </w:tc>
        <w:tc>
          <w:tcPr>
            <w:tcW w:w="160" w:type="dxa"/>
            <w:vAlign w:val="bottom"/>
          </w:tcPr>
          <w:p>
            <w:pPr>
              <w:spacing w:after="0"/>
              <w:rPr>
                <w:sz w:val="14"/>
                <w:szCs w:val="14"/>
                <w:color w:val="auto"/>
              </w:rPr>
            </w:pPr>
          </w:p>
        </w:tc>
        <w:tc>
          <w:tcPr>
            <w:tcW w:w="14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0.12 %</w:t>
            </w:r>
          </w:p>
        </w:tc>
        <w:tc>
          <w:tcPr>
            <w:tcW w:w="2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0.16 %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0.18 %</w:t>
            </w:r>
          </w:p>
        </w:tc>
        <w:tc>
          <w:tcPr>
            <w:tcW w:w="160" w:type="dxa"/>
            <w:vAlign w:val="bottom"/>
          </w:tcPr>
          <w:p>
            <w:pPr>
              <w:spacing w:after="0"/>
              <w:rPr>
                <w:sz w:val="14"/>
                <w:szCs w:val="14"/>
                <w:color w:val="auto"/>
              </w:rPr>
            </w:pPr>
          </w:p>
        </w:tc>
        <w:tc>
          <w:tcPr>
            <w:tcW w:w="14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0.12 %</w:t>
            </w:r>
          </w:p>
        </w:tc>
        <w:tc>
          <w:tcPr>
            <w:tcW w:w="16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0.12 %</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640" w:type="dxa"/>
            <w:vAlign w:val="bottom"/>
            <w:tcBorders>
              <w:bottom w:val="single" w:sz="8" w:color="CFF0FC"/>
            </w:tcBorders>
            <w:gridSpan w:val="5"/>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Classified Loans</w:t>
            </w: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63,651</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76,170</w:t>
            </w: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64,108</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56,102</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49,755</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-2742565</wp:posOffset>
            </wp:positionV>
            <wp:extent cx="7132320" cy="24003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-1499235</wp:posOffset>
            </wp:positionV>
            <wp:extent cx="7132320" cy="24003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-702310</wp:posOffset>
            </wp:positionV>
            <wp:extent cx="77470" cy="12890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-702310</wp:posOffset>
            </wp:positionV>
            <wp:extent cx="68580" cy="12890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-702310</wp:posOffset>
            </wp:positionV>
            <wp:extent cx="68580" cy="12890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-702310</wp:posOffset>
            </wp:positionV>
            <wp:extent cx="68580" cy="12890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12890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-393700</wp:posOffset>
            </wp:positionV>
            <wp:extent cx="3977640" cy="25717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3977640" cy="25717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-24765</wp:posOffset>
            </wp:positionV>
            <wp:extent cx="7747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-7620</wp:posOffset>
            </wp:positionV>
            <wp:extent cx="7747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-24765</wp:posOffset>
            </wp:positionV>
            <wp:extent cx="6858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-7620</wp:posOffset>
            </wp:positionV>
            <wp:extent cx="6858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6858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6858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Nonperforming loans, defined as nonaccrual loans, nonperforming TDR loans and loans past due 90 days or more and still accruing interest, were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 million at September 30, 2022, or 0.12% of total loans. This compares to nonperforming loans of $6.9 million, or 0.09% of total loans, at December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2021 and $8.4 million, or 0.11% of total loans, at September 30, 2021. Of the $10.1 million in nonperforming loans, $4.1 million were commercial real</w:t>
      </w:r>
    </w:p>
    <w:p>
      <w:pPr>
        <w:spacing w:after="0" w:line="234" w:lineRule="auto"/>
        <w:rPr>
          <w:sz w:val="20"/>
          <w:szCs w:val="20"/>
          <w:color w:val="auto"/>
        </w:rPr>
      </w:pPr>
      <w:r>
        <w:rPr>
          <w:rFonts w:ascii="Times New Roman" w:cs="Times New Roman" w:eastAsia="Times New Roman" w:hAnsi="Times New Roman"/>
          <w:sz w:val="18"/>
          <w:szCs w:val="18"/>
          <w:color w:val="auto"/>
        </w:rPr>
        <w:t>estate loans acquired from Suncrest. Classified loans are loans that are graded “substandard” or worse. Classified loans of $63.7 million increased $7.5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from December 31, 2021. Total classified loans at September 30, 2022 included $14.4 million of classified loans acquired from Suncrest, of which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 million were commercial real estate loans. Excluding the $14.4 million of acquired classified Suncrest loans, classified loans decreased $6.8 million</w:t>
      </w:r>
    </w:p>
    <w:p>
      <w:pPr>
        <w:spacing w:after="0" w:line="234" w:lineRule="auto"/>
        <w:rPr>
          <w:sz w:val="20"/>
          <w:szCs w:val="20"/>
          <w:color w:val="auto"/>
        </w:rPr>
      </w:pPr>
      <w:r>
        <w:rPr>
          <w:rFonts w:ascii="Times New Roman" w:cs="Times New Roman" w:eastAsia="Times New Roman" w:hAnsi="Times New Roman"/>
          <w:sz w:val="18"/>
          <w:szCs w:val="18"/>
          <w:color w:val="auto"/>
        </w:rPr>
        <w:t>from December 31, 2021 and included a $5.1 million decrease in classified SBA loans, a $3.3 million decrease in classified commercial real estate loans,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 $2.6 million decrease in classified commercial and industrial loans, partially offset by a $4.5 million increase in classified dairy &amp; livestock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agribusiness loans.</w:t>
      </w:r>
    </w:p>
    <w:p>
      <w:pPr>
        <w:spacing w:after="0" w:line="180" w:lineRule="exact"/>
        <w:rPr>
          <w:sz w:val="20"/>
          <w:szCs w:val="20"/>
          <w:color w:val="auto"/>
        </w:rPr>
      </w:pPr>
    </w:p>
    <w:p>
      <w:pPr>
        <w:ind w:right="280" w:firstLine="315"/>
        <w:spacing w:after="0" w:line="282" w:lineRule="auto"/>
        <w:rPr>
          <w:sz w:val="20"/>
          <w:szCs w:val="20"/>
          <w:color w:val="auto"/>
        </w:rPr>
      </w:pPr>
      <w:r>
        <w:rPr>
          <w:rFonts w:ascii="Times New Roman" w:cs="Times New Roman" w:eastAsia="Times New Roman" w:hAnsi="Times New Roman"/>
          <w:sz w:val="18"/>
          <w:szCs w:val="18"/>
          <w:color w:val="auto"/>
        </w:rPr>
        <w:t>At September 30, 2022, December 31, 2021, and September 30, 2021 we had no OREO properties. There were no additions to OREO properties for the nine months ended September 30, 2022.</w:t>
      </w:r>
    </w:p>
    <w:p>
      <w:pPr>
        <w:spacing w:after="0" w:line="200" w:lineRule="exact"/>
        <w:rPr>
          <w:sz w:val="20"/>
          <w:szCs w:val="20"/>
          <w:color w:val="auto"/>
        </w:rPr>
      </w:pPr>
    </w:p>
    <w:p>
      <w:pPr>
        <w:spacing w:after="0" w:line="3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24" w:right="2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16" w:lineRule="exact"/>
        <w:rPr>
          <w:sz w:val="20"/>
          <w:szCs w:val="20"/>
          <w:color w:val="auto"/>
        </w:rPr>
      </w:pPr>
    </w:p>
    <w:p>
      <w:pPr>
        <w:ind w:right="40" w:firstLine="360"/>
        <w:spacing w:after="0" w:line="245" w:lineRule="auto"/>
        <w:rPr>
          <w:sz w:val="20"/>
          <w:szCs w:val="20"/>
          <w:color w:val="auto"/>
        </w:rPr>
      </w:pPr>
      <w:r>
        <w:rPr>
          <w:rFonts w:ascii="Times New Roman" w:cs="Times New Roman" w:eastAsia="Times New Roman" w:hAnsi="Times New Roman"/>
          <w:sz w:val="18"/>
          <w:szCs w:val="18"/>
          <w:color w:val="auto"/>
        </w:rPr>
        <w:t>We adopted CECL on January 1, 2020, which replaces the “incurred loss” approach with an “expected loss” model over the life of the loan, as further described in Note 3—</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of the notes contained in our Annual Report on Form 10-K for the year ended December 31, 2021. The allowance for credit losses totaled $82.6 million as of September 30, 2022, compared to $65.0 million as of December 31, 2021 and $65.4 million as of September 30, 2021. Our allowance for credit losses at September 30, 2022 was 0.94%, or 0.94% of total loans when excluding the $17.3 million in PPP loans. The ACL increased by $17.6 million in September 30, 2022 compared to December 31, 2021, including $8.6 million for the acquired Suncrest PCD loans and an $8.1 million provision for credit losses for the first nine months of 2022. Net recoveries were $877,000 for the nine months ended September 30, 2022, which compares to $2.8 million in net charge-offs for the same period of 2021.</w:t>
      </w:r>
    </w:p>
    <w:p>
      <w:pPr>
        <w:spacing w:after="0" w:line="168" w:lineRule="exact"/>
        <w:rPr>
          <w:sz w:val="20"/>
          <w:szCs w:val="20"/>
          <w:color w:val="auto"/>
        </w:rPr>
      </w:pPr>
    </w:p>
    <w:p>
      <w:pPr>
        <w:ind w:firstLine="360"/>
        <w:spacing w:after="0" w:line="242" w:lineRule="auto"/>
        <w:rPr>
          <w:sz w:val="20"/>
          <w:szCs w:val="20"/>
          <w:color w:val="auto"/>
        </w:rPr>
      </w:pPr>
      <w:r>
        <w:rPr>
          <w:rFonts w:ascii="Times New Roman" w:cs="Times New Roman" w:eastAsia="Times New Roman" w:hAnsi="Times New Roman"/>
          <w:sz w:val="18"/>
          <w:szCs w:val="18"/>
          <w:color w:val="auto"/>
        </w:rPr>
        <w:t>The allowance for credit losses as of September 30, 2022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Our ACL amounts are largely driven by portfolio characteristics, including loss history and various risk attributes, and the economic outlook for certain macroeconomic variables. The allowance for credit loss is sensitive to both changes in these portfolio characteristics and the forecast of macroeconomic variables. Risk attributes for commercial real estate loans include OLTV, origination year, loan seasoning, and macroeconomic variables that include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(excluding Paycheck Protection Program loans). The Commercial and Industrial methodology is applied over a substantial portion of the Company’s commercial and industrial loans, all dairy &amp; livestock and agribusiness loans, municipal lease receivables, as well as the remaining portion of Small Business Administration (SBA) loans (excluding Paycheck Protection Program loans). The Consumer methodology is applied to SFR mortgage loans, consumer loans, as well as the remaining construction loans. In addition to determining the quantitative life of loan loss rate to be applied against the portfolio segments, management reviews current conditions and forecasts to determine whether adjustments are needed to ensure that the life of loan loss rates reflect both the current state of the portfolio, and expectations for macroeconomic changes.</w:t>
      </w:r>
    </w:p>
    <w:p>
      <w:pPr>
        <w:spacing w:after="0" w:line="177" w:lineRule="exact"/>
        <w:rPr>
          <w:sz w:val="20"/>
          <w:szCs w:val="20"/>
          <w:color w:val="auto"/>
        </w:rPr>
      </w:pPr>
    </w:p>
    <w:p>
      <w:pPr>
        <w:ind w:right="60" w:firstLine="360"/>
        <w:spacing w:after="0" w:line="247" w:lineRule="auto"/>
        <w:rPr>
          <w:sz w:val="20"/>
          <w:szCs w:val="20"/>
          <w:color w:val="auto"/>
        </w:rPr>
      </w:pPr>
      <w:r>
        <w:rPr>
          <w:rFonts w:ascii="Times New Roman" w:cs="Times New Roman" w:eastAsia="Times New Roman" w:hAnsi="Times New Roman"/>
          <w:sz w:val="18"/>
          <w:szCs w:val="18"/>
          <w:color w:val="auto"/>
        </w:rPr>
        <w:t>Our economic forecast continues to be a blend of multiple forecasts produced by Moody’s. These U.S. economic forecasts include a baseline forecast, as well as multiple downside forecasts. The baseline forecast continues to represent the largest weighting in our multi-weighted forecast scenario, with downside risks weighted among multiple forecasts. As of September 30, 2022, the resulting forecast included a higher weighting for the stagflation scenario due to continued inflationary pressures observed in the economy. Our weighted forecast at September 30, 2022 assumes GDP will increase by</w:t>
      </w:r>
    </w:p>
    <w:p>
      <w:pPr>
        <w:spacing w:after="0"/>
        <w:rPr>
          <w:sz w:val="20"/>
          <w:szCs w:val="20"/>
          <w:color w:val="auto"/>
        </w:rPr>
      </w:pPr>
      <w:r>
        <w:rPr>
          <w:rFonts w:ascii="Times New Roman" w:cs="Times New Roman" w:eastAsia="Times New Roman" w:hAnsi="Times New Roman"/>
          <w:sz w:val="18"/>
          <w:szCs w:val="18"/>
          <w:color w:val="auto"/>
        </w:rPr>
        <w:t>0.4% for 2023, 1.6% in 2024, and then grow by 2.5% in 2025. The unemployment rate is forecasted to be 5% in 2023, 5.3% in 2024 and then decline to</w:t>
      </w:r>
    </w:p>
    <w:p>
      <w:pPr>
        <w:ind w:right="60"/>
        <w:spacing w:after="0"/>
        <w:rPr>
          <w:sz w:val="20"/>
          <w:szCs w:val="20"/>
          <w:color w:val="auto"/>
        </w:rPr>
      </w:pPr>
      <w:r>
        <w:rPr>
          <w:rFonts w:ascii="Times New Roman" w:cs="Times New Roman" w:eastAsia="Times New Roman" w:hAnsi="Times New Roman"/>
          <w:sz w:val="18"/>
          <w:szCs w:val="18"/>
          <w:color w:val="auto"/>
        </w:rPr>
        <w:t>5.1% in 2025. As of December 31, 2021, our weighted forecast assumed GDP would increase by 2.7% in 2022, 2.0% for 2023 and then grow by 3% in 2024. The forecast at the end of 2021 expected the unemployment rate to be 5.2% in 2022, 5.4% in 2023 and then decline to 4.8% in 2024. Management believes that the ACL was appropriate at September 30, 2022 and December 31, 2021. With continued inflationary pressures and changes in monetary policies, no assurance can be given that economic conditions that adversely affect the Company’s service areas or other circumstances will not be reflected in an increased allowance for credit losses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62" w:name="page63"/>
    <w:bookmarkEnd w:id="62"/>
    <w:p>
      <w:pPr>
        <w:ind w:right="280" w:firstLine="469"/>
        <w:spacing w:after="0" w:line="282" w:lineRule="auto"/>
        <w:rPr>
          <w:sz w:val="20"/>
          <w:szCs w:val="20"/>
          <w:color w:val="auto"/>
        </w:rPr>
      </w:pPr>
      <w:r>
        <w:rPr>
          <w:rFonts w:ascii="Times New Roman" w:cs="Times New Roman" w:eastAsia="Times New Roman" w:hAnsi="Times New Roman"/>
          <w:sz w:val="18"/>
          <w:szCs w:val="18"/>
          <w:color w:val="auto"/>
        </w:rPr>
        <w:t>The table below presents a summary of charge-offs and recoveries by type, the provision for credit losses on loans, and the resulting allowance for credit losses for the periods presented.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4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As of and For the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00" w:type="dxa"/>
            <w:vAlign w:val="bottom"/>
            <w:gridSpan w:val="6"/>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76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6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300" w:type="dxa"/>
            <w:vAlign w:val="bottom"/>
          </w:tcPr>
          <w:p>
            <w:pPr>
              <w:jc w:val="right"/>
              <w:ind w:right="79"/>
              <w:spacing w:after="0"/>
              <w:rPr>
                <w:sz w:val="20"/>
                <w:szCs w:val="20"/>
                <w:color w:val="auto"/>
              </w:rPr>
            </w:pPr>
            <w:r>
              <w:rPr>
                <w:rFonts w:ascii="Times New Roman" w:cs="Times New Roman" w:eastAsia="Times New Roman" w:hAnsi="Times New Roman"/>
                <w:sz w:val="16"/>
                <w:szCs w:val="16"/>
                <w:i w:val="1"/>
                <w:iCs w:val="1"/>
                <w:color w:val="auto"/>
                <w:w w:val="95"/>
              </w:rPr>
              <w:t>in</w:t>
            </w:r>
          </w:p>
        </w:tc>
        <w:tc>
          <w:tcPr>
            <w:tcW w:w="6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w w:val="85"/>
              </w:rPr>
              <w:t>thousands)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beginning of period</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65,019</w:t>
            </w: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93,692</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Construction</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SBA</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60" w:type="dxa"/>
            <w:vAlign w:val="bottom"/>
          </w:tcPr>
          <w:p>
            <w:pPr>
              <w:spacing w:after="0"/>
              <w:rPr>
                <w:sz w:val="18"/>
                <w:szCs w:val="18"/>
                <w:color w:val="auto"/>
              </w:rPr>
            </w:pPr>
          </w:p>
        </w:tc>
        <w:tc>
          <w:tcPr>
            <w:tcW w:w="152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(66 )</w:t>
            </w:r>
          </w:p>
        </w:tc>
        <w:tc>
          <w:tcPr>
            <w:tcW w:w="6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(2,985 )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SFR mortgage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Consumer and other loans</w:t>
            </w: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8"/>
                <w:szCs w:val="18"/>
                <w:color w:val="auto"/>
              </w:rPr>
              <w:t>(4 )</w:t>
            </w:r>
          </w:p>
        </w:tc>
        <w:tc>
          <w:tcPr>
            <w:tcW w:w="6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charge-offs</w:t>
            </w:r>
          </w:p>
        </w:tc>
        <w:tc>
          <w:tcPr>
            <w:tcW w:w="360" w:type="dxa"/>
            <w:vAlign w:val="bottom"/>
          </w:tcPr>
          <w:p>
            <w:pPr>
              <w:spacing w:after="0"/>
              <w:rPr>
                <w:sz w:val="18"/>
                <w:szCs w:val="18"/>
                <w:color w:val="auto"/>
              </w:rPr>
            </w:pPr>
          </w:p>
        </w:tc>
        <w:tc>
          <w:tcPr>
            <w:tcW w:w="152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(70 )</w:t>
            </w:r>
          </w:p>
        </w:tc>
        <w:tc>
          <w:tcPr>
            <w:tcW w:w="6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(2,996 )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Construction</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SBA</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SFR mortgage</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Consumer and other loans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recoveries</w:t>
            </w: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3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(charge-offs) recoveries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(2,828 )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Initial ACL for PCD loans at acquisition</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8,605</w:t>
            </w: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recorded at acquisition</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(recapture of) for credit losses</w:t>
            </w: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3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82,601</w:t>
            </w:r>
          </w:p>
        </w:tc>
        <w:tc>
          <w:tcPr>
            <w:tcW w:w="300" w:type="dxa"/>
            <w:vAlign w:val="bottom"/>
          </w:tcPr>
          <w:p>
            <w:pPr>
              <w:spacing w:after="0"/>
              <w:rPr>
                <w:sz w:val="18"/>
                <w:szCs w:val="18"/>
                <w:color w:val="auto"/>
              </w:rPr>
            </w:pPr>
          </w:p>
        </w:tc>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Summary of reserve for unfunded loan commitments: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 for unfunded loan commitments at beginning of period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30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(Recapture of) provision for unfunded loan commitments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Reserve for unfunded loan commitments at end of period</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300" w:type="dxa"/>
            <w:vAlign w:val="bottom"/>
            <w:tcBorders>
              <w:top w:val="single" w:sz="8" w:color="CFF0FC"/>
            </w:tcBorders>
          </w:tcPr>
          <w:p>
            <w:pPr>
              <w:spacing w:after="0"/>
              <w:rPr>
                <w:sz w:val="18"/>
                <w:szCs w:val="18"/>
                <w:color w:val="auto"/>
              </w:rPr>
            </w:pPr>
          </w:p>
        </w:tc>
        <w:tc>
          <w:tcPr>
            <w:tcW w:w="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Reserve for unfunded loan commitments to total unfunded loan</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76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commitments</w:t>
            </w:r>
          </w:p>
        </w:tc>
        <w:tc>
          <w:tcPr>
            <w:tcW w:w="360" w:type="dxa"/>
            <w:vAlign w:val="bottom"/>
          </w:tcPr>
          <w:p>
            <w:pPr>
              <w:spacing w:after="0"/>
              <w:rPr>
                <w:sz w:val="20"/>
                <w:szCs w:val="20"/>
                <w:color w:val="auto"/>
              </w:rPr>
            </w:pPr>
          </w:p>
        </w:tc>
        <w:tc>
          <w:tcPr>
            <w:tcW w:w="15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0.43 %</w:t>
            </w:r>
          </w:p>
        </w:tc>
        <w:tc>
          <w:tcPr>
            <w:tcW w:w="6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0.46 %</w:t>
            </w:r>
          </w:p>
        </w:tc>
        <w:tc>
          <w:tcPr>
            <w:tcW w:w="0" w:type="dxa"/>
            <w:vAlign w:val="bottom"/>
          </w:tcPr>
          <w:p>
            <w:pPr>
              <w:spacing w:after="0"/>
              <w:rPr>
                <w:sz w:val="1"/>
                <w:szCs w:val="1"/>
                <w:color w:val="auto"/>
              </w:rPr>
            </w:pPr>
          </w:p>
        </w:tc>
      </w:tr>
      <w:tr>
        <w:trPr>
          <w:trHeight w:val="432"/>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of total loans at end of period (1)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8,774,136</w:t>
            </w:r>
          </w:p>
        </w:tc>
        <w:tc>
          <w:tcPr>
            <w:tcW w:w="30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7,849,520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 total loans outstanding (1)</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8,612,166</w:t>
            </w: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8,144,105</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recoveries (charge-offs) to average total loans</w:t>
            </w:r>
          </w:p>
        </w:tc>
        <w:tc>
          <w:tcPr>
            <w:tcW w:w="360" w:type="dxa"/>
            <w:vAlign w:val="bottom"/>
          </w:tcPr>
          <w:p>
            <w:pPr>
              <w:spacing w:after="0"/>
              <w:rPr>
                <w:sz w:val="24"/>
                <w:szCs w:val="24"/>
                <w:color w:val="auto"/>
              </w:rPr>
            </w:pPr>
          </w:p>
        </w:tc>
        <w:tc>
          <w:tcPr>
            <w:tcW w:w="15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0.010 %</w:t>
            </w:r>
          </w:p>
        </w:tc>
        <w:tc>
          <w:tcPr>
            <w:tcW w:w="62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-0.035 %</w:t>
            </w: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recoveries (charge-offs) to total loans at end of period</w:t>
            </w:r>
          </w:p>
        </w:tc>
        <w:tc>
          <w:tcPr>
            <w:tcW w:w="360" w:type="dxa"/>
            <w:vAlign w:val="bottom"/>
          </w:tcPr>
          <w:p>
            <w:pPr>
              <w:spacing w:after="0"/>
              <w:rPr>
                <w:sz w:val="18"/>
                <w:szCs w:val="18"/>
                <w:color w:val="auto"/>
              </w:rPr>
            </w:pPr>
          </w:p>
        </w:tc>
        <w:tc>
          <w:tcPr>
            <w:tcW w:w="15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0.010 %</w:t>
            </w:r>
          </w:p>
        </w:tc>
        <w:tc>
          <w:tcPr>
            <w:tcW w:w="6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-0.036 %</w:t>
            </w: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to average total loans</w:t>
            </w:r>
          </w:p>
        </w:tc>
        <w:tc>
          <w:tcPr>
            <w:tcW w:w="360" w:type="dxa"/>
            <w:vAlign w:val="bottom"/>
          </w:tcPr>
          <w:p>
            <w:pPr>
              <w:spacing w:after="0"/>
              <w:rPr>
                <w:sz w:val="18"/>
                <w:szCs w:val="18"/>
                <w:color w:val="auto"/>
              </w:rPr>
            </w:pPr>
          </w:p>
        </w:tc>
        <w:tc>
          <w:tcPr>
            <w:tcW w:w="15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0.96 %</w:t>
            </w:r>
          </w:p>
        </w:tc>
        <w:tc>
          <w:tcPr>
            <w:tcW w:w="6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0.80 %</w:t>
            </w: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to total loans at end of period</w:t>
            </w:r>
          </w:p>
        </w:tc>
        <w:tc>
          <w:tcPr>
            <w:tcW w:w="360" w:type="dxa"/>
            <w:vAlign w:val="bottom"/>
          </w:tcPr>
          <w:p>
            <w:pPr>
              <w:spacing w:after="0"/>
              <w:rPr>
                <w:sz w:val="18"/>
                <w:szCs w:val="18"/>
                <w:color w:val="auto"/>
              </w:rPr>
            </w:pPr>
          </w:p>
        </w:tc>
        <w:tc>
          <w:tcPr>
            <w:tcW w:w="15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0.94 %</w:t>
            </w:r>
          </w:p>
        </w:tc>
        <w:tc>
          <w:tcPr>
            <w:tcW w:w="6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0.83 %</w:t>
            </w: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recoveries (charge-offs) to allowance for credit losses</w:t>
            </w:r>
          </w:p>
        </w:tc>
        <w:tc>
          <w:tcPr>
            <w:tcW w:w="360" w:type="dxa"/>
            <w:vAlign w:val="bottom"/>
          </w:tcPr>
          <w:p>
            <w:pPr>
              <w:spacing w:after="0"/>
              <w:rPr>
                <w:sz w:val="18"/>
                <w:szCs w:val="18"/>
                <w:color w:val="auto"/>
              </w:rPr>
            </w:pPr>
          </w:p>
        </w:tc>
        <w:tc>
          <w:tcPr>
            <w:tcW w:w="15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1.06 %</w:t>
            </w:r>
          </w:p>
        </w:tc>
        <w:tc>
          <w:tcPr>
            <w:tcW w:w="6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recoveries (charge-offs) to provision for (recapture of) credit losses</w:t>
            </w:r>
          </w:p>
        </w:tc>
        <w:tc>
          <w:tcPr>
            <w:tcW w:w="360" w:type="dxa"/>
            <w:vAlign w:val="bottom"/>
          </w:tcPr>
          <w:p>
            <w:pPr>
              <w:spacing w:after="0"/>
              <w:rPr>
                <w:sz w:val="18"/>
                <w:szCs w:val="18"/>
                <w:color w:val="auto"/>
              </w:rPr>
            </w:pPr>
          </w:p>
        </w:tc>
        <w:tc>
          <w:tcPr>
            <w:tcW w:w="15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10.83 %</w:t>
            </w:r>
          </w:p>
        </w:tc>
        <w:tc>
          <w:tcPr>
            <w:tcW w:w="6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-4611370</wp:posOffset>
            </wp:positionV>
            <wp:extent cx="68580" cy="15430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-4611370</wp:posOffset>
            </wp:positionV>
            <wp:extent cx="68580" cy="15430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-3214370</wp:posOffset>
            </wp:positionV>
            <wp:extent cx="68580" cy="14605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-3214370</wp:posOffset>
            </wp:positionV>
            <wp:extent cx="68580" cy="14605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-2656840</wp:posOffset>
            </wp:positionV>
            <wp:extent cx="68580" cy="30861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-2656840</wp:posOffset>
            </wp:positionV>
            <wp:extent cx="68580" cy="30861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-1936750</wp:posOffset>
            </wp:positionV>
            <wp:extent cx="7132320" cy="56578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32320" cy="5657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3716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3716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3" w:lineRule="exact"/>
        <w:rPr>
          <w:sz w:val="20"/>
          <w:szCs w:val="20"/>
          <w:color w:val="auto"/>
        </w:rPr>
      </w:pPr>
    </w:p>
    <w:p>
      <w:pPr>
        <w:ind w:left="1220" w:hanging="463"/>
        <w:spacing w:after="0"/>
        <w:tabs>
          <w:tab w:leader="none" w:pos="1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deferred loan origination fees, costs and discounts (amortized cost).</w:t>
      </w:r>
    </w:p>
    <w:p>
      <w:pPr>
        <w:spacing w:after="0" w:line="208" w:lineRule="exact"/>
        <w:rPr>
          <w:sz w:val="20"/>
          <w:szCs w:val="20"/>
          <w:color w:val="auto"/>
        </w:rPr>
      </w:pPr>
    </w:p>
    <w:p>
      <w:pPr>
        <w:ind w:right="100" w:firstLine="514"/>
        <w:spacing w:after="0" w:line="258" w:lineRule="auto"/>
        <w:rPr>
          <w:sz w:val="20"/>
          <w:szCs w:val="20"/>
          <w:color w:val="auto"/>
        </w:rPr>
      </w:pPr>
      <w:r>
        <w:rPr>
          <w:rFonts w:ascii="Times New Roman" w:cs="Times New Roman" w:eastAsia="Times New Roman" w:hAnsi="Times New Roman"/>
          <w:sz w:val="18"/>
          <w:szCs w:val="18"/>
          <w:color w:val="auto"/>
        </w:rPr>
        <w:t>The Bank’s ACL methodology also produced an allowance of $8.0 million for our off-balance sheet credit exposures as of September 30, 2022, compared to $8.0 million as of December 31, 2021 and September 30, 2021. The second quarter of 2021 included $1.0 million in recapture of provision for unfunded loan commitments.</w:t>
      </w:r>
    </w:p>
    <w:p>
      <w:pPr>
        <w:spacing w:after="0" w:line="15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24" w:right="279" w:bottom="1440" w:gutter="0" w:footer="0" w:header="0"/>
        </w:sectPr>
      </w:pPr>
    </w:p>
    <w:bookmarkStart w:id="63" w:name="page64"/>
    <w:bookmarkEnd w:id="63"/>
    <w:p>
      <w:pPr>
        <w:jc w:val="center"/>
        <w:ind w:right="160"/>
        <w:spacing w:after="0"/>
        <w:rPr>
          <w:sz w:val="20"/>
          <w:szCs w:val="20"/>
          <w:color w:val="auto"/>
        </w:rPr>
      </w:pPr>
      <w:r>
        <w:rPr>
          <w:rFonts w:ascii="Times New Roman" w:cs="Times New Roman" w:eastAsia="Times New Roman" w:hAnsi="Times New Roman"/>
          <w:sz w:val="18"/>
          <w:szCs w:val="18"/>
          <w:color w:val="auto"/>
        </w:rPr>
        <w:t>While we believe that the allowance at September 30, 2022 was appropriate to absorb losses from known or inherent risks in the portfolio, no</w:t>
      </w:r>
    </w:p>
    <w:p>
      <w:pPr>
        <w:spacing w:after="0" w:line="27"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18"/>
          <w:szCs w:val="18"/>
          <w:color w:val="auto"/>
        </w:rPr>
        <w:t>assurance can be given that economic conditions, interest rate fluctuations, conditions of our borrowers (including fraudulent activity), or natural disasters, which adversely affect our service areas or other circumstances or conditions, including those defined above, will not be reflected in increased provisions for credit losses in the future.</w:t>
      </w:r>
    </w:p>
    <w:p>
      <w:pPr>
        <w:spacing w:after="0" w:line="184" w:lineRule="exact"/>
        <w:rPr>
          <w:sz w:val="20"/>
          <w:szCs w:val="20"/>
          <w:color w:val="auto"/>
        </w:rPr>
      </w:pPr>
    </w:p>
    <w:p>
      <w:pPr>
        <w:ind w:right="260" w:firstLine="469"/>
        <w:spacing w:after="0" w:line="246" w:lineRule="auto"/>
        <w:rPr>
          <w:sz w:val="20"/>
          <w:szCs w:val="20"/>
          <w:color w:val="auto"/>
        </w:rPr>
      </w:pPr>
      <w:r>
        <w:rPr>
          <w:rFonts w:ascii="Times New Roman" w:cs="Times New Roman" w:eastAsia="Times New Roman" w:hAnsi="Times New Roman"/>
          <w:sz w:val="18"/>
          <w:szCs w:val="18"/>
          <w:color w:val="auto"/>
        </w:rPr>
        <w:t>Changes in economic and business conditions have had an impact on our market area and on our loan portfolio. We continually monitor these conditions in determining our estimates of needed reserves. However, we cannot predict the extent to which the deterioration in general economic conditions, real estate values, changes in general rates of interest and changes in the financial conditions or business of a borrower may adversely affect a specific borrower’s ability to pay or the value of our collateral. See “</w:t>
      </w:r>
      <w:r>
        <w:rPr>
          <w:rFonts w:ascii="Times New Roman" w:cs="Times New Roman" w:eastAsia="Times New Roman" w:hAnsi="Times New Roman"/>
          <w:sz w:val="18"/>
          <w:szCs w:val="18"/>
          <w:i w:val="1"/>
          <w:iCs w:val="1"/>
          <w:color w:val="auto"/>
        </w:rPr>
        <w:t>Risk Management – Credit Risk Management</w:t>
      </w:r>
      <w:r>
        <w:rPr>
          <w:rFonts w:ascii="Times New Roman" w:cs="Times New Roman" w:eastAsia="Times New Roman" w:hAnsi="Times New Roman"/>
          <w:sz w:val="18"/>
          <w:szCs w:val="18"/>
          <w:color w:val="auto"/>
        </w:rPr>
        <w:t>” contained in our Annual Report on Form 10-K for the year ended December 31, 2021.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primary source of funds to support earning assets (loans and investments) is the generation of deposits.</w:t>
      </w:r>
    </w:p>
    <w:p>
      <w:pPr>
        <w:spacing w:after="0" w:line="212" w:lineRule="exact"/>
        <w:rPr>
          <w:sz w:val="20"/>
          <w:szCs w:val="20"/>
          <w:color w:val="auto"/>
        </w:rPr>
      </w:pPr>
    </w:p>
    <w:p>
      <w:pPr>
        <w:ind w:right="380" w:firstLine="469"/>
        <w:spacing w:after="0" w:line="266" w:lineRule="auto"/>
        <w:rPr>
          <w:sz w:val="20"/>
          <w:szCs w:val="20"/>
          <w:color w:val="auto"/>
        </w:rPr>
      </w:pPr>
      <w:r>
        <w:rPr>
          <w:rFonts w:ascii="Times New Roman" w:cs="Times New Roman" w:eastAsia="Times New Roman" w:hAnsi="Times New Roman"/>
          <w:sz w:val="18"/>
          <w:szCs w:val="18"/>
          <w:color w:val="auto"/>
        </w:rPr>
        <w:t>Total deposits were $13.87 billion at September 30, 2022. This represented an increase of $896.0 million, or 6.90%, over total deposits of $12.98 billion at December 31, 2021. The composition of deposits is summarized as of the dates presented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w w:val="98"/>
              </w:rPr>
              <w:t>September 30, 2022</w:t>
            </w: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20" w:type="dxa"/>
            <w:vAlign w:val="bottom"/>
            <w:gridSpan w:val="5"/>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09"/>
        </w:trPr>
        <w:tc>
          <w:tcPr>
            <w:tcW w:w="42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bottom w:val="single" w:sz="8" w:color="auto"/>
            </w:tcBorders>
            <w:gridSpan w:val="2"/>
          </w:tcPr>
          <w:p>
            <w:pPr>
              <w:spacing w:after="0"/>
              <w:rPr>
                <w:sz w:val="18"/>
                <w:szCs w:val="18"/>
                <w:color w:val="auto"/>
              </w:rPr>
            </w:pPr>
          </w:p>
        </w:tc>
        <w:tc>
          <w:tcPr>
            <w:tcW w:w="94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36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8"/>
                <w:szCs w:val="18"/>
                <w:color w:val="auto"/>
              </w:rPr>
            </w:pPr>
          </w:p>
        </w:tc>
      </w:tr>
      <w:tr>
        <w:trPr>
          <w:trHeight w:val="206"/>
        </w:trPr>
        <w:tc>
          <w:tcPr>
            <w:tcW w:w="4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 in</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thousands)</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3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8,764,556</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63.18 %</w:t>
            </w:r>
          </w:p>
        </w:tc>
        <w:tc>
          <w:tcPr>
            <w:tcW w:w="4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8,104,056</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62.45 %</w:t>
            </w: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Interest-bearing deposits</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checking</w:t>
            </w: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751,618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5.42 %</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655,333</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5.05 %</w:t>
            </w: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w:t>
            </w: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3,382,489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24.38 %</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3,342,531</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25.76 %</w:t>
            </w: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Savings</w:t>
            </w: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609,042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4.39 %</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546,840</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4.21 %</w:t>
            </w: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Time deposits</w:t>
            </w: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364,694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2.63 %</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327,682</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2.53 %</w:t>
            </w:r>
          </w:p>
        </w:tc>
      </w:tr>
      <w:tr>
        <w:trPr>
          <w:trHeight w:val="209"/>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Deposits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13,872,399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12,976,442</w:t>
            </w:r>
          </w:p>
        </w:tc>
        <w:tc>
          <w:tcPr>
            <w:tcW w:w="300" w:type="dxa"/>
            <w:vAlign w:val="bottom"/>
            <w:gridSpan w:val="2"/>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-993775</wp:posOffset>
            </wp:positionV>
            <wp:extent cx="7132320" cy="13716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13716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3716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64" w:lineRule="exact"/>
        <w:rPr>
          <w:sz w:val="20"/>
          <w:szCs w:val="20"/>
          <w:color w:val="auto"/>
        </w:rPr>
      </w:pPr>
    </w:p>
    <w:p>
      <w:pPr>
        <w:ind w:right="340" w:firstLine="469"/>
        <w:spacing w:after="0" w:line="250" w:lineRule="auto"/>
        <w:rPr>
          <w:sz w:val="20"/>
          <w:szCs w:val="20"/>
          <w:color w:val="auto"/>
        </w:rPr>
      </w:pPr>
      <w:r>
        <w:rPr>
          <w:rFonts w:ascii="Times New Roman" w:cs="Times New Roman" w:eastAsia="Times New Roman" w:hAnsi="Times New Roman"/>
          <w:sz w:val="18"/>
          <w:szCs w:val="18"/>
          <w:color w:val="auto"/>
        </w:rPr>
        <w:t>The amount of noninterest-bearing deposits in relation to total deposits is an integral element in our strategy of seeking to achieve a low cost of funds. Noninterest-bearing deposits totaled $8.76 billion at September 30, 2022, representing an increase of $660.5 million, or 8.15%, from noninterest-bearing deposits of $8.10 billion at December 31, 2021. Noninterest-bearing deposits represented 63.18% of total deposits at September 30, 2022, compared to 62.45% of total deposits at December 31, 2021.</w:t>
      </w:r>
    </w:p>
    <w:p>
      <w:pPr>
        <w:spacing w:after="0" w:line="177" w:lineRule="exact"/>
        <w:rPr>
          <w:sz w:val="20"/>
          <w:szCs w:val="20"/>
          <w:color w:val="auto"/>
        </w:rPr>
      </w:pPr>
    </w:p>
    <w:p>
      <w:pPr>
        <w:ind w:right="740" w:firstLine="469"/>
        <w:spacing w:after="0" w:line="266" w:lineRule="auto"/>
        <w:rPr>
          <w:sz w:val="20"/>
          <w:szCs w:val="20"/>
          <w:color w:val="auto"/>
        </w:rPr>
      </w:pPr>
      <w:r>
        <w:rPr>
          <w:rFonts w:ascii="Times New Roman" w:cs="Times New Roman" w:eastAsia="Times New Roman" w:hAnsi="Times New Roman"/>
          <w:sz w:val="18"/>
          <w:szCs w:val="18"/>
          <w:color w:val="auto"/>
        </w:rPr>
        <w:t>Savings deposits, which include savings, interest-bearing demand, and money market accounts, totaled $4.74 billion at September 30, 2022, representing an increase of $198.4 million, or 4.37%, from savings deposits of $4.54 billion at December 31, 2021.</w:t>
      </w:r>
    </w:p>
    <w:p>
      <w:pPr>
        <w:spacing w:after="0" w:line="162" w:lineRule="exact"/>
        <w:rPr>
          <w:sz w:val="20"/>
          <w:szCs w:val="20"/>
          <w:color w:val="auto"/>
        </w:rPr>
      </w:pPr>
    </w:p>
    <w:p>
      <w:pPr>
        <w:ind w:right="100" w:firstLine="469"/>
        <w:spacing w:after="0" w:line="266" w:lineRule="auto"/>
        <w:rPr>
          <w:sz w:val="20"/>
          <w:szCs w:val="20"/>
          <w:color w:val="auto"/>
        </w:rPr>
      </w:pPr>
      <w:r>
        <w:rPr>
          <w:rFonts w:ascii="Times New Roman" w:cs="Times New Roman" w:eastAsia="Times New Roman" w:hAnsi="Times New Roman"/>
          <w:sz w:val="18"/>
          <w:szCs w:val="18"/>
          <w:color w:val="auto"/>
        </w:rPr>
        <w:t>Time deposits totaled $364.7 million at September 30, 2022, representing an increase of $37.0 million, or 11.30%, from total time deposits of $327.7 million for December 31, 2021.</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24" w:right="2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w:t>
      </w:r>
    </w:p>
    <w:p>
      <w:pPr>
        <w:spacing w:after="0" w:line="216" w:lineRule="exact"/>
        <w:rPr>
          <w:sz w:val="20"/>
          <w:szCs w:val="20"/>
          <w:color w:val="auto"/>
        </w:rPr>
      </w:pPr>
    </w:p>
    <w:p>
      <w:pPr>
        <w:ind w:right="100" w:firstLine="469"/>
        <w:spacing w:after="0" w:line="246" w:lineRule="auto"/>
        <w:rPr>
          <w:sz w:val="20"/>
          <w:szCs w:val="20"/>
          <w:color w:val="auto"/>
        </w:rPr>
      </w:pPr>
      <w:r>
        <w:rPr>
          <w:rFonts w:ascii="Times New Roman" w:cs="Times New Roman" w:eastAsia="Times New Roman" w:hAnsi="Times New Roman"/>
          <w:sz w:val="18"/>
          <w:szCs w:val="18"/>
          <w:color w:val="auto"/>
        </w:rPr>
        <w:t>We offer a repurchase agreement product to our customers. This product, known as Citizens Sweep Manager, sells our investment securities overnight to our customers under an agreement to repurchase them the next day at a price that reflects the market value of the use of funds by the Bank for the period concerned. These repurchase agreements are signed with customers who want to invest their excess deposits, above a pre-determined balance in a demand deposit account, in order to earn interest. As of September 30, 2022, and December 31, 2021, total funds borrowed under these agreements were $467.8 million and $642.4 million, respectively, with a weighted average interest rate of 0.09% and 0.08%, respectively.</w:t>
      </w:r>
    </w:p>
    <w:p>
      <w:pPr>
        <w:spacing w:after="0" w:line="181"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18"/>
          <w:szCs w:val="18"/>
          <w:color w:val="auto"/>
        </w:rPr>
        <w:t>On June 15, 2021, we redeemed our junior subordinated debentures of $25.8 million, representing the amounts that are due from the Company to CVB Statutory Trust III, which had a borrowing cost of approximately 1.60%. The debentures and the Trust Preferred Securities had an original maturity date of 2036. The interest rate on these debentures were three-month LIBOR plus 1.38%.</w:t>
      </w:r>
    </w:p>
    <w:p>
      <w:pPr>
        <w:spacing w:after="0" w:line="177" w:lineRule="exact"/>
        <w:rPr>
          <w:sz w:val="20"/>
          <w:szCs w:val="20"/>
          <w:color w:val="auto"/>
        </w:rPr>
      </w:pPr>
    </w:p>
    <w:p>
      <w:pPr>
        <w:ind w:right="340" w:firstLine="360"/>
        <w:spacing w:after="0" w:line="266" w:lineRule="auto"/>
        <w:rPr>
          <w:sz w:val="20"/>
          <w:szCs w:val="20"/>
          <w:color w:val="auto"/>
        </w:rPr>
      </w:pPr>
      <w:r>
        <w:rPr>
          <w:rFonts w:ascii="Times New Roman" w:cs="Times New Roman" w:eastAsia="Times New Roman" w:hAnsi="Times New Roman"/>
          <w:sz w:val="18"/>
          <w:szCs w:val="18"/>
          <w:color w:val="auto"/>
        </w:rPr>
        <w:t>At September 30, 2022, $4.33 billion of loans and $2.31 billion of investment securities, at carrying value, were pledged to secure public deposits, repurchase agreements, short and long-term borrowing lines of credit, and for other purposes as required or permitted by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Aggregate Contractual Obligations</w:t>
      </w: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aggregate contractual obligations as of September 30, 2022.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Maturity by Period</w:t>
            </w: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56"/>
        </w:trPr>
        <w:tc>
          <w:tcPr>
            <w:tcW w:w="4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420"/>
              <w:spacing w:after="0" w:line="156" w:lineRule="exact"/>
              <w:rPr>
                <w:sz w:val="20"/>
                <w:szCs w:val="20"/>
                <w:color w:val="auto"/>
              </w:rPr>
            </w:pPr>
            <w:r>
              <w:rPr>
                <w:rFonts w:ascii="Times New Roman" w:cs="Times New Roman" w:eastAsia="Times New Roman" w:hAnsi="Times New Roman"/>
                <w:sz w:val="16"/>
                <w:szCs w:val="16"/>
                <w:b w:val="1"/>
                <w:bCs w:val="1"/>
                <w:color w:val="auto"/>
                <w:w w:val="99"/>
              </w:rPr>
              <w:t>One Year</w:t>
            </w:r>
          </w:p>
        </w:tc>
        <w:tc>
          <w:tcPr>
            <w:tcW w:w="120" w:type="dxa"/>
            <w:vAlign w:val="bottom"/>
          </w:tcPr>
          <w:p>
            <w:pPr>
              <w:spacing w:after="0"/>
              <w:rPr>
                <w:sz w:val="13"/>
                <w:szCs w:val="13"/>
                <w:color w:val="auto"/>
              </w:rPr>
            </w:pPr>
          </w:p>
        </w:tc>
        <w:tc>
          <w:tcPr>
            <w:tcW w:w="980" w:type="dxa"/>
            <w:vAlign w:val="bottom"/>
          </w:tcPr>
          <w:p>
            <w:pPr>
              <w:jc w:val="right"/>
              <w:ind w:right="99"/>
              <w:spacing w:after="0" w:line="156" w:lineRule="exact"/>
              <w:rPr>
                <w:sz w:val="20"/>
                <w:szCs w:val="20"/>
                <w:color w:val="auto"/>
              </w:rPr>
            </w:pPr>
            <w:r>
              <w:rPr>
                <w:rFonts w:ascii="Times New Roman" w:cs="Times New Roman" w:eastAsia="Times New Roman" w:hAnsi="Times New Roman"/>
                <w:sz w:val="16"/>
                <w:szCs w:val="16"/>
                <w:b w:val="1"/>
                <w:bCs w:val="1"/>
                <w:color w:val="auto"/>
              </w:rPr>
              <w:t>Four Years</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4"/>
        </w:trPr>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Less Than One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440"/>
              <w:spacing w:after="0" w:line="165" w:lineRule="exact"/>
              <w:rPr>
                <w:sz w:val="20"/>
                <w:szCs w:val="20"/>
                <w:color w:val="auto"/>
              </w:rPr>
            </w:pPr>
            <w:r>
              <w:rPr>
                <w:rFonts w:ascii="Times New Roman" w:cs="Times New Roman" w:eastAsia="Times New Roman" w:hAnsi="Times New Roman"/>
                <w:sz w:val="16"/>
                <w:szCs w:val="16"/>
                <w:b w:val="1"/>
                <w:bCs w:val="1"/>
                <w:color w:val="auto"/>
                <w:w w:val="99"/>
              </w:rPr>
              <w:t>Through</w:t>
            </w:r>
          </w:p>
        </w:tc>
        <w:tc>
          <w:tcPr>
            <w:tcW w:w="120" w:type="dxa"/>
            <w:vAlign w:val="bottom"/>
          </w:tcPr>
          <w:p>
            <w:pPr>
              <w:spacing w:after="0"/>
              <w:rPr>
                <w:sz w:val="14"/>
                <w:szCs w:val="14"/>
                <w:color w:val="auto"/>
              </w:rPr>
            </w:pPr>
          </w:p>
        </w:tc>
        <w:tc>
          <w:tcPr>
            <w:tcW w:w="980" w:type="dxa"/>
            <w:vAlign w:val="bottom"/>
          </w:tcPr>
          <w:p>
            <w:pPr>
              <w:jc w:val="right"/>
              <w:ind w:right="179"/>
              <w:spacing w:after="0" w:line="165" w:lineRule="exact"/>
              <w:rPr>
                <w:sz w:val="20"/>
                <w:szCs w:val="20"/>
                <w:color w:val="auto"/>
              </w:rPr>
            </w:pPr>
            <w:r>
              <w:rPr>
                <w:rFonts w:ascii="Times New Roman" w:cs="Times New Roman" w:eastAsia="Times New Roman" w:hAnsi="Times New Roman"/>
                <w:sz w:val="16"/>
                <w:szCs w:val="16"/>
                <w:b w:val="1"/>
                <w:bCs w:val="1"/>
                <w:color w:val="auto"/>
              </w:rPr>
              <w:t>Through</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159"/>
              <w:spacing w:after="0" w:line="165" w:lineRule="exact"/>
              <w:rPr>
                <w:sz w:val="20"/>
                <w:szCs w:val="20"/>
                <w:color w:val="auto"/>
              </w:rPr>
            </w:pPr>
            <w:r>
              <w:rPr>
                <w:rFonts w:ascii="Times New Roman" w:cs="Times New Roman" w:eastAsia="Times New Roman" w:hAnsi="Times New Roman"/>
                <w:sz w:val="16"/>
                <w:szCs w:val="16"/>
                <w:b w:val="1"/>
                <w:bCs w:val="1"/>
                <w:color w:val="auto"/>
              </w:rPr>
              <w:t>Over Five</w:t>
            </w:r>
          </w:p>
        </w:tc>
        <w:tc>
          <w:tcPr>
            <w:tcW w:w="100" w:type="dxa"/>
            <w:vAlign w:val="bottom"/>
          </w:tcPr>
          <w:p>
            <w:pPr>
              <w:spacing w:after="0"/>
              <w:rPr>
                <w:sz w:val="14"/>
                <w:szCs w:val="14"/>
                <w:color w:val="auto"/>
              </w:rPr>
            </w:pPr>
          </w:p>
        </w:tc>
      </w:tr>
      <w:tr>
        <w:trPr>
          <w:trHeight w:val="216"/>
        </w:trPr>
        <w:tc>
          <w:tcPr>
            <w:tcW w:w="4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Year</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Three Years</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Five Years</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00" w:type="dxa"/>
            <w:vAlign w:val="bottom"/>
          </w:tcPr>
          <w:p>
            <w:pPr>
              <w:spacing w:after="0"/>
              <w:rPr>
                <w:sz w:val="18"/>
                <w:szCs w:val="18"/>
                <w:color w:val="auto"/>
              </w:rPr>
            </w:pPr>
          </w:p>
        </w:tc>
      </w:tr>
      <w:tr>
        <w:trPr>
          <w:trHeight w:val="196"/>
        </w:trPr>
        <w:tc>
          <w:tcPr>
            <w:tcW w:w="4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w w:val="93"/>
              </w:rPr>
              <w:t>(Dollars in thousands)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Deposits (1)</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13,872,399</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13,836,839</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27,809</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7,491</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shd w:val="clear" w:color="auto" w:fill="CFF0FC"/>
          </w:tcPr>
          <w:p>
            <w:pPr>
              <w:spacing w:after="0"/>
              <w:rPr>
                <w:sz w:val="17"/>
                <w:szCs w:val="17"/>
                <w:color w:val="auto"/>
              </w:rPr>
            </w:pPr>
          </w:p>
        </w:tc>
      </w:tr>
      <w:tr>
        <w:trPr>
          <w:trHeight w:val="203"/>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repurchase agreements (1)</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467,844</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467,844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compensation</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21,898</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18,840</w:t>
            </w:r>
          </w:p>
        </w:tc>
        <w:tc>
          <w:tcPr>
            <w:tcW w:w="100" w:type="dxa"/>
            <w:vAlign w:val="bottom"/>
            <w:shd w:val="clear" w:color="auto" w:fill="CFF0FC"/>
          </w:tcPr>
          <w:p>
            <w:pPr>
              <w:spacing w:after="0"/>
              <w:rPr>
                <w:sz w:val="17"/>
                <w:szCs w:val="17"/>
                <w:color w:val="auto"/>
              </w:rPr>
            </w:pPr>
          </w:p>
        </w:tc>
      </w:tr>
      <w:tr>
        <w:trPr>
          <w:trHeight w:val="203"/>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26,636</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7,001</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100" w:type="dxa"/>
            <w:vAlign w:val="bottom"/>
          </w:tcPr>
          <w:p>
            <w:pPr>
              <w:spacing w:after="0"/>
              <w:rPr>
                <w:sz w:val="17"/>
                <w:szCs w:val="17"/>
                <w:color w:val="auto"/>
              </w:rPr>
            </w:pPr>
          </w:p>
        </w:tc>
      </w:tr>
      <w:tr>
        <w:trPr>
          <w:trHeight w:val="203"/>
        </w:trPr>
        <w:tc>
          <w:tcPr>
            <w:tcW w:w="4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Affordable housing investment</w:t>
            </w: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6,129</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1,434</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4,478</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3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14,394,906</w:t>
            </w:r>
          </w:p>
        </w:tc>
        <w:tc>
          <w:tcPr>
            <w:tcW w:w="30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14,314,013</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44,762</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15,672</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20,459</w:t>
            </w:r>
          </w:p>
        </w:tc>
        <w:tc>
          <w:tcPr>
            <w:tcW w:w="100" w:type="dxa"/>
            <w:vAlign w:val="bottom"/>
          </w:tcPr>
          <w:p>
            <w:pPr>
              <w:spacing w:after="0"/>
              <w:rPr>
                <w:sz w:val="17"/>
                <w:szCs w:val="17"/>
                <w:color w:val="auto"/>
              </w:rPr>
            </w:pPr>
          </w:p>
        </w:tc>
      </w:tr>
      <w:tr>
        <w:trPr>
          <w:trHeight w:val="20"/>
        </w:trPr>
        <w:tc>
          <w:tcPr>
            <w:tcW w:w="4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-162560</wp:posOffset>
            </wp:positionV>
            <wp:extent cx="77470" cy="16319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-162560</wp:posOffset>
            </wp:positionV>
            <wp:extent cx="76835" cy="16319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-162560</wp:posOffset>
            </wp:positionV>
            <wp:extent cx="68580" cy="16319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-162560</wp:posOffset>
            </wp:positionV>
            <wp:extent cx="68580" cy="16319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169" w:lineRule="exact"/>
        <w:rPr>
          <w:sz w:val="20"/>
          <w:szCs w:val="20"/>
          <w:color w:val="auto"/>
        </w:rPr>
      </w:pPr>
    </w:p>
    <w:p>
      <w:pPr>
        <w:ind w:left="1040" w:hanging="470"/>
        <w:spacing w:after="0"/>
        <w:tabs>
          <w:tab w:leader="none" w:pos="10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exclude accrued interest.</w:t>
      </w:r>
    </w:p>
    <w:p>
      <w:pPr>
        <w:spacing w:after="0" w:line="2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Deposits represent noninterest-bearing, money market, savings, NOW, certificates of deposits, brokered and all other deposits held by the Bank.</w:t>
      </w:r>
    </w:p>
    <w:p>
      <w:pPr>
        <w:spacing w:after="0" w:line="198" w:lineRule="exact"/>
        <w:rPr>
          <w:sz w:val="20"/>
          <w:szCs w:val="20"/>
          <w:color w:val="auto"/>
        </w:rPr>
      </w:pPr>
    </w:p>
    <w:p>
      <w:pPr>
        <w:ind w:right="40" w:firstLine="469"/>
        <w:spacing w:after="0" w:line="282" w:lineRule="auto"/>
        <w:rPr>
          <w:sz w:val="20"/>
          <w:szCs w:val="20"/>
          <w:color w:val="auto"/>
        </w:rPr>
      </w:pPr>
      <w:r>
        <w:rPr>
          <w:rFonts w:ascii="Times New Roman" w:cs="Times New Roman" w:eastAsia="Times New Roman" w:hAnsi="Times New Roman"/>
          <w:sz w:val="18"/>
          <w:szCs w:val="18"/>
          <w:color w:val="auto"/>
        </w:rPr>
        <w:t>Customer repurchase agreements represent excess amounts swept from customer demand deposit accounts, which mature the following business day and are collateralized by investment securities. These amounts are due to customers.</w:t>
      </w:r>
    </w:p>
    <w:p>
      <w:pPr>
        <w:spacing w:after="0" w:line="135" w:lineRule="exact"/>
        <w:rPr>
          <w:sz w:val="20"/>
          <w:szCs w:val="20"/>
          <w:color w:val="auto"/>
        </w:rPr>
      </w:pPr>
    </w:p>
    <w:p>
      <w:pPr>
        <w:ind w:right="140" w:firstLine="469"/>
        <w:spacing w:after="0" w:line="282" w:lineRule="auto"/>
        <w:rPr>
          <w:sz w:val="20"/>
          <w:szCs w:val="20"/>
          <w:color w:val="auto"/>
        </w:rPr>
      </w:pPr>
      <w:r>
        <w:rPr>
          <w:rFonts w:ascii="Times New Roman" w:cs="Times New Roman" w:eastAsia="Times New Roman" w:hAnsi="Times New Roman"/>
          <w:sz w:val="18"/>
          <w:szCs w:val="18"/>
          <w:color w:val="auto"/>
        </w:rPr>
        <w:t>Deferred compensation represents the amounts that are due to former employees based on salary continuation agreements as a result of acquisitions and amounts due to current and retired employees under our deferred compensation plans.</w:t>
      </w:r>
    </w:p>
    <w:p>
      <w:pPr>
        <w:spacing w:after="0" w:line="133" w:lineRule="exact"/>
        <w:rPr>
          <w:sz w:val="20"/>
          <w:szCs w:val="20"/>
          <w:color w:val="auto"/>
        </w:rPr>
      </w:pPr>
    </w:p>
    <w:p>
      <w:pPr>
        <w:ind w:right="220" w:firstLine="469"/>
        <w:spacing w:after="0" w:line="254" w:lineRule="auto"/>
        <w:rPr>
          <w:sz w:val="20"/>
          <w:szCs w:val="20"/>
          <w:color w:val="auto"/>
        </w:rPr>
      </w:pPr>
      <w:r>
        <w:rPr>
          <w:rFonts w:ascii="Times New Roman" w:cs="Times New Roman" w:eastAsia="Times New Roman" w:hAnsi="Times New Roman"/>
          <w:sz w:val="18"/>
          <w:szCs w:val="18"/>
          <w:color w:val="auto"/>
        </w:rPr>
        <w:t xml:space="preserve">Operating leases represent the total minimum lease payments due under non-cancelable operating leases. Refer to Note 12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of the notes to the Company’s unaudited condensed consolidated financial statements for a more detailed discussion about leases.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off-balance sheet items at September 30, 2022.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Maturity by Period</w:t>
            </w: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420"/>
              <w:spacing w:after="0" w:line="145" w:lineRule="exact"/>
              <w:rPr>
                <w:sz w:val="20"/>
                <w:szCs w:val="20"/>
                <w:color w:val="auto"/>
              </w:rPr>
            </w:pPr>
            <w:r>
              <w:rPr>
                <w:rFonts w:ascii="Times New Roman" w:cs="Times New Roman" w:eastAsia="Times New Roman" w:hAnsi="Times New Roman"/>
                <w:sz w:val="16"/>
                <w:szCs w:val="16"/>
                <w:b w:val="1"/>
                <w:bCs w:val="1"/>
                <w:color w:val="auto"/>
                <w:w w:val="96"/>
              </w:rPr>
              <w:t>One Year</w:t>
            </w:r>
          </w:p>
        </w:tc>
        <w:tc>
          <w:tcPr>
            <w:tcW w:w="120" w:type="dxa"/>
            <w:vAlign w:val="bottom"/>
          </w:tcPr>
          <w:p>
            <w:pPr>
              <w:spacing w:after="0"/>
              <w:rPr>
                <w:sz w:val="12"/>
                <w:szCs w:val="12"/>
                <w:color w:val="auto"/>
              </w:rPr>
            </w:pPr>
          </w:p>
        </w:tc>
        <w:tc>
          <w:tcPr>
            <w:tcW w:w="960" w:type="dxa"/>
            <w:vAlign w:val="bottom"/>
          </w:tcPr>
          <w:p>
            <w:pPr>
              <w:jc w:val="center"/>
              <w:ind w:right="59"/>
              <w:spacing w:after="0" w:line="145" w:lineRule="exact"/>
              <w:rPr>
                <w:sz w:val="20"/>
                <w:szCs w:val="20"/>
                <w:color w:val="auto"/>
              </w:rPr>
            </w:pPr>
            <w:r>
              <w:rPr>
                <w:rFonts w:ascii="Times New Roman" w:cs="Times New Roman" w:eastAsia="Times New Roman" w:hAnsi="Times New Roman"/>
                <w:sz w:val="16"/>
                <w:szCs w:val="16"/>
                <w:b w:val="1"/>
                <w:bCs w:val="1"/>
                <w:color w:val="auto"/>
              </w:rPr>
              <w:t>Four Years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vMerge w:val="restart"/>
          </w:tcPr>
          <w:p>
            <w:pPr>
              <w:spacing w:after="0"/>
              <w:rPr>
                <w:sz w:val="15"/>
                <w:szCs w:val="15"/>
                <w:color w:val="auto"/>
              </w:rPr>
            </w:pPr>
          </w:p>
        </w:tc>
        <w:tc>
          <w:tcPr>
            <w:tcW w:w="11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Less Than One</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420"/>
              <w:spacing w:after="0" w:line="175" w:lineRule="exact"/>
              <w:rPr>
                <w:sz w:val="20"/>
                <w:szCs w:val="20"/>
                <w:color w:val="auto"/>
              </w:rPr>
            </w:pPr>
            <w:r>
              <w:rPr>
                <w:rFonts w:ascii="Times New Roman" w:cs="Times New Roman" w:eastAsia="Times New Roman" w:hAnsi="Times New Roman"/>
                <w:sz w:val="16"/>
                <w:szCs w:val="16"/>
                <w:b w:val="1"/>
                <w:bCs w:val="1"/>
                <w:color w:val="auto"/>
                <w:w w:val="99"/>
              </w:rPr>
              <w:t>Through</w:t>
            </w:r>
          </w:p>
        </w:tc>
        <w:tc>
          <w:tcPr>
            <w:tcW w:w="120" w:type="dxa"/>
            <w:vAlign w:val="bottom"/>
          </w:tcPr>
          <w:p>
            <w:pPr>
              <w:spacing w:after="0"/>
              <w:rPr>
                <w:sz w:val="15"/>
                <w:szCs w:val="15"/>
                <w:color w:val="auto"/>
              </w:rPr>
            </w:pPr>
          </w:p>
        </w:tc>
        <w:tc>
          <w:tcPr>
            <w:tcW w:w="960" w:type="dxa"/>
            <w:vAlign w:val="bottom"/>
          </w:tcPr>
          <w:p>
            <w:pPr>
              <w:jc w:val="center"/>
              <w:ind w:right="59"/>
              <w:spacing w:after="0" w:line="175" w:lineRule="exact"/>
              <w:rPr>
                <w:sz w:val="20"/>
                <w:szCs w:val="20"/>
                <w:color w:val="auto"/>
              </w:rPr>
            </w:pPr>
            <w:r>
              <w:rPr>
                <w:rFonts w:ascii="Times New Roman" w:cs="Times New Roman" w:eastAsia="Times New Roman" w:hAnsi="Times New Roman"/>
                <w:sz w:val="16"/>
                <w:szCs w:val="16"/>
                <w:b w:val="1"/>
                <w:bCs w:val="1"/>
                <w:color w:val="auto"/>
              </w:rPr>
              <w:t>Through</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159"/>
              <w:spacing w:after="0" w:line="175" w:lineRule="exact"/>
              <w:rPr>
                <w:sz w:val="20"/>
                <w:szCs w:val="20"/>
                <w:color w:val="auto"/>
              </w:rPr>
            </w:pPr>
            <w:r>
              <w:rPr>
                <w:rFonts w:ascii="Times New Roman" w:cs="Times New Roman" w:eastAsia="Times New Roman" w:hAnsi="Times New Roman"/>
                <w:sz w:val="16"/>
                <w:szCs w:val="16"/>
                <w:b w:val="1"/>
                <w:bCs w:val="1"/>
                <w:color w:val="auto"/>
              </w:rPr>
              <w:t>Over Five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Year</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Three Years</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Five Years</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w w:val="92"/>
              </w:rPr>
              <w:t>(Dollars in thousands)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Commitment to extend credit:</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Commercial real estate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435,675</w:t>
            </w:r>
          </w:p>
        </w:tc>
        <w:tc>
          <w:tcPr>
            <w:tcW w:w="30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68,321</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159,066</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164,539</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Construction</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60,141</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43,157</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13,507</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SBA</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SBA - PPP</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918,218</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729,188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127,282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10,027</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Dairy &amp; livestock and agribusiness (1)</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283,936</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195,089</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88,846</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SFR Mortgage</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5,178</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Consumer and other loans</w:t>
            </w: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117,874</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11,352</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9,517</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3,989</w:t>
            </w:r>
          </w:p>
        </w:tc>
        <w:tc>
          <w:tcPr>
            <w:tcW w:w="3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93,016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commitment to extend credit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1,821,531</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1,049,706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398,218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178,556</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Obligations under letters of credit</w:t>
            </w: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47,358</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17,446</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29,894</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1,868,889</w:t>
            </w:r>
          </w:p>
        </w:tc>
        <w:tc>
          <w:tcPr>
            <w:tcW w:w="30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1,067,152</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428,112</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178,556</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-427990</wp:posOffset>
            </wp:positionV>
            <wp:extent cx="76835" cy="13716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-427990</wp:posOffset>
            </wp:positionV>
            <wp:extent cx="77470" cy="13716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-427990</wp:posOffset>
            </wp:positionV>
            <wp:extent cx="68580" cy="13716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-427990</wp:posOffset>
            </wp:positionV>
            <wp:extent cx="68580" cy="13716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13716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-162560</wp:posOffset>
            </wp:positionV>
            <wp:extent cx="76835" cy="16319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-162560</wp:posOffset>
            </wp:positionV>
            <wp:extent cx="77470" cy="16319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-162560</wp:posOffset>
            </wp:positionV>
            <wp:extent cx="68580" cy="16319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-162560</wp:posOffset>
            </wp:positionV>
            <wp:extent cx="68580" cy="16319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155" w:lineRule="exact"/>
        <w:rPr>
          <w:sz w:val="20"/>
          <w:szCs w:val="20"/>
          <w:color w:val="auto"/>
        </w:rPr>
      </w:pPr>
    </w:p>
    <w:p>
      <w:pPr>
        <w:ind w:left="1040" w:hanging="470"/>
        <w:spacing w:after="0"/>
        <w:tabs>
          <w:tab w:leader="none" w:pos="10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commitments to extend credit to agribusiness were $33.2 million at September 30, 2022.</w:t>
      </w:r>
    </w:p>
    <w:p>
      <w:pPr>
        <w:spacing w:after="0" w:line="217" w:lineRule="exact"/>
        <w:rPr>
          <w:sz w:val="20"/>
          <w:szCs w:val="20"/>
          <w:color w:val="auto"/>
        </w:rPr>
      </w:pPr>
    </w:p>
    <w:p>
      <w:pPr>
        <w:ind w:right="40" w:firstLine="469"/>
        <w:spacing w:after="0" w:line="243" w:lineRule="auto"/>
        <w:rPr>
          <w:sz w:val="20"/>
          <w:szCs w:val="20"/>
          <w:color w:val="auto"/>
        </w:rPr>
      </w:pPr>
      <w:r>
        <w:rPr>
          <w:rFonts w:ascii="Times New Roman" w:cs="Times New Roman" w:eastAsia="Times New Roman" w:hAnsi="Times New Roman"/>
          <w:sz w:val="18"/>
          <w:szCs w:val="18"/>
          <w:color w:val="auto"/>
        </w:rPr>
        <w:t>As of September 30, 2022, we had commitments to extend credit of approximately $1.82 billion, and obligations under letters of credit of $47.4 million. Commitments to extend credit are agreements to lend to customers, provided there is no violation of any material condition established in the contract. Commitments generally have fixed expiration dates or other termination clauses and may require payment of a fee. Commitments are generally variable rate, and many of these commitments are expected to expire without being drawn upon. As such, the total commitment amounts do not necessarily represent future cash requirements. We use the same credit underwriting policies in granting or accepting such commitments or contingent obligations as we do for on-balance sheet instruments, which consist of evaluating customers’ creditworthiness individually. There was no provision or recapture of provision for unfunded loan commitments for the three and nine months ended September 30, 2022, compared to no provision or recapture of provision for unfunded loan commitments for the three months ended September 30, 2021 and a $1.0 million recapture of provision for unfunded loan commitments for the nine months ended September 30, 2021. As of September 30, 2022 and December 31, 2021, the balance in this reserve was $8.0 million and was included in other liabilities.</w:t>
      </w:r>
    </w:p>
    <w:p>
      <w:pPr>
        <w:spacing w:after="0" w:line="186" w:lineRule="exact"/>
        <w:rPr>
          <w:sz w:val="20"/>
          <w:szCs w:val="20"/>
          <w:color w:val="auto"/>
        </w:rPr>
      </w:pPr>
    </w:p>
    <w:p>
      <w:pPr>
        <w:jc w:val="both"/>
        <w:ind w:right="20" w:firstLine="469"/>
        <w:spacing w:after="0" w:line="272" w:lineRule="auto"/>
        <w:rPr>
          <w:sz w:val="20"/>
          <w:szCs w:val="20"/>
          <w:color w:val="auto"/>
        </w:rPr>
      </w:pPr>
      <w:r>
        <w:rPr>
          <w:rFonts w:ascii="Times New Roman" w:cs="Times New Roman" w:eastAsia="Times New Roman" w:hAnsi="Times New Roman"/>
          <w:sz w:val="17"/>
          <w:szCs w:val="17"/>
          <w:color w:val="auto"/>
        </w:rPr>
        <w:t>Standby letters of credit are conditional commitments issued by the Bank to guarantee the financial performance of a customer to a third party. Those guarantees are primarily issued to support private borrowing or purchase arrangements. The credit risk involved in issuing letters of credit is essentially the same as that involved in extending loan facilities to customers. When deemed necessary, we hold appropriate collateral supporting those commitments.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16" w:lineRule="exact"/>
        <w:rPr>
          <w:sz w:val="20"/>
          <w:szCs w:val="20"/>
          <w:color w:val="auto"/>
        </w:rPr>
      </w:pPr>
    </w:p>
    <w:p>
      <w:pPr>
        <w:ind w:right="20" w:firstLine="469"/>
        <w:spacing w:after="0" w:line="250" w:lineRule="auto"/>
        <w:rPr>
          <w:sz w:val="20"/>
          <w:szCs w:val="20"/>
          <w:color w:val="auto"/>
        </w:rPr>
      </w:pPr>
      <w:r>
        <w:rPr>
          <w:rFonts w:ascii="Times New Roman" w:cs="Times New Roman" w:eastAsia="Times New Roman" w:hAnsi="Times New Roman"/>
          <w:sz w:val="18"/>
          <w:szCs w:val="18"/>
          <w:color w:val="auto"/>
        </w:rPr>
        <w:t>Our primary source of capital has been the retention of operating earnings and issuance of common stock in connection with periodic acquisitions. In order to ensure adequate levels of capital, we conduct an ongoing assessment of projected sources, needs and uses of capital in conjunction with projected increases in assets and the level of risk. As part of this ongoing assessment, the Board of Directors reviews the various components of our capital plan and capital stress testing.</w:t>
      </w:r>
    </w:p>
    <w:p>
      <w:pPr>
        <w:spacing w:after="0" w:line="177" w:lineRule="exact"/>
        <w:rPr>
          <w:sz w:val="20"/>
          <w:szCs w:val="20"/>
          <w:color w:val="auto"/>
        </w:rPr>
      </w:pPr>
    </w:p>
    <w:p>
      <w:pPr>
        <w:ind w:right="20" w:firstLine="360"/>
        <w:spacing w:after="0" w:line="244" w:lineRule="auto"/>
        <w:rPr>
          <w:sz w:val="20"/>
          <w:szCs w:val="20"/>
          <w:color w:val="auto"/>
        </w:rPr>
      </w:pPr>
      <w:r>
        <w:rPr>
          <w:rFonts w:ascii="Times New Roman" w:cs="Times New Roman" w:eastAsia="Times New Roman" w:hAnsi="Times New Roman"/>
          <w:sz w:val="18"/>
          <w:szCs w:val="18"/>
          <w:color w:val="auto"/>
        </w:rPr>
        <w:t>Total equity decreased $202.6 million, or 9.73%, to $1.88 billion at September 30, 2022, compared to total equity of $2.08 billion at December 31, 2021. Increases to equity included $197.1 million for issuance of 8.6 million shares to acquire Suncrest and $169.3 million in net earnings. Decreases included $80.2 million in cash dividends and a $379.5 million decrease in other comprehensive income from the tax effected impact of the decline in market value of available-for-sale securities. During 2022, we executed on a $70 million accelerated stock repurchase program and retired 2,993,551 shares of common stock at an average price of $23.38. We also repurchased, under our 10b5-1 stock repurchase plan, 1,914,590 shares of common stock, at an average repurchase price of $23.43, totaling $44.9 million. Our tangible book value per share at September 30, 2022 was $7.79.</w:t>
      </w:r>
    </w:p>
    <w:p>
      <w:pPr>
        <w:spacing w:after="0" w:line="182" w:lineRule="exact"/>
        <w:rPr>
          <w:sz w:val="20"/>
          <w:szCs w:val="20"/>
          <w:color w:val="auto"/>
        </w:rPr>
      </w:pPr>
    </w:p>
    <w:p>
      <w:pPr>
        <w:ind w:right="160" w:firstLine="360"/>
        <w:spacing w:after="0" w:line="250" w:lineRule="auto"/>
        <w:rPr>
          <w:sz w:val="20"/>
          <w:szCs w:val="20"/>
          <w:color w:val="auto"/>
        </w:rPr>
      </w:pPr>
      <w:r>
        <w:rPr>
          <w:rFonts w:ascii="Times New Roman" w:cs="Times New Roman" w:eastAsia="Times New Roman" w:hAnsi="Times New Roman"/>
          <w:sz w:val="18"/>
          <w:szCs w:val="18"/>
          <w:color w:val="auto"/>
        </w:rPr>
        <w:t>During the third quarter of 2022, the Board of Directors of CVB declared quarterly cash dividends totaling $0.20 per share. Dividends are payable at the discretion of the Board of Directors and there can be no assurance that the Board of Directors will continue to declare dividends at the same rate, or at all, in the future. CVB’s ability to pay cash dividends to its shareholders is subject to restrictions under federal and California law, including restrictions imposed by the Federal Reserve, and covenants set forth in various agreements we are a party to.</w:t>
      </w:r>
    </w:p>
    <w:p>
      <w:pPr>
        <w:spacing w:after="0" w:line="164" w:lineRule="exact"/>
        <w:rPr>
          <w:sz w:val="20"/>
          <w:szCs w:val="20"/>
          <w:color w:val="auto"/>
        </w:rPr>
      </w:pPr>
    </w:p>
    <w:p>
      <w:pPr>
        <w:ind w:right="60" w:firstLine="360"/>
        <w:spacing w:after="0" w:line="245" w:lineRule="auto"/>
        <w:rPr>
          <w:sz w:val="20"/>
          <w:szCs w:val="20"/>
          <w:color w:val="auto"/>
        </w:rPr>
      </w:pPr>
      <w:r>
        <w:rPr>
          <w:rFonts w:ascii="Times New Roman" w:cs="Times New Roman" w:eastAsia="Times New Roman" w:hAnsi="Times New Roman"/>
          <w:sz w:val="18"/>
          <w:szCs w:val="18"/>
          <w:color w:val="auto"/>
        </w:rPr>
        <w:t>On February 1, 2022, we announced that our Board of Directors authorized a share repurchase plan to repurchase up to 10,000,000 shares of the Company’s common stock ("2022 Repurchase Program"), including by means of (i) an initial $70 million dollar Accelerated Share Repurchase, or ASR Plan, and (ii) one or more Rule 10b5-1 plans or other appropriate buyback arrangements, including open market purchases and private transactions. We completed the execution of the $70 million accelerated stock repurchase program in the second quarter of 2022, and retired a total of 2,993,551 shares of common stock at an average price of $23.38. During the nine month period we also repurchased, under our 10b5-1 stock repurchase plan, 1,914,590 shares of common stock, at an average repurchase price of $23.43, totaling $44.9 million. As of September 30, 2022, we had 5,091,859 shares of CVB common stock available for repurchase under the 2022 Repurchase Program.</w:t>
      </w:r>
    </w:p>
    <w:p>
      <w:pPr>
        <w:spacing w:after="0" w:line="200" w:lineRule="exact"/>
        <w:rPr>
          <w:sz w:val="20"/>
          <w:szCs w:val="20"/>
          <w:color w:val="auto"/>
        </w:rPr>
      </w:pPr>
    </w:p>
    <w:p>
      <w:pPr>
        <w:spacing w:after="0" w:line="211" w:lineRule="exact"/>
        <w:rPr>
          <w:sz w:val="20"/>
          <w:szCs w:val="20"/>
          <w:color w:val="auto"/>
        </w:rPr>
      </w:pPr>
    </w:p>
    <w:p>
      <w:pPr>
        <w:ind w:right="80" w:firstLine="360"/>
        <w:spacing w:after="0" w:line="242" w:lineRule="auto"/>
        <w:rPr>
          <w:sz w:val="20"/>
          <w:szCs w:val="20"/>
          <w:color w:val="auto"/>
        </w:rPr>
      </w:pPr>
      <w:r>
        <w:rPr>
          <w:rFonts w:ascii="Times New Roman" w:cs="Times New Roman" w:eastAsia="Times New Roman" w:hAnsi="Times New Roman"/>
          <w:sz w:val="18"/>
          <w:szCs w:val="18"/>
          <w:color w:val="auto"/>
        </w:rPr>
        <w:t xml:space="preserve">The Bank and the Company are required to meet risk-based capital standards under the revised capital framework referred to as Basel III set by their respective regulatory authorities. The risk-based capital standards require the achievement of a minimum total risk-based capital ratio of 8.0%, a Tier 1 risk-based capital ratio of 6.0% and a common equity Tier 1 (“CET1”) capital ratio of 4.5%. In addition, the regulatory authorities require the highest rated institutions to maintain a minimum leverage ratio of 4.0%. To be considered “well-capitalized” for bank regulatory purposes, the Bank and the Company are required to have a CET1 capital ratio equal to or greater than 6.5%, a Tier 1 risk-based capital ratio equal to or greater than 8.0%, a total risk-based capital ratio equal to or greater than 10.0% and a Tier 1 leverage ratio equal to or greater than 5.0%. At September 30, 2022, the Bank and the Company exceeded the minimum risk-based capital ratios and leverage ratios required to be considered “well-capitalized” for regulatory purposes. For further information about capital requirements and our capital ratios, see “Item 1. </w:t>
      </w:r>
      <w:r>
        <w:rPr>
          <w:rFonts w:ascii="Times New Roman" w:cs="Times New Roman" w:eastAsia="Times New Roman" w:hAnsi="Times New Roman"/>
          <w:sz w:val="18"/>
          <w:szCs w:val="18"/>
          <w:i w:val="1"/>
          <w:iCs w:val="1"/>
          <w:color w:val="auto"/>
        </w:rPr>
        <w:t>Business – Capital Adequacy Requirements</w:t>
      </w:r>
      <w:r>
        <w:rPr>
          <w:rFonts w:ascii="Times New Roman" w:cs="Times New Roman" w:eastAsia="Times New Roman" w:hAnsi="Times New Roman"/>
          <w:sz w:val="18"/>
          <w:szCs w:val="18"/>
          <w:color w:val="auto"/>
        </w:rPr>
        <w:t>” as described in our Annual Report on Form 10-K for the year ended December 31, 2021.</w:t>
      </w:r>
    </w:p>
    <w:p>
      <w:pPr>
        <w:spacing w:after="0" w:line="187" w:lineRule="exact"/>
        <w:rPr>
          <w:sz w:val="20"/>
          <w:szCs w:val="20"/>
          <w:color w:val="auto"/>
        </w:rPr>
      </w:pPr>
    </w:p>
    <w:p>
      <w:pPr>
        <w:ind w:right="160" w:firstLine="360"/>
        <w:spacing w:after="0" w:line="250" w:lineRule="auto"/>
        <w:rPr>
          <w:sz w:val="20"/>
          <w:szCs w:val="20"/>
          <w:color w:val="auto"/>
        </w:rPr>
      </w:pPr>
      <w:r>
        <w:rPr>
          <w:rFonts w:ascii="Times New Roman" w:cs="Times New Roman" w:eastAsia="Times New Roman" w:hAnsi="Times New Roman"/>
          <w:sz w:val="18"/>
          <w:szCs w:val="18"/>
          <w:color w:val="auto"/>
        </w:rPr>
        <w:t>At September 30, 2022 the Bank and the Company exceeded the minimum risk-based capital ratios and leverage ratios, under the revised capital framework referred to as Basel III, required to be considered “well-capitalized” for regulatory purposes. We did not elect to phase in the impact of CECL on regulatory capital, as allowed under the interim final rule of the FDIC and other U.S. banking agencies.</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table below presents the Company’s and the Bank’s risk-based and leverage capital ratios for the periods presented.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3"/>
                <w:szCs w:val="13"/>
                <w:b w:val="1"/>
                <w:bCs w:val="1"/>
                <w:color w:val="auto"/>
              </w:rPr>
              <w:t>September 30, 2022</w:t>
            </w:r>
          </w:p>
        </w:tc>
        <w:tc>
          <w:tcPr>
            <w:tcW w:w="140" w:type="dxa"/>
            <w:vAlign w:val="bottom"/>
          </w:tcPr>
          <w:p>
            <w:pPr>
              <w:spacing w:after="0"/>
              <w:rPr>
                <w:sz w:val="16"/>
                <w:szCs w:val="16"/>
                <w:color w:val="auto"/>
              </w:rPr>
            </w:pPr>
          </w:p>
        </w:tc>
        <w:tc>
          <w:tcPr>
            <w:tcW w:w="220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122"/>
        </w:trPr>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rPr>
              <w:t>Adequately</w:t>
            </w:r>
          </w:p>
        </w:tc>
        <w:tc>
          <w:tcPr>
            <w:tcW w:w="160" w:type="dxa"/>
            <w:vAlign w:val="bottom"/>
          </w:tcPr>
          <w:p>
            <w:pPr>
              <w:spacing w:after="0"/>
              <w:rPr>
                <w:sz w:val="10"/>
                <w:szCs w:val="10"/>
                <w:color w:val="auto"/>
              </w:rPr>
            </w:pPr>
          </w:p>
        </w:tc>
        <w:tc>
          <w:tcPr>
            <w:tcW w:w="16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rPr>
              <w:t>Minimum Required Plus</w:t>
            </w:r>
          </w:p>
        </w:tc>
        <w:tc>
          <w:tcPr>
            <w:tcW w:w="160" w:type="dxa"/>
            <w:vAlign w:val="bottom"/>
          </w:tcPr>
          <w:p>
            <w:pPr>
              <w:spacing w:after="0"/>
              <w:rPr>
                <w:sz w:val="10"/>
                <w:szCs w:val="10"/>
                <w:color w:val="auto"/>
              </w:rPr>
            </w:pPr>
          </w:p>
        </w:tc>
        <w:tc>
          <w:tcPr>
            <w:tcW w:w="110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rPr>
              <w:t>Well</w:t>
            </w:r>
          </w:p>
        </w:tc>
        <w:tc>
          <w:tcPr>
            <w:tcW w:w="1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rPr>
              <w:t>Citizens</w:t>
            </w:r>
          </w:p>
        </w:tc>
      </w:tr>
      <w:tr>
        <w:trPr>
          <w:trHeight w:val="148"/>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Capitalized</w:t>
            </w:r>
          </w:p>
        </w:tc>
        <w:tc>
          <w:tcPr>
            <w:tcW w:w="16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Capital Conservation</w:t>
            </w:r>
          </w:p>
        </w:tc>
        <w:tc>
          <w:tcPr>
            <w:tcW w:w="160" w:type="dxa"/>
            <w:vAlign w:val="bottom"/>
          </w:tcPr>
          <w:p>
            <w:pPr>
              <w:spacing w:after="0"/>
              <w:rPr>
                <w:sz w:val="12"/>
                <w:szCs w:val="12"/>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Capitalized</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CVB Financial</w:t>
            </w:r>
          </w:p>
        </w:tc>
        <w:tc>
          <w:tcPr>
            <w:tcW w:w="16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Citizens</w:t>
            </w:r>
          </w:p>
        </w:tc>
        <w:tc>
          <w:tcPr>
            <w:tcW w:w="14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CVB Financial</w:t>
            </w:r>
          </w:p>
        </w:tc>
        <w:tc>
          <w:tcPr>
            <w:tcW w:w="14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Business</w:t>
            </w:r>
          </w:p>
        </w:tc>
      </w:tr>
      <w:tr>
        <w:trPr>
          <w:trHeight w:val="162"/>
        </w:trPr>
        <w:tc>
          <w:tcPr>
            <w:tcW w:w="25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Capital Ratios</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Ratios</w:t>
            </w:r>
          </w:p>
        </w:tc>
        <w:tc>
          <w:tcPr>
            <w:tcW w:w="1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Buffer</w:t>
            </w:r>
          </w:p>
        </w:tc>
        <w:tc>
          <w:tcPr>
            <w:tcW w:w="16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Ratios</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Corp. Consolidated</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Business Bank</w:t>
            </w:r>
          </w:p>
        </w:tc>
        <w:tc>
          <w:tcPr>
            <w:tcW w:w="1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Corp. Consolidated</w:t>
            </w:r>
          </w:p>
        </w:tc>
        <w:tc>
          <w:tcPr>
            <w:tcW w:w="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Bank</w:t>
            </w: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0" w:type="dxa"/>
            <w:vAlign w:val="bottom"/>
            <w:gridSpan w:val="2"/>
          </w:tcPr>
          <w:p>
            <w:pPr>
              <w:spacing w:after="0"/>
              <w:rPr>
                <w:sz w:val="13"/>
                <w:szCs w:val="13"/>
                <w:color w:val="auto"/>
              </w:rPr>
            </w:pPr>
          </w:p>
        </w:tc>
        <w:tc>
          <w:tcPr>
            <w:tcW w:w="110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40" w:type="dxa"/>
            <w:vAlign w:val="bottom"/>
            <w:gridSpan w:val="2"/>
          </w:tcPr>
          <w:p>
            <w:pPr>
              <w:spacing w:after="0"/>
              <w:rPr>
                <w:sz w:val="13"/>
                <w:szCs w:val="13"/>
                <w:color w:val="auto"/>
              </w:rPr>
            </w:pPr>
          </w:p>
        </w:tc>
        <w:tc>
          <w:tcPr>
            <w:tcW w:w="1340" w:type="dxa"/>
            <w:vAlign w:val="bottom"/>
            <w:gridSpan w:val="2"/>
          </w:tcPr>
          <w:p>
            <w:pPr>
              <w:spacing w:after="0"/>
              <w:rPr>
                <w:sz w:val="13"/>
                <w:szCs w:val="13"/>
                <w:color w:val="auto"/>
              </w:rPr>
            </w:pPr>
          </w:p>
        </w:tc>
        <w:tc>
          <w:tcPr>
            <w:tcW w:w="1000" w:type="dxa"/>
            <w:vAlign w:val="bottom"/>
            <w:gridSpan w:val="2"/>
          </w:tcPr>
          <w:p>
            <w:pPr>
              <w:spacing w:after="0"/>
              <w:rPr>
                <w:sz w:val="13"/>
                <w:szCs w:val="13"/>
                <w:color w:val="auto"/>
              </w:rPr>
            </w:pPr>
          </w:p>
        </w:tc>
      </w:tr>
      <w:tr>
        <w:trPr>
          <w:trHeight w:val="176"/>
        </w:trPr>
        <w:tc>
          <w:tcPr>
            <w:tcW w:w="25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Tier 1 leverage capital ratio</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4.00%</w:t>
            </w:r>
          </w:p>
        </w:tc>
        <w:tc>
          <w:tcPr>
            <w:tcW w:w="1800" w:type="dxa"/>
            <w:vAlign w:val="bottom"/>
            <w:gridSpan w:val="2"/>
            <w:shd w:val="clear" w:color="auto" w:fill="CFF0FC"/>
          </w:tcPr>
          <w:p>
            <w:pPr>
              <w:jc w:val="center"/>
              <w:ind w:left="93"/>
              <w:spacing w:after="0"/>
              <w:rPr>
                <w:sz w:val="20"/>
                <w:szCs w:val="20"/>
                <w:color w:val="auto"/>
              </w:rPr>
            </w:pPr>
            <w:r>
              <w:rPr>
                <w:rFonts w:ascii="Times New Roman" w:cs="Times New Roman" w:eastAsia="Times New Roman" w:hAnsi="Times New Roman"/>
                <w:sz w:val="13"/>
                <w:szCs w:val="13"/>
                <w:color w:val="auto"/>
              </w:rPr>
              <w:t>4.00%</w:t>
            </w:r>
          </w:p>
        </w:tc>
        <w:tc>
          <w:tcPr>
            <w:tcW w:w="1100" w:type="dxa"/>
            <w:vAlign w:val="bottom"/>
            <w:gridSpan w:val="2"/>
            <w:shd w:val="clear" w:color="auto" w:fill="CFF0FC"/>
          </w:tcPr>
          <w:p>
            <w:pPr>
              <w:jc w:val="center"/>
              <w:ind w:left="93"/>
              <w:spacing w:after="0"/>
              <w:rPr>
                <w:sz w:val="20"/>
                <w:szCs w:val="20"/>
                <w:color w:val="auto"/>
              </w:rPr>
            </w:pPr>
            <w:r>
              <w:rPr>
                <w:rFonts w:ascii="Times New Roman" w:cs="Times New Roman" w:eastAsia="Times New Roman" w:hAnsi="Times New Roman"/>
                <w:sz w:val="13"/>
                <w:szCs w:val="13"/>
                <w:color w:val="auto"/>
              </w:rPr>
              <w:t>5.00%</w:t>
            </w: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9.08%</w:t>
            </w:r>
          </w:p>
        </w:tc>
        <w:tc>
          <w:tcPr>
            <w:tcW w:w="1040" w:type="dxa"/>
            <w:vAlign w:val="bottom"/>
            <w:gridSpan w:val="2"/>
            <w:shd w:val="clear" w:color="auto" w:fill="CFF0FC"/>
          </w:tcPr>
          <w:p>
            <w:pPr>
              <w:jc w:val="center"/>
              <w:ind w:left="93"/>
              <w:spacing w:after="0"/>
              <w:rPr>
                <w:sz w:val="20"/>
                <w:szCs w:val="20"/>
                <w:color w:val="auto"/>
              </w:rPr>
            </w:pPr>
            <w:r>
              <w:rPr>
                <w:rFonts w:ascii="Times New Roman" w:cs="Times New Roman" w:eastAsia="Times New Roman" w:hAnsi="Times New Roman"/>
                <w:sz w:val="13"/>
                <w:szCs w:val="13"/>
                <w:color w:val="auto"/>
              </w:rPr>
              <w:t>8.81%</w:t>
            </w:r>
          </w:p>
        </w:tc>
        <w:tc>
          <w:tcPr>
            <w:tcW w:w="1340" w:type="dxa"/>
            <w:vAlign w:val="bottom"/>
            <w:gridSpan w:val="2"/>
            <w:shd w:val="clear" w:color="auto" w:fill="CFF0FC"/>
          </w:tcPr>
          <w:p>
            <w:pPr>
              <w:jc w:val="center"/>
              <w:ind w:left="73"/>
              <w:spacing w:after="0"/>
              <w:rPr>
                <w:sz w:val="20"/>
                <w:szCs w:val="20"/>
                <w:color w:val="auto"/>
              </w:rPr>
            </w:pPr>
            <w:r>
              <w:rPr>
                <w:rFonts w:ascii="Times New Roman" w:cs="Times New Roman" w:eastAsia="Times New Roman" w:hAnsi="Times New Roman"/>
                <w:sz w:val="13"/>
                <w:szCs w:val="13"/>
                <w:color w:val="auto"/>
              </w:rPr>
              <w:t>9.18%</w:t>
            </w:r>
          </w:p>
        </w:tc>
        <w:tc>
          <w:tcPr>
            <w:tcW w:w="1000" w:type="dxa"/>
            <w:vAlign w:val="bottom"/>
            <w:gridSpan w:val="2"/>
            <w:shd w:val="clear" w:color="auto" w:fill="CFF0FC"/>
          </w:tcPr>
          <w:p>
            <w:pPr>
              <w:jc w:val="center"/>
              <w:ind w:left="73"/>
              <w:spacing w:after="0"/>
              <w:rPr>
                <w:sz w:val="20"/>
                <w:szCs w:val="20"/>
                <w:color w:val="auto"/>
              </w:rPr>
            </w:pPr>
            <w:r>
              <w:rPr>
                <w:rFonts w:ascii="Times New Roman" w:cs="Times New Roman" w:eastAsia="Times New Roman" w:hAnsi="Times New Roman"/>
                <w:sz w:val="13"/>
                <w:szCs w:val="13"/>
                <w:color w:val="auto"/>
              </w:rPr>
              <w:t>8.90%</w:t>
            </w:r>
          </w:p>
        </w:tc>
      </w:tr>
      <w:tr>
        <w:trPr>
          <w:trHeight w:val="175"/>
        </w:trPr>
        <w:tc>
          <w:tcPr>
            <w:tcW w:w="25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Common equity Tier 1 capital ratio</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4.50%</w:t>
            </w:r>
          </w:p>
        </w:tc>
        <w:tc>
          <w:tcPr>
            <w:tcW w:w="1800" w:type="dxa"/>
            <w:vAlign w:val="bottom"/>
            <w:gridSpan w:val="2"/>
          </w:tcPr>
          <w:p>
            <w:pPr>
              <w:jc w:val="center"/>
              <w:ind w:left="93"/>
              <w:spacing w:after="0"/>
              <w:rPr>
                <w:sz w:val="20"/>
                <w:szCs w:val="20"/>
                <w:color w:val="auto"/>
              </w:rPr>
            </w:pPr>
            <w:r>
              <w:rPr>
                <w:rFonts w:ascii="Times New Roman" w:cs="Times New Roman" w:eastAsia="Times New Roman" w:hAnsi="Times New Roman"/>
                <w:sz w:val="13"/>
                <w:szCs w:val="13"/>
                <w:color w:val="auto"/>
              </w:rPr>
              <w:t>7.00%</w:t>
            </w:r>
          </w:p>
        </w:tc>
        <w:tc>
          <w:tcPr>
            <w:tcW w:w="1100" w:type="dxa"/>
            <w:vAlign w:val="bottom"/>
            <w:gridSpan w:val="2"/>
          </w:tcPr>
          <w:p>
            <w:pPr>
              <w:jc w:val="center"/>
              <w:ind w:left="93"/>
              <w:spacing w:after="0"/>
              <w:rPr>
                <w:sz w:val="20"/>
                <w:szCs w:val="20"/>
                <w:color w:val="auto"/>
              </w:rPr>
            </w:pPr>
            <w:r>
              <w:rPr>
                <w:rFonts w:ascii="Times New Roman" w:cs="Times New Roman" w:eastAsia="Times New Roman" w:hAnsi="Times New Roman"/>
                <w:sz w:val="13"/>
                <w:szCs w:val="13"/>
                <w:color w:val="auto"/>
              </w:rPr>
              <w:t>6.50%</w:t>
            </w:r>
          </w:p>
        </w:tc>
        <w:tc>
          <w:tcPr>
            <w:tcW w:w="1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13.49%</w:t>
            </w:r>
          </w:p>
        </w:tc>
        <w:tc>
          <w:tcPr>
            <w:tcW w:w="1040" w:type="dxa"/>
            <w:vAlign w:val="bottom"/>
            <w:gridSpan w:val="2"/>
          </w:tcPr>
          <w:p>
            <w:pPr>
              <w:jc w:val="center"/>
              <w:ind w:left="93"/>
              <w:spacing w:after="0"/>
              <w:rPr>
                <w:sz w:val="20"/>
                <w:szCs w:val="20"/>
                <w:color w:val="auto"/>
              </w:rPr>
            </w:pPr>
            <w:r>
              <w:rPr>
                <w:rFonts w:ascii="Times New Roman" w:cs="Times New Roman" w:eastAsia="Times New Roman" w:hAnsi="Times New Roman"/>
                <w:sz w:val="13"/>
                <w:szCs w:val="13"/>
                <w:color w:val="auto"/>
                <w:w w:val="99"/>
              </w:rPr>
              <w:t>13.09%</w:t>
            </w:r>
          </w:p>
        </w:tc>
        <w:tc>
          <w:tcPr>
            <w:tcW w:w="1340" w:type="dxa"/>
            <w:vAlign w:val="bottom"/>
            <w:gridSpan w:val="2"/>
          </w:tcPr>
          <w:p>
            <w:pPr>
              <w:jc w:val="center"/>
              <w:ind w:left="73"/>
              <w:spacing w:after="0"/>
              <w:rPr>
                <w:sz w:val="20"/>
                <w:szCs w:val="20"/>
                <w:color w:val="auto"/>
              </w:rPr>
            </w:pPr>
            <w:r>
              <w:rPr>
                <w:rFonts w:ascii="Times New Roman" w:cs="Times New Roman" w:eastAsia="Times New Roman" w:hAnsi="Times New Roman"/>
                <w:sz w:val="13"/>
                <w:szCs w:val="13"/>
                <w:color w:val="auto"/>
                <w:w w:val="99"/>
              </w:rPr>
              <w:t>14.86%</w:t>
            </w:r>
          </w:p>
        </w:tc>
        <w:tc>
          <w:tcPr>
            <w:tcW w:w="1000" w:type="dxa"/>
            <w:vAlign w:val="bottom"/>
            <w:gridSpan w:val="2"/>
          </w:tcPr>
          <w:p>
            <w:pPr>
              <w:jc w:val="center"/>
              <w:ind w:left="73"/>
              <w:spacing w:after="0"/>
              <w:rPr>
                <w:sz w:val="20"/>
                <w:szCs w:val="20"/>
                <w:color w:val="auto"/>
              </w:rPr>
            </w:pPr>
            <w:r>
              <w:rPr>
                <w:rFonts w:ascii="Times New Roman" w:cs="Times New Roman" w:eastAsia="Times New Roman" w:hAnsi="Times New Roman"/>
                <w:sz w:val="13"/>
                <w:szCs w:val="13"/>
                <w:color w:val="auto"/>
              </w:rPr>
              <w:t>14.41%</w:t>
            </w:r>
          </w:p>
        </w:tc>
      </w:tr>
      <w:tr>
        <w:trPr>
          <w:trHeight w:val="176"/>
        </w:trPr>
        <w:tc>
          <w:tcPr>
            <w:tcW w:w="25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Tier 1 risk-based capital ratio</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6.00%</w:t>
            </w:r>
          </w:p>
        </w:tc>
        <w:tc>
          <w:tcPr>
            <w:tcW w:w="1800" w:type="dxa"/>
            <w:vAlign w:val="bottom"/>
            <w:gridSpan w:val="2"/>
            <w:shd w:val="clear" w:color="auto" w:fill="CFF0FC"/>
          </w:tcPr>
          <w:p>
            <w:pPr>
              <w:jc w:val="center"/>
              <w:ind w:left="93"/>
              <w:spacing w:after="0"/>
              <w:rPr>
                <w:sz w:val="20"/>
                <w:szCs w:val="20"/>
                <w:color w:val="auto"/>
              </w:rPr>
            </w:pPr>
            <w:r>
              <w:rPr>
                <w:rFonts w:ascii="Times New Roman" w:cs="Times New Roman" w:eastAsia="Times New Roman" w:hAnsi="Times New Roman"/>
                <w:sz w:val="13"/>
                <w:szCs w:val="13"/>
                <w:color w:val="auto"/>
              </w:rPr>
              <w:t>8.50%</w:t>
            </w:r>
          </w:p>
        </w:tc>
        <w:tc>
          <w:tcPr>
            <w:tcW w:w="1100" w:type="dxa"/>
            <w:vAlign w:val="bottom"/>
            <w:gridSpan w:val="2"/>
            <w:shd w:val="clear" w:color="auto" w:fill="CFF0FC"/>
          </w:tcPr>
          <w:p>
            <w:pPr>
              <w:jc w:val="center"/>
              <w:ind w:left="93"/>
              <w:spacing w:after="0"/>
              <w:rPr>
                <w:sz w:val="20"/>
                <w:szCs w:val="20"/>
                <w:color w:val="auto"/>
              </w:rPr>
            </w:pPr>
            <w:r>
              <w:rPr>
                <w:rFonts w:ascii="Times New Roman" w:cs="Times New Roman" w:eastAsia="Times New Roman" w:hAnsi="Times New Roman"/>
                <w:sz w:val="13"/>
                <w:szCs w:val="13"/>
                <w:color w:val="auto"/>
              </w:rPr>
              <w:t>8.00%</w:t>
            </w: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13.49%</w:t>
            </w:r>
          </w:p>
        </w:tc>
        <w:tc>
          <w:tcPr>
            <w:tcW w:w="1040" w:type="dxa"/>
            <w:vAlign w:val="bottom"/>
            <w:gridSpan w:val="2"/>
            <w:shd w:val="clear" w:color="auto" w:fill="CFF0FC"/>
          </w:tcPr>
          <w:p>
            <w:pPr>
              <w:jc w:val="center"/>
              <w:ind w:left="93"/>
              <w:spacing w:after="0"/>
              <w:rPr>
                <w:sz w:val="20"/>
                <w:szCs w:val="20"/>
                <w:color w:val="auto"/>
              </w:rPr>
            </w:pPr>
            <w:r>
              <w:rPr>
                <w:rFonts w:ascii="Times New Roman" w:cs="Times New Roman" w:eastAsia="Times New Roman" w:hAnsi="Times New Roman"/>
                <w:sz w:val="13"/>
                <w:szCs w:val="13"/>
                <w:color w:val="auto"/>
                <w:w w:val="99"/>
              </w:rPr>
              <w:t>13.09%</w:t>
            </w:r>
          </w:p>
        </w:tc>
        <w:tc>
          <w:tcPr>
            <w:tcW w:w="1340" w:type="dxa"/>
            <w:vAlign w:val="bottom"/>
            <w:gridSpan w:val="2"/>
            <w:shd w:val="clear" w:color="auto" w:fill="CFF0FC"/>
          </w:tcPr>
          <w:p>
            <w:pPr>
              <w:jc w:val="center"/>
              <w:ind w:left="73"/>
              <w:spacing w:after="0"/>
              <w:rPr>
                <w:sz w:val="20"/>
                <w:szCs w:val="20"/>
                <w:color w:val="auto"/>
              </w:rPr>
            </w:pPr>
            <w:r>
              <w:rPr>
                <w:rFonts w:ascii="Times New Roman" w:cs="Times New Roman" w:eastAsia="Times New Roman" w:hAnsi="Times New Roman"/>
                <w:sz w:val="13"/>
                <w:szCs w:val="13"/>
                <w:color w:val="auto"/>
                <w:w w:val="99"/>
              </w:rPr>
              <w:t>14.86%</w:t>
            </w:r>
          </w:p>
        </w:tc>
        <w:tc>
          <w:tcPr>
            <w:tcW w:w="1000" w:type="dxa"/>
            <w:vAlign w:val="bottom"/>
            <w:gridSpan w:val="2"/>
            <w:shd w:val="clear" w:color="auto" w:fill="CFF0FC"/>
          </w:tcPr>
          <w:p>
            <w:pPr>
              <w:jc w:val="center"/>
              <w:ind w:left="73"/>
              <w:spacing w:after="0"/>
              <w:rPr>
                <w:sz w:val="20"/>
                <w:szCs w:val="20"/>
                <w:color w:val="auto"/>
              </w:rPr>
            </w:pPr>
            <w:r>
              <w:rPr>
                <w:rFonts w:ascii="Times New Roman" w:cs="Times New Roman" w:eastAsia="Times New Roman" w:hAnsi="Times New Roman"/>
                <w:sz w:val="13"/>
                <w:szCs w:val="13"/>
                <w:color w:val="auto"/>
              </w:rPr>
              <w:t>14.41%</w:t>
            </w:r>
          </w:p>
        </w:tc>
      </w:tr>
      <w:tr>
        <w:trPr>
          <w:trHeight w:val="174"/>
        </w:trPr>
        <w:tc>
          <w:tcPr>
            <w:tcW w:w="25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Total risk-based capital ratio</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8.00%</w:t>
            </w:r>
          </w:p>
        </w:tc>
        <w:tc>
          <w:tcPr>
            <w:tcW w:w="1800" w:type="dxa"/>
            <w:vAlign w:val="bottom"/>
            <w:gridSpan w:val="2"/>
          </w:tcPr>
          <w:p>
            <w:pPr>
              <w:jc w:val="center"/>
              <w:ind w:left="113"/>
              <w:spacing w:after="0"/>
              <w:rPr>
                <w:sz w:val="20"/>
                <w:szCs w:val="20"/>
                <w:color w:val="auto"/>
              </w:rPr>
            </w:pPr>
            <w:r>
              <w:rPr>
                <w:rFonts w:ascii="Times New Roman" w:cs="Times New Roman" w:eastAsia="Times New Roman" w:hAnsi="Times New Roman"/>
                <w:sz w:val="13"/>
                <w:szCs w:val="13"/>
                <w:color w:val="auto"/>
              </w:rPr>
              <w:t>10.50%</w:t>
            </w:r>
          </w:p>
        </w:tc>
        <w:tc>
          <w:tcPr>
            <w:tcW w:w="1100" w:type="dxa"/>
            <w:vAlign w:val="bottom"/>
            <w:gridSpan w:val="2"/>
          </w:tcPr>
          <w:p>
            <w:pPr>
              <w:jc w:val="center"/>
              <w:ind w:left="93"/>
              <w:spacing w:after="0"/>
              <w:rPr>
                <w:sz w:val="20"/>
                <w:szCs w:val="20"/>
                <w:color w:val="auto"/>
              </w:rPr>
            </w:pPr>
            <w:r>
              <w:rPr>
                <w:rFonts w:ascii="Times New Roman" w:cs="Times New Roman" w:eastAsia="Times New Roman" w:hAnsi="Times New Roman"/>
                <w:sz w:val="13"/>
                <w:szCs w:val="13"/>
                <w:color w:val="auto"/>
              </w:rPr>
              <w:t>10.00%</w:t>
            </w:r>
          </w:p>
        </w:tc>
        <w:tc>
          <w:tcPr>
            <w:tcW w:w="1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14.31%</w:t>
            </w:r>
          </w:p>
        </w:tc>
        <w:tc>
          <w:tcPr>
            <w:tcW w:w="1040" w:type="dxa"/>
            <w:vAlign w:val="bottom"/>
            <w:gridSpan w:val="2"/>
          </w:tcPr>
          <w:p>
            <w:pPr>
              <w:jc w:val="center"/>
              <w:ind w:left="93"/>
              <w:spacing w:after="0"/>
              <w:rPr>
                <w:sz w:val="20"/>
                <w:szCs w:val="20"/>
                <w:color w:val="auto"/>
              </w:rPr>
            </w:pPr>
            <w:r>
              <w:rPr>
                <w:rFonts w:ascii="Times New Roman" w:cs="Times New Roman" w:eastAsia="Times New Roman" w:hAnsi="Times New Roman"/>
                <w:sz w:val="13"/>
                <w:szCs w:val="13"/>
                <w:color w:val="auto"/>
                <w:w w:val="99"/>
              </w:rPr>
              <w:t>13.91%</w:t>
            </w:r>
          </w:p>
        </w:tc>
        <w:tc>
          <w:tcPr>
            <w:tcW w:w="1340" w:type="dxa"/>
            <w:vAlign w:val="bottom"/>
            <w:gridSpan w:val="2"/>
          </w:tcPr>
          <w:p>
            <w:pPr>
              <w:jc w:val="center"/>
              <w:ind w:left="73"/>
              <w:spacing w:after="0"/>
              <w:rPr>
                <w:sz w:val="20"/>
                <w:szCs w:val="20"/>
                <w:color w:val="auto"/>
              </w:rPr>
            </w:pPr>
            <w:r>
              <w:rPr>
                <w:rFonts w:ascii="Times New Roman" w:cs="Times New Roman" w:eastAsia="Times New Roman" w:hAnsi="Times New Roman"/>
                <w:sz w:val="13"/>
                <w:szCs w:val="13"/>
                <w:color w:val="auto"/>
                <w:w w:val="99"/>
              </w:rPr>
              <w:t>15.63%</w:t>
            </w:r>
          </w:p>
        </w:tc>
        <w:tc>
          <w:tcPr>
            <w:tcW w:w="1000" w:type="dxa"/>
            <w:vAlign w:val="bottom"/>
            <w:gridSpan w:val="2"/>
          </w:tcPr>
          <w:p>
            <w:pPr>
              <w:jc w:val="center"/>
              <w:ind w:left="73"/>
              <w:spacing w:after="0"/>
              <w:rPr>
                <w:sz w:val="20"/>
                <w:szCs w:val="20"/>
                <w:color w:val="auto"/>
              </w:rPr>
            </w:pPr>
            <w:r>
              <w:rPr>
                <w:rFonts w:ascii="Times New Roman" w:cs="Times New Roman" w:eastAsia="Times New Roman" w:hAnsi="Times New Roman"/>
                <w:sz w:val="13"/>
                <w:szCs w:val="13"/>
                <w:color w:val="auto"/>
              </w:rPr>
              <w:t>15.18%</w:t>
            </w: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ASSET/LIABILITY AND MARKET RISK MANAGEMENT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Cash Flow</w:t>
      </w:r>
    </w:p>
    <w:p>
      <w:pPr>
        <w:spacing w:after="0" w:line="216" w:lineRule="exact"/>
        <w:rPr>
          <w:sz w:val="20"/>
          <w:szCs w:val="20"/>
          <w:color w:val="auto"/>
        </w:rPr>
      </w:pPr>
    </w:p>
    <w:p>
      <w:pPr>
        <w:ind w:right="80" w:firstLine="469"/>
        <w:spacing w:after="0" w:line="250" w:lineRule="auto"/>
        <w:rPr>
          <w:sz w:val="20"/>
          <w:szCs w:val="20"/>
          <w:color w:val="auto"/>
        </w:rPr>
      </w:pPr>
      <w:r>
        <w:rPr>
          <w:rFonts w:ascii="Times New Roman" w:cs="Times New Roman" w:eastAsia="Times New Roman" w:hAnsi="Times New Roman"/>
          <w:sz w:val="18"/>
          <w:szCs w:val="18"/>
          <w:color w:val="auto"/>
        </w:rPr>
        <w:t>The objective of liquidity management is to ensure that funds are available in a timely manner to meet our financial obligations when they come due without incurring unnecessary cost or risk, or causing a disruption to our normal operating activities. This includes the ability to manage unplanned decreases or changes in funding sources, accommodating loan demand and growth, funding investments, repurchasing securities, paying creditors as necessary, and other operating or capital needs.</w:t>
      </w:r>
    </w:p>
    <w:p>
      <w:pPr>
        <w:spacing w:after="0" w:line="164" w:lineRule="exact"/>
        <w:rPr>
          <w:sz w:val="20"/>
          <w:szCs w:val="20"/>
          <w:color w:val="auto"/>
        </w:rPr>
      </w:pPr>
    </w:p>
    <w:p>
      <w:pPr>
        <w:ind w:right="80" w:firstLine="469"/>
        <w:spacing w:after="0" w:line="247" w:lineRule="auto"/>
        <w:rPr>
          <w:sz w:val="20"/>
          <w:szCs w:val="20"/>
          <w:color w:val="auto"/>
        </w:rPr>
      </w:pPr>
      <w:r>
        <w:rPr>
          <w:rFonts w:ascii="Times New Roman" w:cs="Times New Roman" w:eastAsia="Times New Roman" w:hAnsi="Times New Roman"/>
          <w:sz w:val="18"/>
          <w:szCs w:val="18"/>
          <w:color w:val="auto"/>
        </w:rPr>
        <w:t>We regularly assess the amount and likelihood of projected funding requirements through a review of factors such as historical deposit volatility and funding patterns, present and forecasted market and economic conditions, individual customer funding needs, as well as current and planned business activities. Management has an Asset/Liability Committee that meets monthly. This committee analyzes the cash flows from loans, investments, deposits and borrowings. In addition, the Company has a Balance Sheet Management Committee of the Board of Directors that meets quarterly to review the Company’s balance sheet and liquidity position. This committee provides oversight to the balance sheet and liquidity management process and recommends policy guidelines for the approval of our Board of Directors, and courses of action to address our actual and projected liquidity needs.</w:t>
      </w:r>
    </w:p>
    <w:p>
      <w:pPr>
        <w:spacing w:after="0" w:line="166" w:lineRule="exact"/>
        <w:rPr>
          <w:sz w:val="20"/>
          <w:szCs w:val="20"/>
          <w:color w:val="auto"/>
        </w:rPr>
      </w:pPr>
    </w:p>
    <w:p>
      <w:pPr>
        <w:ind w:firstLine="469"/>
        <w:spacing w:after="0" w:line="250" w:lineRule="auto"/>
        <w:rPr>
          <w:sz w:val="20"/>
          <w:szCs w:val="20"/>
          <w:color w:val="auto"/>
        </w:rPr>
      </w:pPr>
      <w:r>
        <w:rPr>
          <w:rFonts w:ascii="Times New Roman" w:cs="Times New Roman" w:eastAsia="Times New Roman" w:hAnsi="Times New Roman"/>
          <w:sz w:val="18"/>
          <w:szCs w:val="18"/>
          <w:color w:val="auto"/>
        </w:rPr>
        <w:t>Our primary sources and uses of funds for the Company are deposits and loans. Our deposit levels and cost of deposits may fluctuate from period-to-period due to a variety of factors, including the stability of our deposit base, prevailing interest rates, and market conditions. Total deposits of $13.87 billion at September 30, 2022 increased $896.0 million, or 6.90%, over total deposits of $12.98 billion at December 31, 2021. This deposit growth was primarily due to our customers maintaining greater liquidity.</w:t>
      </w:r>
    </w:p>
    <w:p>
      <w:pPr>
        <w:spacing w:after="0" w:line="177" w:lineRule="exact"/>
        <w:rPr>
          <w:sz w:val="20"/>
          <w:szCs w:val="20"/>
          <w:color w:val="auto"/>
        </w:rPr>
      </w:pPr>
    </w:p>
    <w:p>
      <w:pPr>
        <w:ind w:right="60" w:firstLine="469"/>
        <w:spacing w:after="0" w:line="242" w:lineRule="auto"/>
        <w:rPr>
          <w:sz w:val="20"/>
          <w:szCs w:val="20"/>
          <w:color w:val="auto"/>
        </w:rPr>
      </w:pPr>
      <w:r>
        <w:rPr>
          <w:rFonts w:ascii="Times New Roman" w:cs="Times New Roman" w:eastAsia="Times New Roman" w:hAnsi="Times New Roman"/>
          <w:sz w:val="18"/>
          <w:szCs w:val="18"/>
          <w:color w:val="auto"/>
        </w:rPr>
        <w:t>In general, our liquidity is managed daily by controlling the level of liquid assets as well as the use of funds provided by the cash flow from the investment portfolio, loan demand and deposit fluctuations. Our definition of liquid assets includes cash and cash equivalents in excess of minimum levels needed to fulfill normal business operations, short-term investment securities, and other anticipated near term cash flows from investments. Our balance sheet has significant liquidity and our assets are funded almost entirely with core deposits. Furthermore, we have significant off-balance sheet sources of liquidity. To meet unexpected demands, lines of credit are maintained with correspondent banks, the Federal Home Loan Bank and the Federal Reserve, although availability under these lines of credit are subject to certain conditions. The Bank has available lines of credit exceeding $4 billion, most of which is secured by pledged loans. The sale of investment securities can also serve as a contingent source of funds. We can obtain additional liquidity from deposit growth by offering competitive interest rates on deposits from both our local and national wholesale markets. At September 30, 2022, the Bank had no borrowings.</w:t>
      </w:r>
    </w:p>
    <w:p>
      <w:pPr>
        <w:spacing w:after="0" w:line="187" w:lineRule="exact"/>
        <w:rPr>
          <w:sz w:val="20"/>
          <w:szCs w:val="20"/>
          <w:color w:val="auto"/>
        </w:rPr>
      </w:pPr>
    </w:p>
    <w:p>
      <w:pPr>
        <w:jc w:val="both"/>
        <w:ind w:right="240" w:firstLine="469"/>
        <w:spacing w:after="0" w:line="250" w:lineRule="auto"/>
        <w:rPr>
          <w:sz w:val="20"/>
          <w:szCs w:val="20"/>
          <w:color w:val="auto"/>
        </w:rPr>
      </w:pPr>
      <w:r>
        <w:rPr>
          <w:rFonts w:ascii="Times New Roman" w:cs="Times New Roman" w:eastAsia="Times New Roman" w:hAnsi="Times New Roman"/>
          <w:sz w:val="18"/>
          <w:szCs w:val="18"/>
          <w:color w:val="auto"/>
        </w:rPr>
        <w:t>CVB is a holding company separate and apart from the Bank that must provide for its own liquidity and must service its own obligations. On June 15, 2021, we redeemed our $25.8 million in subordinated debt with an interest rate of three month LIBOR plus 1.38% at par. Substantially all of CVB’s revenues are obtained from dividends declared and paid by the Bank to CVB. There are statutory and regulatory provisions that could limit the ability of the Bank to pay dividends to CVB. In addition, our regulators could limit the ability of the Bank or CVB to pay dividends or make other distributions.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8" w:name="page69"/>
    <w:bookmarkEnd w:id="68"/>
    <w:p>
      <w:pPr>
        <w:ind w:right="240" w:firstLine="469"/>
        <w:spacing w:after="0" w:line="282" w:lineRule="auto"/>
        <w:rPr>
          <w:sz w:val="20"/>
          <w:szCs w:val="20"/>
          <w:color w:val="auto"/>
        </w:rPr>
      </w:pPr>
      <w:r>
        <w:rPr>
          <w:rFonts w:ascii="Times New Roman" w:cs="Times New Roman" w:eastAsia="Times New Roman" w:hAnsi="Times New Roman"/>
          <w:sz w:val="18"/>
          <w:szCs w:val="18"/>
          <w:color w:val="auto"/>
        </w:rPr>
        <w:t>Below is a summary of our average cash position and statement of cash flows for the nine months ended September 30, 2022 and 2021. For further details see our “</w:t>
      </w:r>
      <w:r>
        <w:rPr>
          <w:rFonts w:ascii="Times New Roman" w:cs="Times New Roman" w:eastAsia="Times New Roman" w:hAnsi="Times New Roman"/>
          <w:sz w:val="18"/>
          <w:szCs w:val="18"/>
          <w:i w:val="1"/>
          <w:iCs w:val="1"/>
          <w:color w:val="auto"/>
        </w:rPr>
        <w:t>Condensed Consolidated Statements of Cash Flows</w:t>
      </w:r>
      <w:r>
        <w:rPr>
          <w:rFonts w:ascii="Times New Roman" w:cs="Times New Roman" w:eastAsia="Times New Roman" w:hAnsi="Times New Roman"/>
          <w:sz w:val="18"/>
          <w:szCs w:val="18"/>
          <w:color w:val="auto"/>
        </w:rPr>
        <w:t xml:space="preserve"> (Unaudited)” under Part I, Item 1 of this report.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30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Consolidated Summary of Cash Flows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9"/>
        </w:trPr>
        <w:tc>
          <w:tcPr>
            <w:tcW w:w="8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8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left="51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8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6"/>
        </w:trPr>
        <w:tc>
          <w:tcPr>
            <w:tcW w:w="8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in</w:t>
            </w: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0"/>
        </w:trPr>
        <w:tc>
          <w:tcPr>
            <w:tcW w:w="8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8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 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1,205,065</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2,045,021</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average assets</w:t>
            </w:r>
          </w:p>
        </w:tc>
        <w:tc>
          <w:tcPr>
            <w:tcW w:w="240" w:type="dxa"/>
            <w:vAlign w:val="bottom"/>
          </w:tcPr>
          <w:p>
            <w:pPr>
              <w:spacing w:after="0"/>
              <w:rPr>
                <w:sz w:val="20"/>
                <w:szCs w:val="20"/>
                <w:color w:val="auto"/>
              </w:rPr>
            </w:pPr>
          </w:p>
        </w:tc>
        <w:tc>
          <w:tcPr>
            <w:tcW w:w="12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7.05 %</w:t>
            </w:r>
          </w:p>
        </w:tc>
        <w:tc>
          <w:tcPr>
            <w:tcW w:w="50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13.52 %</w:t>
            </w:r>
          </w:p>
        </w:tc>
      </w:tr>
      <w:tr>
        <w:trPr>
          <w:trHeight w:val="198"/>
        </w:trPr>
        <w:tc>
          <w:tcPr>
            <w:tcW w:w="8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8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202,846</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136,580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8"/>
                <w:szCs w:val="18"/>
                <w:color w:val="auto"/>
              </w:rPr>
            </w:pPr>
          </w:p>
        </w:tc>
        <w:tc>
          <w:tcPr>
            <w:tcW w:w="124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(962,037 )</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(835,890 )</w:t>
            </w:r>
          </w:p>
        </w:tc>
        <w:tc>
          <w:tcPr>
            <w:tcW w:w="60" w:type="dxa"/>
            <w:vAlign w:val="bottom"/>
          </w:tcPr>
          <w:p>
            <w:pPr>
              <w:spacing w:after="0"/>
              <w:rPr>
                <w:sz w:val="18"/>
                <w:szCs w:val="18"/>
                <w:color w:val="auto"/>
              </w:rPr>
            </w:pPr>
          </w:p>
        </w:tc>
      </w:tr>
      <w:tr>
        <w:trPr>
          <w:trHeight w:val="216"/>
        </w:trPr>
        <w:tc>
          <w:tcPr>
            <w:tcW w:w="8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8"/>
                <w:szCs w:val="18"/>
                <w:color w:val="auto"/>
              </w:rPr>
              <w:t>(654,818 )</w:t>
            </w:r>
          </w:p>
        </w:tc>
        <w:tc>
          <w:tcPr>
            <w:tcW w:w="5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1,302,513</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8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(1,414,009 )</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603,203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-170815</wp:posOffset>
            </wp:positionV>
            <wp:extent cx="76835" cy="17145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4" w:lineRule="exact"/>
        <w:rPr>
          <w:sz w:val="20"/>
          <w:szCs w:val="20"/>
          <w:color w:val="auto"/>
        </w:rPr>
      </w:pPr>
    </w:p>
    <w:p>
      <w:pPr>
        <w:ind w:right="760" w:firstLine="469"/>
        <w:spacing w:after="0" w:line="282" w:lineRule="auto"/>
        <w:rPr>
          <w:sz w:val="20"/>
          <w:szCs w:val="20"/>
          <w:color w:val="auto"/>
        </w:rPr>
      </w:pPr>
      <w:r>
        <w:rPr>
          <w:rFonts w:ascii="Times New Roman" w:cs="Times New Roman" w:eastAsia="Times New Roman" w:hAnsi="Times New Roman"/>
          <w:sz w:val="18"/>
          <w:szCs w:val="18"/>
          <w:color w:val="auto"/>
        </w:rPr>
        <w:t>Average cash and cash equivalents decreased by $840.0 million, or 41.07%, to $1.21 billion for the nine months ended September 30, 2022, compared to $2.05 billion for the same period of 2021.</w:t>
      </w:r>
    </w:p>
    <w:p>
      <w:pPr>
        <w:spacing w:after="0" w:line="135" w:lineRule="exact"/>
        <w:rPr>
          <w:sz w:val="20"/>
          <w:szCs w:val="20"/>
          <w:color w:val="auto"/>
        </w:rPr>
      </w:pPr>
    </w:p>
    <w:p>
      <w:pPr>
        <w:ind w:right="100" w:firstLine="469"/>
        <w:spacing w:after="0" w:line="266" w:lineRule="auto"/>
        <w:rPr>
          <w:sz w:val="20"/>
          <w:szCs w:val="20"/>
          <w:color w:val="auto"/>
        </w:rPr>
      </w:pPr>
      <w:r>
        <w:rPr>
          <w:rFonts w:ascii="Times New Roman" w:cs="Times New Roman" w:eastAsia="Times New Roman" w:hAnsi="Times New Roman"/>
          <w:sz w:val="18"/>
          <w:szCs w:val="18"/>
          <w:color w:val="auto"/>
        </w:rPr>
        <w:t>At September 30, 2022, cash and cash equivalents totaled $318.5 million. This represented a decrease of $2.24 billion, or 87.56%, from $2.56 billion at September 30,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 Management</w:t>
      </w:r>
    </w:p>
    <w:p>
      <w:pPr>
        <w:spacing w:after="0" w:line="216" w:lineRule="exact"/>
        <w:rPr>
          <w:sz w:val="20"/>
          <w:szCs w:val="20"/>
          <w:color w:val="auto"/>
        </w:rPr>
      </w:pPr>
    </w:p>
    <w:p>
      <w:pPr>
        <w:ind w:right="100" w:firstLine="469"/>
        <w:spacing w:after="0" w:line="242" w:lineRule="auto"/>
        <w:rPr>
          <w:sz w:val="20"/>
          <w:szCs w:val="20"/>
          <w:color w:val="auto"/>
        </w:rPr>
      </w:pPr>
      <w:r>
        <w:rPr>
          <w:rFonts w:ascii="Times New Roman" w:cs="Times New Roman" w:eastAsia="Times New Roman" w:hAnsi="Times New Roman"/>
          <w:sz w:val="18"/>
          <w:szCs w:val="18"/>
          <w:color w:val="auto"/>
        </w:rPr>
        <w:t>During periods of changing interest rates, the ability to re-price interest-earning assets and interest-bearing liabilities can influence net interest income, the net interest margin, and consequently, our earnings. Interest rate risk is managed by attempting to control the spread between rates earned on interest-earning assets and the rates paid on interest-bearing liabilities within the constraints imposed by market competition in our service area. The primary goal of interest rate risk management is to control exposure to interest rate risk, within policy limits approved by the Board of Directors. These limits and guidelines reflect our risk appetite for interest rate risk over both short-term and long-term horizons. We measure these risks and their impact by identifying and quantifying exposures through the use of sophisticated simulation and valuation models, which, as described in additional detail below, are employed by management to understand net interest income (NII) at risk and economic value of equity (EVE) at risk. Net interest income at risk sensitivity captures asset and liability repricing mismatches and is considered a shorter term measure, while EVE sensitivity captures mismatches within the period end balance sheets through the financial instruments’ respective maturities or estimated durations and is considered a longer term measure.</w:t>
      </w:r>
    </w:p>
    <w:p>
      <w:pPr>
        <w:spacing w:after="0" w:line="187" w:lineRule="exact"/>
        <w:rPr>
          <w:sz w:val="20"/>
          <w:szCs w:val="20"/>
          <w:color w:val="auto"/>
        </w:rPr>
      </w:pPr>
    </w:p>
    <w:p>
      <w:pPr>
        <w:ind w:right="120" w:firstLine="469"/>
        <w:spacing w:after="0" w:line="245" w:lineRule="auto"/>
        <w:rPr>
          <w:sz w:val="20"/>
          <w:szCs w:val="20"/>
          <w:color w:val="auto"/>
        </w:rPr>
      </w:pPr>
      <w:r>
        <w:rPr>
          <w:rFonts w:ascii="Times New Roman" w:cs="Times New Roman" w:eastAsia="Times New Roman" w:hAnsi="Times New Roman"/>
          <w:sz w:val="18"/>
          <w:szCs w:val="18"/>
          <w:color w:val="auto"/>
        </w:rPr>
        <w:t>One of the primary methods that we use to quantify and manage interest rate risk is simulation analysis, which we use to model NII from the Company’s balance sheet under various interest rate scenarios. We use simulation analysis to project rate sensitive income under many scenarios. The analyses may include rapid and gradual ramping of interest rates, rate shocks, basis risk analysis, and yield curve scenarios. Specific balance sheet management strategies are also analyzed to determine their impact on NII and EVE. Key assumptions in the simulation analysis relate to the behavior of interest rates and pricing spreads, the changes in product balances, and the behavior of loan and deposit clients in different rate environments. This analysis incorporates several assumptions, the most material of which relate to the re-pricing characteristics and balance fluctuations of deposits with indeterminate or non-contractual maturities, and prepayment of loans and securities.</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interest rate risk policy measures the sensitivity of our net interest income over both a one-year and two-year cumulative time horizon.</w:t>
      </w:r>
    </w:p>
    <w:p>
      <w:pPr>
        <w:spacing w:after="0" w:line="212" w:lineRule="exact"/>
        <w:rPr>
          <w:sz w:val="20"/>
          <w:szCs w:val="20"/>
          <w:color w:val="auto"/>
        </w:rPr>
      </w:pPr>
    </w:p>
    <w:p>
      <w:pPr>
        <w:ind w:right="60" w:firstLine="469"/>
        <w:spacing w:after="0" w:line="244" w:lineRule="auto"/>
        <w:rPr>
          <w:sz w:val="20"/>
          <w:szCs w:val="20"/>
          <w:color w:val="auto"/>
        </w:rPr>
      </w:pPr>
      <w:r>
        <w:rPr>
          <w:rFonts w:ascii="Times New Roman" w:cs="Times New Roman" w:eastAsia="Times New Roman" w:hAnsi="Times New Roman"/>
          <w:sz w:val="18"/>
          <w:szCs w:val="18"/>
          <w:color w:val="auto"/>
        </w:rPr>
        <w:t>The simulation model estimates the impact of changing interest rates on interest income from all interest-earning assets and interest expense paid on all interest-bearing liabilities reflected on our balance sheet. This sensitivity analysis is compared to policy limits, which specify a maximum tolerance level for net interest income exposure over a one-year horizon assuming no balance sheet growth, given a 200 basis point upward and a 200 basis point downward shift in interest rates</w:t>
      </w:r>
    </w:p>
    <w:p>
      <w:pPr>
        <w:spacing w:after="0" w:line="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24" w:right="279" w:bottom="1440" w:gutter="0" w:footer="0" w:header="0"/>
        </w:sectPr>
      </w:pPr>
    </w:p>
    <w:bookmarkStart w:id="69" w:name="page70"/>
    <w:bookmarkEnd w:id="69"/>
    <w:p>
      <w:pPr>
        <w:ind w:right="200"/>
        <w:spacing w:after="0" w:line="282" w:lineRule="auto"/>
        <w:rPr>
          <w:sz w:val="20"/>
          <w:szCs w:val="20"/>
          <w:color w:val="auto"/>
        </w:rPr>
      </w:pPr>
      <w:r>
        <w:rPr>
          <w:rFonts w:ascii="Times New Roman" w:cs="Times New Roman" w:eastAsia="Times New Roman" w:hAnsi="Times New Roman"/>
          <w:sz w:val="18"/>
          <w:szCs w:val="18"/>
          <w:color w:val="auto"/>
        </w:rPr>
        <w:t>depending on the level of current market rates. The simulation model uses a parallel yield curve shift that ramps rates up or down on a pro rata basis over the 12-month and 24-month time horizon.</w:t>
      </w:r>
    </w:p>
    <w:p>
      <w:pPr>
        <w:spacing w:after="0" w:line="135" w:lineRule="exact"/>
        <w:rPr>
          <w:sz w:val="20"/>
          <w:szCs w:val="20"/>
          <w:color w:val="auto"/>
        </w:rPr>
      </w:pPr>
    </w:p>
    <w:p>
      <w:pPr>
        <w:ind w:right="240" w:firstLine="464"/>
        <w:spacing w:after="0" w:line="282" w:lineRule="auto"/>
        <w:rPr>
          <w:sz w:val="20"/>
          <w:szCs w:val="20"/>
          <w:color w:val="auto"/>
        </w:rPr>
      </w:pPr>
      <w:r>
        <w:rPr>
          <w:rFonts w:ascii="Times New Roman" w:cs="Times New Roman" w:eastAsia="Times New Roman" w:hAnsi="Times New Roman"/>
          <w:sz w:val="18"/>
          <w:szCs w:val="18"/>
          <w:color w:val="auto"/>
        </w:rPr>
        <w:t>The following depicts the Company’s net interest income sensitivity analysis for the periods presented below, when rates are ramped up 200bps or ramped down 200bps over a 12-month time horizon.</w:t>
      </w:r>
    </w:p>
    <w:p>
      <w:pPr>
        <w:spacing w:after="0" w:line="1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Estimated Net Interest Income Sensitivity (1)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0" w:type="dxa"/>
            <w:vAlign w:val="bottom"/>
            <w:tcBorders>
              <w:top w:val="single" w:sz="8" w:color="auto"/>
              <w:bottom w:val="single" w:sz="8" w:color="auto"/>
            </w:tcBorders>
            <w:gridSpan w:val="3"/>
          </w:tcPr>
          <w:p>
            <w:pPr>
              <w:ind w:left="96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8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140" w:type="dxa"/>
            <w:vAlign w:val="bottom"/>
            <w:tcBorders>
              <w:top w:val="single" w:sz="8" w:color="auto"/>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160"/>
        </w:trPr>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 Scenario</w:t>
            </w:r>
          </w:p>
        </w:tc>
        <w:tc>
          <w:tcPr>
            <w:tcW w:w="160" w:type="dxa"/>
            <w:vAlign w:val="bottom"/>
            <w:vMerge w:val="restart"/>
          </w:tcPr>
          <w:p>
            <w:pPr>
              <w:spacing w:after="0"/>
              <w:rPr>
                <w:sz w:val="13"/>
                <w:szCs w:val="13"/>
                <w:color w:val="auto"/>
              </w:rPr>
            </w:pP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12-month Period</w:t>
            </w:r>
          </w:p>
        </w:tc>
        <w:tc>
          <w:tcPr>
            <w:tcW w:w="160" w:type="dxa"/>
            <w:vAlign w:val="bottom"/>
          </w:tcPr>
          <w:p>
            <w:pPr>
              <w:spacing w:after="0"/>
              <w:rPr>
                <w:sz w:val="13"/>
                <w:szCs w:val="13"/>
                <w:color w:val="auto"/>
              </w:rPr>
            </w:pPr>
          </w:p>
        </w:tc>
        <w:tc>
          <w:tcPr>
            <w:tcW w:w="17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rPr>
              <w:t>24-month Period</w:t>
            </w:r>
          </w:p>
        </w:tc>
        <w:tc>
          <w:tcPr>
            <w:tcW w:w="180" w:type="dxa"/>
            <w:vAlign w:val="bottom"/>
          </w:tcPr>
          <w:p>
            <w:pPr>
              <w:spacing w:after="0"/>
              <w:rPr>
                <w:sz w:val="13"/>
                <w:szCs w:val="13"/>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 Scenario</w:t>
            </w:r>
          </w:p>
        </w:tc>
        <w:tc>
          <w:tcPr>
            <w:tcW w:w="320" w:type="dxa"/>
            <w:vAlign w:val="bottom"/>
          </w:tcPr>
          <w:p>
            <w:pPr>
              <w:spacing w:after="0"/>
              <w:rPr>
                <w:sz w:val="13"/>
                <w:szCs w:val="13"/>
                <w:color w:val="auto"/>
              </w:rPr>
            </w:pPr>
          </w:p>
        </w:tc>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w w:val="99"/>
              </w:rPr>
              <w:t>12-month</w:t>
            </w:r>
          </w:p>
        </w:tc>
        <w:tc>
          <w:tcPr>
            <w:tcW w:w="160" w:type="dxa"/>
            <w:vAlign w:val="bottom"/>
          </w:tcPr>
          <w:p>
            <w:pPr>
              <w:spacing w:after="0"/>
              <w:rPr>
                <w:sz w:val="13"/>
                <w:szCs w:val="13"/>
                <w:color w:val="auto"/>
              </w:rPr>
            </w:pPr>
          </w:p>
        </w:tc>
        <w:tc>
          <w:tcPr>
            <w:tcW w:w="16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w w:val="98"/>
              </w:rPr>
              <w:t>24-month Period</w:t>
            </w:r>
          </w:p>
        </w:tc>
        <w:tc>
          <w:tcPr>
            <w:tcW w:w="0" w:type="dxa"/>
            <w:vAlign w:val="bottom"/>
          </w:tcPr>
          <w:p>
            <w:pPr>
              <w:spacing w:after="0"/>
              <w:rPr>
                <w:sz w:val="1"/>
                <w:szCs w:val="1"/>
                <w:color w:val="auto"/>
              </w:rPr>
            </w:pPr>
          </w:p>
        </w:tc>
      </w:tr>
      <w:tr>
        <w:trPr>
          <w:trHeight w:val="238"/>
        </w:trPr>
        <w:tc>
          <w:tcPr>
            <w:tcW w:w="2000" w:type="dxa"/>
            <w:vAlign w:val="bottom"/>
            <w:tcBorders>
              <w:bottom w:val="single" w:sz="8" w:color="auto"/>
            </w:tcBorders>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154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(Cumulative)</w:t>
            </w:r>
          </w:p>
        </w:tc>
        <w:tc>
          <w:tcPr>
            <w:tcW w:w="180" w:type="dxa"/>
            <w:vAlign w:val="bottom"/>
          </w:tcPr>
          <w:p>
            <w:pPr>
              <w:spacing w:after="0"/>
              <w:rPr>
                <w:sz w:val="20"/>
                <w:szCs w:val="20"/>
                <w:color w:val="auto"/>
              </w:rPr>
            </w:pPr>
          </w:p>
        </w:tc>
        <w:tc>
          <w:tcPr>
            <w:tcW w:w="2040" w:type="dxa"/>
            <w:vAlign w:val="bottom"/>
            <w:tcBorders>
              <w:bottom w:val="single" w:sz="8" w:color="auto"/>
            </w:tcBorders>
            <w:vMerge w:val="continue"/>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(Cumulative)</w:t>
            </w:r>
          </w:p>
        </w:tc>
        <w:tc>
          <w:tcPr>
            <w:tcW w:w="0" w:type="dxa"/>
            <w:vAlign w:val="bottom"/>
          </w:tcPr>
          <w:p>
            <w:pPr>
              <w:spacing w:after="0"/>
              <w:rPr>
                <w:sz w:val="1"/>
                <w:szCs w:val="1"/>
                <w:color w:val="auto"/>
              </w:rPr>
            </w:pPr>
          </w:p>
        </w:tc>
      </w:tr>
      <w:tr>
        <w:trPr>
          <w:trHeight w:val="210"/>
        </w:trPr>
        <w:tc>
          <w:tcPr>
            <w:tcW w:w="2160" w:type="dxa"/>
            <w:vAlign w:val="bottom"/>
            <w:gridSpan w:val="2"/>
          </w:tcPr>
          <w:p>
            <w:pPr>
              <w:spacing w:after="0"/>
              <w:rPr>
                <w:sz w:val="18"/>
                <w:szCs w:val="18"/>
                <w:color w:val="auto"/>
              </w:rPr>
            </w:pPr>
          </w:p>
        </w:tc>
        <w:tc>
          <w:tcPr>
            <w:tcW w:w="1540" w:type="dxa"/>
            <w:vAlign w:val="bottom"/>
          </w:tcPr>
          <w:p>
            <w:pPr>
              <w:spacing w:after="0"/>
              <w:rPr>
                <w:sz w:val="18"/>
                <w:szCs w:val="18"/>
                <w:color w:val="auto"/>
              </w:rPr>
            </w:pPr>
          </w:p>
        </w:tc>
        <w:tc>
          <w:tcPr>
            <w:tcW w:w="18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rPr>
              <w:t>+ 200 basis points</w:t>
            </w:r>
          </w:p>
        </w:tc>
        <w:tc>
          <w:tcPr>
            <w:tcW w:w="15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3.11%</w:t>
            </w:r>
          </w:p>
        </w:tc>
        <w:tc>
          <w:tcPr>
            <w:tcW w:w="186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5.85%</w:t>
            </w:r>
          </w:p>
        </w:tc>
        <w:tc>
          <w:tcPr>
            <w:tcW w:w="180" w:type="dxa"/>
            <w:vAlign w:val="bottom"/>
            <w:shd w:val="clear" w:color="auto" w:fill="CFF0FC"/>
          </w:tcPr>
          <w:p>
            <w:pPr>
              <w:spacing w:after="0"/>
              <w:rPr>
                <w:sz w:val="18"/>
                <w:szCs w:val="18"/>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+ 200 basis points</w:t>
            </w: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9.85%</w:t>
            </w:r>
          </w:p>
        </w:tc>
        <w:tc>
          <w:tcPr>
            <w:tcW w:w="1840" w:type="dxa"/>
            <w:vAlign w:val="bottom"/>
            <w:gridSpan w:val="2"/>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16.84%</w:t>
            </w:r>
          </w:p>
        </w:tc>
        <w:tc>
          <w:tcPr>
            <w:tcW w:w="0" w:type="dxa"/>
            <w:vAlign w:val="bottom"/>
          </w:tcPr>
          <w:p>
            <w:pPr>
              <w:spacing w:after="0"/>
              <w:rPr>
                <w:sz w:val="1"/>
                <w:szCs w:val="1"/>
                <w:color w:val="auto"/>
              </w:rPr>
            </w:pPr>
          </w:p>
        </w:tc>
      </w:tr>
      <w:tr>
        <w:trPr>
          <w:trHeight w:val="234"/>
        </w:trPr>
        <w:tc>
          <w:tcPr>
            <w:tcW w:w="2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- 200 basis points</w:t>
            </w:r>
          </w:p>
        </w:tc>
        <w:tc>
          <w:tcPr>
            <w:tcW w:w="15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-5.64%</w:t>
            </w:r>
          </w:p>
        </w:tc>
        <w:tc>
          <w:tcPr>
            <w:tcW w:w="186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-10.75%</w:t>
            </w:r>
          </w:p>
        </w:tc>
        <w:tc>
          <w:tcPr>
            <w:tcW w:w="18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- 100 basis points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-4.30%</w:t>
            </w:r>
          </w:p>
        </w:tc>
        <w:tc>
          <w:tcPr>
            <w:tcW w:w="184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940" w:hanging="370"/>
        <w:spacing w:after="0"/>
        <w:tabs>
          <w:tab w:leader="none" w:pos="9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Percentage change from base scenario.</w:t>
      </w:r>
    </w:p>
    <w:p>
      <w:pPr>
        <w:spacing w:after="0" w:line="9" w:lineRule="exact"/>
        <w:rPr>
          <w:rFonts w:ascii="Times New Roman" w:cs="Times New Roman" w:eastAsia="Times New Roman" w:hAnsi="Times New Roman"/>
          <w:sz w:val="16"/>
          <w:szCs w:val="16"/>
          <w:color w:val="auto"/>
        </w:rPr>
      </w:pPr>
    </w:p>
    <w:p>
      <w:pPr>
        <w:ind w:left="940" w:hanging="370"/>
        <w:spacing w:after="0"/>
        <w:tabs>
          <w:tab w:leader="none" w:pos="9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Policy at December 31, 2021.</w:t>
      </w:r>
    </w:p>
    <w:p>
      <w:pPr>
        <w:spacing w:after="0" w:line="199" w:lineRule="exact"/>
        <w:rPr>
          <w:sz w:val="20"/>
          <w:szCs w:val="20"/>
          <w:color w:val="auto"/>
        </w:rPr>
      </w:pPr>
    </w:p>
    <w:p>
      <w:pPr>
        <w:ind w:right="60" w:firstLine="469"/>
        <w:spacing w:after="0" w:line="245" w:lineRule="auto"/>
        <w:rPr>
          <w:sz w:val="20"/>
          <w:szCs w:val="20"/>
          <w:color w:val="auto"/>
        </w:rPr>
      </w:pPr>
      <w:r>
        <w:rPr>
          <w:rFonts w:ascii="Times New Roman" w:cs="Times New Roman" w:eastAsia="Times New Roman" w:hAnsi="Times New Roman"/>
          <w:sz w:val="18"/>
          <w:szCs w:val="18"/>
          <w:color w:val="auto"/>
        </w:rPr>
        <w:t>Based on our current simulation models, we believe that the interest rate risk profile of the balance sheet is asset sensitive over both a one-year and a two-year horizon. The estimated sensitivity does not necessarily represent a forecast and the results may not be indicative of actual changes to our net interest income. These estimates are based upon a number of assumptions including: the nature and timing of interest rate levels including yield curve shape, re-pricing characteristics and balance fluctuations of deposits with indeterminate or non-contractual maturities, prepayments on loans and securities, pricing strategies on loans and deposits, and replacement of asset and liability cash flows. While the assumptions used are based on current economic and local market conditions, there is no assurance as to the predictive nature of these conditions including how customer preferences or competitor influences might change.</w:t>
      </w:r>
    </w:p>
    <w:p>
      <w:pPr>
        <w:spacing w:after="0" w:line="181" w:lineRule="exact"/>
        <w:rPr>
          <w:sz w:val="20"/>
          <w:szCs w:val="20"/>
          <w:color w:val="auto"/>
        </w:rPr>
      </w:pPr>
    </w:p>
    <w:p>
      <w:pPr>
        <w:ind w:right="140" w:firstLine="469"/>
        <w:spacing w:after="0" w:line="243" w:lineRule="auto"/>
        <w:rPr>
          <w:sz w:val="20"/>
          <w:szCs w:val="20"/>
          <w:color w:val="auto"/>
        </w:rPr>
      </w:pPr>
      <w:r>
        <w:rPr>
          <w:rFonts w:ascii="Times New Roman" w:cs="Times New Roman" w:eastAsia="Times New Roman" w:hAnsi="Times New Roman"/>
          <w:sz w:val="18"/>
          <w:szCs w:val="18"/>
          <w:color w:val="auto"/>
        </w:rPr>
        <w:t>We also perform valuation analysis, which incorporates all cash flows over the estimated remaining life of all material balance sheet and derivative positions. The valuation of the balance sheet, at a point in time, is defined as the discounted present value of all asset cash flows and derivative cash flows minus the discounted present value of all liability cash flows, the net of which is referred to as EVE. The sensitivity of EVE to changes in the level of interest rates is a measure of the longer-term re-pricing risk and options risk embedded in the balance sheet. EVE uses instantaneous changes in rates, as shown in the table below. Assumptions about the timing and variability of balance sheet cash flows are critical in the EVE analysis. Particularly important are the assumptions driving prepayments and the expected duration and pricing of the indeterminate deposit portfolios. EVE sensitivity is reported in both upward and downward rate shocks. At September 30, 2022 and December 31, 2021, the EVE profile indicates a decline in net balance sheet value due to instantaneous downward changes in rates, compared to an increase resulting from an increase in rates.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Value of Equity Sensitivity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Instantaneous Rate Change</w:t>
            </w:r>
          </w:p>
        </w:tc>
        <w:tc>
          <w:tcPr>
            <w:tcW w:w="29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300" w:type="dxa"/>
            <w:vAlign w:val="bottom"/>
          </w:tcPr>
          <w:p>
            <w:pPr>
              <w:spacing w:after="0"/>
              <w:rPr>
                <w:sz w:val="19"/>
                <w:szCs w:val="19"/>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42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 bp decrease in interest rates</w:t>
            </w:r>
          </w:p>
        </w:tc>
        <w:tc>
          <w:tcPr>
            <w:tcW w:w="2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-13.5%</w:t>
            </w:r>
          </w:p>
        </w:tc>
        <w:tc>
          <w:tcPr>
            <w:tcW w:w="30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100 bp decrease in interest rates</w:t>
            </w:r>
          </w:p>
        </w:tc>
        <w:tc>
          <w:tcPr>
            <w:tcW w:w="2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8"/>
              </w:rPr>
              <w:t>-5.0%</w:t>
            </w:r>
          </w:p>
        </w:tc>
        <w:tc>
          <w:tcPr>
            <w:tcW w:w="3140" w:type="dxa"/>
            <w:vAlign w:val="bottom"/>
            <w:gridSpan w:val="2"/>
            <w:shd w:val="clear" w:color="auto" w:fill="CFF0FC"/>
          </w:tcPr>
          <w:p>
            <w:pPr>
              <w:jc w:val="center"/>
              <w:ind w:left="219"/>
              <w:spacing w:after="0"/>
              <w:rPr>
                <w:sz w:val="20"/>
                <w:szCs w:val="20"/>
                <w:color w:val="auto"/>
              </w:rPr>
            </w:pPr>
            <w:r>
              <w:rPr>
                <w:rFonts w:ascii="Times New Roman" w:cs="Times New Roman" w:eastAsia="Times New Roman" w:hAnsi="Times New Roman"/>
                <w:sz w:val="16"/>
                <w:szCs w:val="16"/>
                <w:color w:val="auto"/>
              </w:rPr>
              <w:t>-14.1%</w:t>
            </w: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 bp increase in interest rates</w:t>
            </w:r>
          </w:p>
        </w:tc>
        <w:tc>
          <w:tcPr>
            <w:tcW w:w="2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0.8%</w:t>
            </w:r>
          </w:p>
        </w:tc>
        <w:tc>
          <w:tcPr>
            <w:tcW w:w="314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color w:val="auto"/>
              </w:rPr>
              <w:t>5.3%</w:t>
            </w: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200 bp increase in interest rates</w:t>
            </w:r>
          </w:p>
        </w:tc>
        <w:tc>
          <w:tcPr>
            <w:tcW w:w="2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2.2%</w:t>
            </w:r>
          </w:p>
        </w:tc>
        <w:tc>
          <w:tcPr>
            <w:tcW w:w="3140" w:type="dxa"/>
            <w:vAlign w:val="bottom"/>
            <w:gridSpan w:val="2"/>
            <w:shd w:val="clear" w:color="auto" w:fill="CFF0FC"/>
          </w:tcPr>
          <w:p>
            <w:pPr>
              <w:jc w:val="center"/>
              <w:ind w:left="199"/>
              <w:spacing w:after="0"/>
              <w:rPr>
                <w:sz w:val="20"/>
                <w:szCs w:val="20"/>
                <w:color w:val="auto"/>
              </w:rPr>
            </w:pPr>
            <w:r>
              <w:rPr>
                <w:rFonts w:ascii="Times New Roman" w:cs="Times New Roman" w:eastAsia="Times New Roman" w:hAnsi="Times New Roman"/>
                <w:sz w:val="16"/>
                <w:szCs w:val="16"/>
                <w:color w:val="auto"/>
              </w:rPr>
              <w:t>11.8%</w:t>
            </w: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300 bp increase in interest rates</w:t>
            </w:r>
          </w:p>
        </w:tc>
        <w:tc>
          <w:tcPr>
            <w:tcW w:w="2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4.6%</w:t>
            </w:r>
          </w:p>
        </w:tc>
        <w:tc>
          <w:tcPr>
            <w:tcW w:w="314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color w:val="auto"/>
              </w:rPr>
              <w:t>13.6%</w:t>
            </w: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400 bp increase in interest rates</w:t>
            </w:r>
          </w:p>
        </w:tc>
        <w:tc>
          <w:tcPr>
            <w:tcW w:w="2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6.9%</w:t>
            </w:r>
          </w:p>
        </w:tc>
        <w:tc>
          <w:tcPr>
            <w:tcW w:w="3140" w:type="dxa"/>
            <w:vAlign w:val="bottom"/>
            <w:gridSpan w:val="2"/>
            <w:shd w:val="clear" w:color="auto" w:fill="CFF0FC"/>
          </w:tcPr>
          <w:p>
            <w:pPr>
              <w:jc w:val="center"/>
              <w:ind w:left="199"/>
              <w:spacing w:after="0"/>
              <w:rPr>
                <w:sz w:val="20"/>
                <w:szCs w:val="20"/>
                <w:color w:val="auto"/>
              </w:rPr>
            </w:pPr>
            <w:r>
              <w:rPr>
                <w:rFonts w:ascii="Times New Roman" w:cs="Times New Roman" w:eastAsia="Times New Roman" w:hAnsi="Times New Roman"/>
                <w:sz w:val="16"/>
                <w:szCs w:val="16"/>
                <w:color w:val="auto"/>
              </w:rPr>
              <w:t>16.8%</w:t>
            </w:r>
          </w:p>
        </w:tc>
      </w:tr>
    </w:tbl>
    <w:p>
      <w:pPr>
        <w:spacing w:after="0" w:line="198" w:lineRule="exact"/>
        <w:rPr>
          <w:sz w:val="20"/>
          <w:szCs w:val="20"/>
          <w:color w:val="auto"/>
        </w:rPr>
      </w:pPr>
    </w:p>
    <w:p>
      <w:pPr>
        <w:jc w:val="both"/>
        <w:ind w:right="180" w:firstLine="469"/>
        <w:spacing w:after="0" w:line="250" w:lineRule="auto"/>
        <w:rPr>
          <w:sz w:val="20"/>
          <w:szCs w:val="20"/>
          <w:color w:val="auto"/>
        </w:rPr>
      </w:pPr>
      <w:r>
        <w:rPr>
          <w:rFonts w:ascii="Times New Roman" w:cs="Times New Roman" w:eastAsia="Times New Roman" w:hAnsi="Times New Roman"/>
          <w:sz w:val="18"/>
          <w:szCs w:val="18"/>
          <w:color w:val="auto"/>
        </w:rPr>
        <w:t>As EVE measures the discounted present value of cash flows over the estimated lives of instruments, the change in EVE does not directly correlate to the degree that earnings would be impacted over a shorter time horizon (i.e., the current year). Further, EVE does not take into account factors such as future balance sheet growth, changes in asset and liability mix, changes in yield curve relationships, and changing product spreads that could mitigate the adverse impact of changes in interest rates.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ind w:firstLine="360"/>
        <w:spacing w:after="0" w:line="243" w:lineRule="auto"/>
        <w:rPr>
          <w:sz w:val="20"/>
          <w:szCs w:val="20"/>
          <w:color w:val="auto"/>
        </w:rPr>
      </w:pPr>
      <w:r>
        <w:rPr>
          <w:rFonts w:ascii="Times New Roman" w:cs="Times New Roman" w:eastAsia="Times New Roman" w:hAnsi="Times New Roman"/>
          <w:sz w:val="18"/>
          <w:szCs w:val="18"/>
          <w:color w:val="auto"/>
        </w:rPr>
        <w:t xml:space="preserve">As of September 30, 2022, we had not entered into any futures, forwards, or option contracts. LIBOR is expected to be completely phased out by 2023, as such the Company continues to assess the impacts of this transition and exploring alternatives to use in place of LIBOR for various financial instruments, primarily related to our variable or adjustable rate loans and interest rate swap derivatives that are indexed to LIBOR. The Bank will use multiple alternative indices as replacements for LIBOR. For further quantitative and qualitative disclosures about market risks in our portfolio, see </w:t>
      </w:r>
      <w:r>
        <w:rPr>
          <w:rFonts w:ascii="Times New Roman" w:cs="Times New Roman" w:eastAsia="Times New Roman" w:hAnsi="Times New Roman"/>
          <w:sz w:val="18"/>
          <w:szCs w:val="18"/>
          <w:i w:val="1"/>
          <w:iCs w:val="1"/>
          <w:color w:val="auto"/>
        </w:rPr>
        <w:t>Asset/Liability Management and Interest Rate Sensitivity Management</w:t>
      </w:r>
      <w:r>
        <w:rPr>
          <w:rFonts w:ascii="Times New Roman" w:cs="Times New Roman" w:eastAsia="Times New Roman" w:hAnsi="Times New Roman"/>
          <w:sz w:val="18"/>
          <w:szCs w:val="18"/>
          <w:color w:val="auto"/>
        </w:rPr>
        <w:t>” included in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presented elsewhere in this report. This analysis should be read in conjunction with our Annual Report on Form 10-K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2021. Our analysis of market risk and market-sensitive financial information contains forward-looking statements and is subject to the disclosure at the beginning of Part I regarding such forward-looking information.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6" w:lineRule="exact"/>
        <w:rPr>
          <w:sz w:val="20"/>
          <w:szCs w:val="20"/>
          <w:color w:val="auto"/>
        </w:rPr>
      </w:pPr>
    </w:p>
    <w:p>
      <w:pPr>
        <w:ind w:right="20" w:firstLine="469"/>
        <w:spacing w:after="0" w:line="250"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of the effectiveness of the Company’s disclosure controls and procedures under the supervision and with the participation of the Chief Executive Officer, the Chief Financial Officer and other senior management of the Company. Based on the foregoing, the Company’s Chief Executive Officer and the Chief Financial Officer concluded that the Company’s disclosure controls and procedures were effective as of the end of the period covered by this report.</w:t>
      </w:r>
    </w:p>
    <w:p>
      <w:pPr>
        <w:spacing w:after="0" w:line="164" w:lineRule="exact"/>
        <w:rPr>
          <w:sz w:val="20"/>
          <w:szCs w:val="20"/>
          <w:color w:val="auto"/>
        </w:rPr>
      </w:pPr>
    </w:p>
    <w:p>
      <w:pPr>
        <w:ind w:right="440" w:firstLine="469"/>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2022, there have been no changes in our internal controls over financial reporting that have materially affected or are reasonably likely to materially affect our internal controls over financial reporting.</w:t>
      </w: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09" w:right="39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6" w:lineRule="exact"/>
        <w:rPr>
          <w:sz w:val="20"/>
          <w:szCs w:val="20"/>
          <w:color w:val="auto"/>
        </w:rPr>
      </w:pPr>
    </w:p>
    <w:p>
      <w:pPr>
        <w:jc w:val="both"/>
        <w:ind w:right="140" w:firstLine="509"/>
        <w:spacing w:after="0" w:line="244" w:lineRule="auto"/>
        <w:rPr>
          <w:sz w:val="20"/>
          <w:szCs w:val="20"/>
          <w:color w:val="auto"/>
        </w:rPr>
      </w:pPr>
      <w:r>
        <w:rPr>
          <w:rFonts w:ascii="Times New Roman" w:cs="Times New Roman" w:eastAsia="Times New Roman" w:hAnsi="Times New Roman"/>
          <w:sz w:val="18"/>
          <w:szCs w:val="18"/>
          <w:color w:val="auto"/>
        </w:rPr>
        <w:t>The Company and its subsidiaries are parties to various lawsuits, threatened lawsuits and investigations in the ordinary and non-ordinary course of business. From time to time, such lawsuits, threatened lawsuits and investigations may include, but are not limited to, actions involving securities-related claims and litigation, mergers and acquisitions litigation, employment disputes, wage-hour and labor law claims, consumer claims, regulatory compliance claims, data privacy or cybersecurity claims, check, wire and ACH presentment and fraud claims, lender liability claims, and negligence claims, some of which may be styled as “class action,” "derivative action" or other representative cases. Some of these lawsuits may be similar in nature to other lawsuits pending against the Company’s competitors.</w:t>
      </w:r>
    </w:p>
    <w:p>
      <w:pPr>
        <w:spacing w:after="0" w:line="155" w:lineRule="exact"/>
        <w:rPr>
          <w:sz w:val="20"/>
          <w:szCs w:val="20"/>
          <w:color w:val="auto"/>
        </w:rPr>
      </w:pPr>
    </w:p>
    <w:p>
      <w:pPr>
        <w:ind w:right="140" w:firstLine="509"/>
        <w:spacing w:after="0" w:line="243" w:lineRule="auto"/>
        <w:rPr>
          <w:sz w:val="20"/>
          <w:szCs w:val="20"/>
          <w:color w:val="auto"/>
        </w:rPr>
      </w:pPr>
      <w:r>
        <w:rPr>
          <w:rFonts w:ascii="Times New Roman" w:cs="Times New Roman" w:eastAsia="Times New Roman" w:hAnsi="Times New Roman"/>
          <w:sz w:val="18"/>
          <w:szCs w:val="18"/>
          <w:color w:val="auto"/>
        </w:rPr>
        <w:t>For lawsuits or enforcement actions where the Company has determined that a loss is both probable and reasonably estimable, a liability representing the best estimate of the Company’s financial exposure based on known facts has been recorded in accordance with FASB guidance over loss contingencies (ASC 450). However, as a result of inherent uncertainties in judicial or regulatory interpretation and application of a myriad of laws and regulations applicable to the Company’s business, and the unique, complex factual issues presented in any given lawsuit or enforcement action, the Company often cannot determine the probability of loss or estimate the amount of damages which a plaintiff or agency might successfully prove if the Company were found to be liable. For lawsuits, threatened lawsuits or enforcement actions where a claim has been asserted or the Company has determined that it is probable that a claim will be asserted, and there is a reasonable possibility that the outcome will be unfavorable, the Company will disclose the existence of the loss contingency, even if the Company is not able to make an estimate of the possible loss or range of possible loss with respect to the action or potential action in question, unless the Company believes that the nature, potential magnitude or potential timing (if known) of the loss contingency is not reasonably likely to be material to the Company’s liquidity, consolidated financial position, and/or results of operations.</w:t>
      </w:r>
    </w:p>
    <w:p>
      <w:pPr>
        <w:spacing w:after="0" w:line="145"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7"/>
          <w:szCs w:val="17"/>
          <w:color w:val="auto"/>
        </w:rPr>
        <w:t>Our accruals and disclosures for loss contingencies are reviewed quarterly and adjusted as additional information becomes available. We disclose a loss contingency and/or the amount accrued if we believe it is reasonably likely to be material or if we believe such disclosure is necessary for our financial statements to not be misleading. If we determine that an exposure to loss exists in excess of an amount previously accrued or disclosed, we assess whether there is at least a reasonable possibility that a loss, or additional loss, may have been incurred, and we adjust our accruals and disclosures accordingly.</w:t>
      </w:r>
    </w:p>
    <w:p>
      <w:pPr>
        <w:spacing w:after="0" w:line="133"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We do not presently believe that the ultimate resolution of any lawsuits or other actions currently pending against the Company will have a material adverse effect on the Company’s results of operations, financial condition, or cash flows. The outcome of litigation and other legal and regulatory matters is inherently uncertain, however, and it is possible that one or more of the legal matters currently pending or threatened against the Company could have a material adverse effect on our results of operations, financial condition or cash flows.</w:t>
      </w:r>
    </w:p>
    <w:p>
      <w:pPr>
        <w:spacing w:after="0" w:line="13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16" w:lineRule="exact"/>
        <w:rPr>
          <w:sz w:val="20"/>
          <w:szCs w:val="20"/>
          <w:color w:val="auto"/>
        </w:rPr>
      </w:pPr>
    </w:p>
    <w:p>
      <w:pPr>
        <w:ind w:right="80" w:firstLine="469"/>
        <w:spacing w:after="0" w:line="246" w:lineRule="auto"/>
        <w:rPr>
          <w:sz w:val="20"/>
          <w:szCs w:val="20"/>
          <w:color w:val="auto"/>
        </w:rPr>
      </w:pPr>
      <w:r>
        <w:rPr>
          <w:rFonts w:ascii="Times New Roman" w:cs="Times New Roman" w:eastAsia="Times New Roman" w:hAnsi="Times New Roman"/>
          <w:sz w:val="18"/>
          <w:szCs w:val="18"/>
          <w:color w:val="auto"/>
        </w:rPr>
        <w:t>Except as discussed below there have been no material changes to the risk factors as previously disclosed in Item 1A. to Part I of our Annual Report on Form 10-K for the year ended December 31, 2021. The materiality of any risks and uncertainties identified in our Forward Looking Statements contained in this report together with those previously disclosed in the Form 10-K and any subsequent Form 10-Q or those that are presently unforeseen could result in significant adverse effects on our financial condition, results of operations and cash flows. See Item 2.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w:t>
      </w:r>
      <w:r>
        <w:rPr>
          <w:rFonts w:ascii="Times New Roman" w:cs="Times New Roman" w:eastAsia="Times New Roman" w:hAnsi="Times New Roman"/>
          <w:sz w:val="18"/>
          <w:szCs w:val="18"/>
          <w:color w:val="auto"/>
        </w:rPr>
        <w:t>” in this Quarterly Report on Form 10-Q.</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Changes in economic, market and political conditions can adversely affect our operating results and financial condition.</w:t>
      </w:r>
    </w:p>
    <w:p>
      <w:pPr>
        <w:spacing w:after="0" w:line="216" w:lineRule="exact"/>
        <w:rPr>
          <w:sz w:val="20"/>
          <w:szCs w:val="20"/>
          <w:color w:val="auto"/>
        </w:rPr>
      </w:pPr>
    </w:p>
    <w:p>
      <w:pPr>
        <w:ind w:firstLine="360"/>
        <w:spacing w:after="0" w:line="242" w:lineRule="auto"/>
        <w:rPr>
          <w:sz w:val="20"/>
          <w:szCs w:val="20"/>
          <w:color w:val="auto"/>
        </w:rPr>
      </w:pPr>
      <w:r>
        <w:rPr>
          <w:rFonts w:ascii="Times New Roman" w:cs="Times New Roman" w:eastAsia="Times New Roman" w:hAnsi="Times New Roman"/>
          <w:sz w:val="18"/>
          <w:szCs w:val="18"/>
          <w:color w:val="auto"/>
        </w:rPr>
        <w:t>We are subject to macroeconomic and interest rate risk due to domestic and global economic instability that has resulted in higher inflation than the United States has experienced in more than 40 years. Consumer price inflation remains elevated in the U.S., as well as globally. U.S. GDP grew modestly in the third quarter, after two quarters of declines. Labor force demand remains strong and the labor market continues to be very tight. The global economic impact from the geopolitical events in Europe that is contributing to rising energy and commodity prices, as well as on-going supply chain disruptions continue to contribute to inflationary pressures. As a result of inflationary pressures, interest rates have risen throughout 2022. The Federal Reserve’s Open market Committee (“FOMC”) raised the target range for the federal funds rate an additional 0.75% to 3.25% on September 21, 2022, resulting in a 3.00% cumulative year-to-date increase in the Federal Funds rate. The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72" w:name="page73"/>
    <w:bookmarkEnd w:id="72"/>
    <w:p>
      <w:pPr>
        <w:ind w:right="80"/>
        <w:spacing w:after="0" w:line="250" w:lineRule="auto"/>
        <w:rPr>
          <w:sz w:val="20"/>
          <w:szCs w:val="20"/>
          <w:color w:val="auto"/>
        </w:rPr>
      </w:pPr>
      <w:r>
        <w:rPr>
          <w:rFonts w:ascii="Times New Roman" w:cs="Times New Roman" w:eastAsia="Times New Roman" w:hAnsi="Times New Roman"/>
          <w:sz w:val="18"/>
          <w:szCs w:val="18"/>
          <w:color w:val="auto"/>
        </w:rPr>
        <w:t>Federal Reserve also announced that it will continue to reduce its holdings of Treasury and Mortgage-Backed securities. These recent increases in prevailing interest rates and the expectation that further increases are likely will impact both our customers and many aspects of our business. Higher interest rates will not only impact the interest we receive on loans and investment securities, the fair market values of such loans and investment securities, and the amount of interest we pay our depositors, but could also impact our ability to grow loans and deposits. Rising interest rates, higher commodity prices, supply chain issues and an overall slowdown in economic growth could also negatively impact our customers and our overall asset quality.</w:t>
      </w:r>
    </w:p>
    <w:p>
      <w:pPr>
        <w:spacing w:after="0" w:line="160" w:lineRule="exact"/>
        <w:rPr>
          <w:sz w:val="20"/>
          <w:szCs w:val="20"/>
          <w:color w:val="auto"/>
        </w:rPr>
      </w:pPr>
    </w:p>
    <w:p>
      <w:pPr>
        <w:ind w:right="220" w:firstLine="3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occurrence of fraudulent activity, breaches or failures of information security controls or cybersecurity-related incidents to either our information systems or information systems provided by third party vendors could have a material adverse effect on our business, financial condition and results of operations</w:t>
      </w:r>
    </w:p>
    <w:p>
      <w:pPr>
        <w:spacing w:after="0" w:line="155" w:lineRule="exact"/>
        <w:rPr>
          <w:sz w:val="20"/>
          <w:szCs w:val="20"/>
          <w:color w:val="auto"/>
        </w:rPr>
      </w:pPr>
    </w:p>
    <w:p>
      <w:pPr>
        <w:ind w:right="40" w:firstLine="360"/>
        <w:spacing w:after="0" w:line="244" w:lineRule="auto"/>
        <w:rPr>
          <w:sz w:val="20"/>
          <w:szCs w:val="20"/>
          <w:color w:val="auto"/>
        </w:rPr>
      </w:pPr>
      <w:r>
        <w:rPr>
          <w:rFonts w:ascii="Times New Roman" w:cs="Times New Roman" w:eastAsia="Times New Roman" w:hAnsi="Times New Roman"/>
          <w:sz w:val="18"/>
          <w:szCs w:val="18"/>
          <w:color w:val="auto"/>
        </w:rPr>
        <w:t>As a financial institution, we are susceptible to fraudulent activity, information security breaches and other cybersecurity-related incidents and attacks that may be committed against us, our customers or our key vendors and business partners, which in turn may result in financial losses or increased costs to us, our customers, or our key vendors and business partners, disclosure or misuse of our information or our customer information, theft or misappropriation of assets (including bank or customer funds), privacy breaches against us or our customers, litigation, regulatory enforcement action, and damage to our reputation. The U.S. government has warned financial institutions of the potential increase in the frequency and severity of malicious cyber-attacks and other activities involving critical infrastructure, specifically including the financial sector, and has encouraged the banking sector to enhance cyber-defenses, and these risks have increased in connection with the current conflict in Europe initiated by Russia against Ukraine. While CBB has taken measures to protect its own and customer funds and confidential information against cyber-attacks, as well as other malicious activities, there can be no assurance that such measures will be successful in thwarting such attacks and activities.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2" w:lineRule="exact"/>
        <w:rPr>
          <w:sz w:val="20"/>
          <w:szCs w:val="20"/>
          <w:color w:val="auto"/>
        </w:rPr>
      </w:pPr>
    </w:p>
    <w:p>
      <w:pPr>
        <w:ind w:right="20" w:firstLine="360"/>
        <w:spacing w:after="0" w:line="247" w:lineRule="auto"/>
        <w:rPr>
          <w:sz w:val="20"/>
          <w:szCs w:val="20"/>
          <w:color w:val="auto"/>
        </w:rPr>
      </w:pPr>
      <w:r>
        <w:rPr>
          <w:rFonts w:ascii="Times New Roman" w:cs="Times New Roman" w:eastAsia="Times New Roman" w:hAnsi="Times New Roman"/>
          <w:sz w:val="18"/>
          <w:szCs w:val="18"/>
          <w:color w:val="auto"/>
        </w:rPr>
        <w:t>On February 1, 2022, we announced that our Board of Directors authorized a share repurchase plan to repurchase up to 10,000,000 shares of the Company’s common stock ("2022 Repurchase Program"), including by means of (i) an initial $70 million dollar Accelerated Share Repurchase, or ASR Plan, and (ii) one or more Rule 10b5-1 plans or other appropriate buyback arrangements, including open market purchases and private transactions. During the first half of 2022, we executed on a $70 million accelerated stock repurchase program and retired 2,993,551 shares of common stock at an average price of $23.38. We also repurchased, under our 10b5-1 stock repurchase plan, 1,914,590 shares of common stock, at an average repurchase price of $23.43, totaling $44.9 million.</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provides information about repurchases of common stock by the Company during the quarter ended September 30,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tcPr>
          <w:p>
            <w:pPr>
              <w:spacing w:after="0"/>
              <w:rPr>
                <w:sz w:val="18"/>
                <w:szCs w:val="18"/>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 Purchased as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of Shares Available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30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Part of Publicly Announced Plans or</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for Repurchase Under the Plans or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80" w:type="dxa"/>
            <w:vAlign w:val="bottom"/>
            <w:tcBorders>
              <w:bottom w:val="single" w:sz="8" w:color="auto"/>
            </w:tcBorders>
            <w:vMerge w:val="continue"/>
          </w:tcPr>
          <w:p>
            <w:pPr>
              <w:spacing w:after="0"/>
              <w:rPr>
                <w:sz w:val="20"/>
                <w:szCs w:val="20"/>
                <w:color w:val="auto"/>
              </w:rPr>
            </w:pP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July 1 - 31, 2022</w:t>
            </w:r>
          </w:p>
        </w:tc>
        <w:tc>
          <w:tcPr>
            <w:tcW w:w="3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232,053</w:t>
            </w:r>
          </w:p>
        </w:tc>
        <w:tc>
          <w:tcPr>
            <w:tcW w:w="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3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5,091,859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1 - 31, 2022</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1 - 30, 2022</w:t>
            </w:r>
          </w:p>
        </w:tc>
        <w:tc>
          <w:tcPr>
            <w:tcW w:w="3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gridSpan w:val="2"/>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gridSpan w:val="2"/>
            <w:shd w:val="clear" w:color="auto" w:fill="CFF0FC"/>
          </w:tcPr>
          <w:p>
            <w:pPr>
              <w:spacing w:after="0"/>
              <w:rPr>
                <w:sz w:val="18"/>
                <w:szCs w:val="18"/>
                <w:color w:val="auto"/>
              </w:rPr>
            </w:pPr>
          </w:p>
        </w:tc>
        <w:tc>
          <w:tcPr>
            <w:tcW w:w="3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232,053</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3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5,091,859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3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-170815</wp:posOffset>
            </wp:positionV>
            <wp:extent cx="77470" cy="17145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-170815</wp:posOffset>
            </wp:positionV>
            <wp:extent cx="68580" cy="17145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40" w:type="dxa"/>
            <w:vAlign w:val="bottom"/>
          </w:tcPr>
          <w:p>
            <w:pPr>
              <w:spacing w:after="0"/>
              <w:rPr>
                <w:sz w:val="19"/>
                <w:szCs w:val="19"/>
                <w:color w:val="auto"/>
              </w:rPr>
            </w:pPr>
          </w:p>
        </w:tc>
        <w:tc>
          <w:tcPr>
            <w:tcW w:w="97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290"/>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40" w:type="dxa"/>
            <w:vAlign w:val="bottom"/>
          </w:tcPr>
          <w:p>
            <w:pPr>
              <w:spacing w:after="0"/>
              <w:rPr>
                <w:sz w:val="24"/>
                <w:szCs w:val="24"/>
                <w:color w:val="auto"/>
              </w:rPr>
            </w:pPr>
          </w:p>
        </w:tc>
        <w:tc>
          <w:tcPr>
            <w:tcW w:w="978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771">
              <w:r>
                <w:rPr>
                  <w:rFonts w:ascii="Times New Roman" w:cs="Times New Roman" w:eastAsia="Times New Roman" w:hAnsi="Times New Roman"/>
                  <w:sz w:val="18"/>
                  <w:szCs w:val="18"/>
                  <w:color w:val="0000FF"/>
                  <w:w w:val="99"/>
                </w:rPr>
                <w:t>Amended and Restated Employment Agreement by and among CVB Financial Corp. and Citizens Business Bank, on the one hand, and</w:t>
              </w:r>
            </w:hyperlink>
          </w:p>
        </w:tc>
      </w:tr>
      <w:tr>
        <w:trPr>
          <w:trHeight w:val="169"/>
        </w:trPr>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60" w:type="dxa"/>
            <w:vAlign w:val="bottom"/>
            <w:tcBorders>
              <w:bottom w:val="single" w:sz="8" w:color="0000EE"/>
            </w:tcBorders>
          </w:tcPr>
          <w:p>
            <w:pPr>
              <w:spacing w:after="0" w:line="169" w:lineRule="exact"/>
              <w:rPr>
                <w:rFonts w:ascii="Times New Roman" w:cs="Times New Roman" w:eastAsia="Times New Roman" w:hAnsi="Times New Roman"/>
                <w:sz w:val="18"/>
                <w:szCs w:val="18"/>
                <w:color w:val="0000FF"/>
              </w:rPr>
            </w:pPr>
            <w:hyperlink r:id="rId771">
              <w:r>
                <w:rPr>
                  <w:rFonts w:ascii="Times New Roman" w:cs="Times New Roman" w:eastAsia="Times New Roman" w:hAnsi="Times New Roman"/>
                  <w:sz w:val="18"/>
                  <w:szCs w:val="18"/>
                  <w:color w:val="0000FF"/>
                </w:rPr>
                <w:t>David A. Brager, on the other hand, dated July 20, 2022.† (1)</w:t>
              </w:r>
            </w:hyperlink>
          </w:p>
        </w:tc>
        <w:tc>
          <w:tcPr>
            <w:tcW w:w="5320" w:type="dxa"/>
            <w:vAlign w:val="bottom"/>
            <w:gridSpan w:val="2"/>
          </w:tcPr>
          <w:p>
            <w:pPr>
              <w:spacing w:after="0"/>
              <w:rPr>
                <w:sz w:val="14"/>
                <w:szCs w:val="14"/>
                <w:color w:val="auto"/>
              </w:rPr>
            </w:pPr>
          </w:p>
        </w:tc>
      </w:tr>
      <w:tr>
        <w:trPr>
          <w:trHeight w:val="196"/>
        </w:trPr>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31.1</w:t>
            </w:r>
          </w:p>
        </w:tc>
        <w:tc>
          <w:tcPr>
            <w:tcW w:w="240" w:type="dxa"/>
            <w:vAlign w:val="bottom"/>
          </w:tcPr>
          <w:p>
            <w:pPr>
              <w:spacing w:after="0"/>
              <w:rPr>
                <w:sz w:val="17"/>
                <w:szCs w:val="17"/>
                <w:color w:val="auto"/>
              </w:rPr>
            </w:pPr>
          </w:p>
        </w:tc>
        <w:tc>
          <w:tcPr>
            <w:tcW w:w="9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r>
              <w:rPr>
                <w:rFonts w:ascii="Times New Roman" w:cs="Times New Roman" w:eastAsia="Times New Roman" w:hAnsi="Times New Roman"/>
                <w:sz w:val="18"/>
                <w:szCs w:val="18"/>
                <w:color w:val="000000"/>
              </w:rPr>
              <w:t>*</w:t>
            </w: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160" w:type="dxa"/>
            <w:vAlign w:val="bottom"/>
            <w:tcBorders>
              <w:right w:val="single" w:sz="8" w:color="0000FF"/>
            </w:tcBorders>
            <w:gridSpan w:val="2"/>
            <w:shd w:val="clear" w:color="auto" w:fill="0000FF"/>
          </w:tcPr>
          <w:p>
            <w:pPr>
              <w:spacing w:after="0" w:line="20" w:lineRule="exact"/>
              <w:rPr>
                <w:sz w:val="1"/>
                <w:szCs w:val="1"/>
                <w:color w:val="auto"/>
              </w:rPr>
            </w:pPr>
          </w:p>
        </w:tc>
        <w:tc>
          <w:tcPr>
            <w:tcW w:w="2620" w:type="dxa"/>
            <w:vAlign w:val="bottom"/>
            <w:tcBorders>
              <w:left w:val="single" w:sz="8" w:color="0000EE"/>
            </w:tcBorders>
          </w:tcPr>
          <w:p>
            <w:pPr>
              <w:spacing w:after="0" w:line="20" w:lineRule="exact"/>
              <w:rPr>
                <w:sz w:val="1"/>
                <w:szCs w:val="1"/>
                <w:color w:val="auto"/>
              </w:rPr>
            </w:pPr>
          </w:p>
        </w:tc>
      </w:tr>
      <w:tr>
        <w:trPr>
          <w:trHeight w:val="196"/>
        </w:trPr>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31.2</w:t>
            </w:r>
          </w:p>
        </w:tc>
        <w:tc>
          <w:tcPr>
            <w:tcW w:w="240" w:type="dxa"/>
            <w:vAlign w:val="bottom"/>
          </w:tcPr>
          <w:p>
            <w:pPr>
              <w:spacing w:after="0"/>
              <w:rPr>
                <w:sz w:val="17"/>
                <w:szCs w:val="17"/>
                <w:color w:val="auto"/>
              </w:rPr>
            </w:pPr>
          </w:p>
        </w:tc>
        <w:tc>
          <w:tcPr>
            <w:tcW w:w="9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r>
              <w:rPr>
                <w:rFonts w:ascii="Times New Roman" w:cs="Times New Roman" w:eastAsia="Times New Roman" w:hAnsi="Times New Roman"/>
                <w:sz w:val="18"/>
                <w:szCs w:val="18"/>
                <w:color w:val="000000"/>
              </w:rPr>
              <w:t>*</w:t>
            </w: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160" w:type="dxa"/>
            <w:vAlign w:val="bottom"/>
            <w:tcBorders>
              <w:right w:val="single" w:sz="8" w:color="0000EE"/>
            </w:tcBorders>
            <w:gridSpan w:val="2"/>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32.1</w:t>
            </w:r>
          </w:p>
        </w:tc>
        <w:tc>
          <w:tcPr>
            <w:tcW w:w="240" w:type="dxa"/>
            <w:vAlign w:val="bottom"/>
          </w:tcPr>
          <w:p>
            <w:pPr>
              <w:spacing w:after="0"/>
              <w:rPr>
                <w:sz w:val="17"/>
                <w:szCs w:val="17"/>
                <w:color w:val="auto"/>
              </w:rPr>
            </w:pPr>
          </w:p>
        </w:tc>
        <w:tc>
          <w:tcPr>
            <w:tcW w:w="9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r>
              <w:rPr>
                <w:rFonts w:ascii="Times New Roman" w:cs="Times New Roman" w:eastAsia="Times New Roman" w:hAnsi="Times New Roman"/>
                <w:sz w:val="18"/>
                <w:szCs w:val="18"/>
                <w:color w:val="000000"/>
              </w:rPr>
              <w:t>**</w:t>
            </w: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160" w:type="dxa"/>
            <w:vAlign w:val="bottom"/>
            <w:tcBorders>
              <w:right w:val="single" w:sz="8" w:color="0000FF"/>
            </w:tcBorders>
            <w:gridSpan w:val="2"/>
            <w:shd w:val="clear" w:color="auto" w:fill="0000FF"/>
          </w:tcPr>
          <w:p>
            <w:pPr>
              <w:spacing w:after="0" w:line="20" w:lineRule="exact"/>
              <w:rPr>
                <w:sz w:val="1"/>
                <w:szCs w:val="1"/>
                <w:color w:val="auto"/>
              </w:rPr>
            </w:pPr>
          </w:p>
        </w:tc>
        <w:tc>
          <w:tcPr>
            <w:tcW w:w="2620" w:type="dxa"/>
            <w:vAlign w:val="bottom"/>
            <w:tcBorders>
              <w:left w:val="single" w:sz="8" w:color="0000EE"/>
            </w:tcBorders>
          </w:tcPr>
          <w:p>
            <w:pPr>
              <w:spacing w:after="0" w:line="20" w:lineRule="exact"/>
              <w:rPr>
                <w:sz w:val="1"/>
                <w:szCs w:val="1"/>
                <w:color w:val="auto"/>
              </w:rPr>
            </w:pPr>
          </w:p>
        </w:tc>
      </w:tr>
      <w:tr>
        <w:trPr>
          <w:trHeight w:val="196"/>
        </w:trPr>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32.2</w:t>
            </w:r>
          </w:p>
        </w:tc>
        <w:tc>
          <w:tcPr>
            <w:tcW w:w="240" w:type="dxa"/>
            <w:vAlign w:val="bottom"/>
          </w:tcPr>
          <w:p>
            <w:pPr>
              <w:spacing w:after="0"/>
              <w:rPr>
                <w:sz w:val="17"/>
                <w:szCs w:val="17"/>
                <w:color w:val="auto"/>
              </w:rPr>
            </w:pPr>
          </w:p>
        </w:tc>
        <w:tc>
          <w:tcPr>
            <w:tcW w:w="9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906 of the Sarbanes-Oxley Act of 2002</w:t>
            </w:r>
            <w:r>
              <w:rPr>
                <w:rFonts w:ascii="Times New Roman" w:cs="Times New Roman" w:eastAsia="Times New Roman" w:hAnsi="Times New Roman"/>
                <w:sz w:val="18"/>
                <w:szCs w:val="18"/>
                <w:color w:val="000000"/>
              </w:rPr>
              <w:t>**</w:t>
            </w: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160" w:type="dxa"/>
            <w:vAlign w:val="bottom"/>
            <w:tcBorders>
              <w:right w:val="single" w:sz="8" w:color="0000EE"/>
            </w:tcBorders>
            <w:gridSpan w:val="2"/>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1"/>
        </w:trPr>
        <w:tc>
          <w:tcPr>
            <w:tcW w:w="11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101.INS</w:t>
            </w:r>
          </w:p>
        </w:tc>
        <w:tc>
          <w:tcPr>
            <w:tcW w:w="240" w:type="dxa"/>
            <w:vAlign w:val="bottom"/>
          </w:tcPr>
          <w:p>
            <w:pPr>
              <w:spacing w:after="0"/>
              <w:rPr>
                <w:sz w:val="16"/>
                <w:szCs w:val="16"/>
                <w:color w:val="auto"/>
              </w:rPr>
            </w:pPr>
          </w:p>
        </w:tc>
        <w:tc>
          <w:tcPr>
            <w:tcW w:w="978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16"/>
        </w:trPr>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240" w:type="dxa"/>
            <w:vAlign w:val="bottom"/>
          </w:tcPr>
          <w:p>
            <w:pPr>
              <w:spacing w:after="0"/>
              <w:rPr>
                <w:sz w:val="18"/>
                <w:szCs w:val="18"/>
                <w:color w:val="auto"/>
              </w:rPr>
            </w:pPr>
          </w:p>
        </w:tc>
        <w:tc>
          <w:tcPr>
            <w:tcW w:w="9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101.CAL</w:t>
            </w:r>
          </w:p>
        </w:tc>
        <w:tc>
          <w:tcPr>
            <w:tcW w:w="240" w:type="dxa"/>
            <w:vAlign w:val="bottom"/>
          </w:tcPr>
          <w:p>
            <w:pPr>
              <w:spacing w:after="0"/>
              <w:rPr>
                <w:sz w:val="18"/>
                <w:szCs w:val="18"/>
                <w:color w:val="auto"/>
              </w:rPr>
            </w:pPr>
          </w:p>
        </w:tc>
        <w:tc>
          <w:tcPr>
            <w:tcW w:w="9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240" w:type="dxa"/>
            <w:vAlign w:val="bottom"/>
          </w:tcPr>
          <w:p>
            <w:pPr>
              <w:spacing w:after="0"/>
              <w:rPr>
                <w:sz w:val="18"/>
                <w:szCs w:val="18"/>
                <w:color w:val="auto"/>
              </w:rPr>
            </w:pPr>
          </w:p>
        </w:tc>
        <w:tc>
          <w:tcPr>
            <w:tcW w:w="9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101.LAB</w:t>
            </w:r>
          </w:p>
        </w:tc>
        <w:tc>
          <w:tcPr>
            <w:tcW w:w="240" w:type="dxa"/>
            <w:vAlign w:val="bottom"/>
          </w:tcPr>
          <w:p>
            <w:pPr>
              <w:spacing w:after="0"/>
              <w:rPr>
                <w:sz w:val="18"/>
                <w:szCs w:val="18"/>
                <w:color w:val="auto"/>
              </w:rPr>
            </w:pPr>
          </w:p>
        </w:tc>
        <w:tc>
          <w:tcPr>
            <w:tcW w:w="9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101.PRE</w:t>
            </w:r>
          </w:p>
        </w:tc>
        <w:tc>
          <w:tcPr>
            <w:tcW w:w="240" w:type="dxa"/>
            <w:vAlign w:val="bottom"/>
          </w:tcPr>
          <w:p>
            <w:pPr>
              <w:spacing w:after="0"/>
              <w:rPr>
                <w:sz w:val="20"/>
                <w:szCs w:val="20"/>
                <w:color w:val="auto"/>
              </w:rPr>
            </w:pPr>
          </w:p>
        </w:tc>
        <w:tc>
          <w:tcPr>
            <w:tcW w:w="9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ind w:left="1440" w:right="120" w:hanging="966"/>
        <w:spacing w:after="0" w:line="234" w:lineRule="auto"/>
        <w:tabs>
          <w:tab w:leader="none" w:pos="14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September 30, 2022, has been formatted in Inline XBRL.</w:t>
      </w:r>
    </w:p>
    <w:p>
      <w:pPr>
        <w:spacing w:after="0" w:line="172"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Filed herewith</w:t>
      </w:r>
    </w:p>
    <w:p>
      <w:pPr>
        <w:spacing w:after="0" w:line="27" w:lineRule="exact"/>
        <w:rPr>
          <w:rFonts w:ascii="Times New Roman" w:cs="Times New Roman" w:eastAsia="Times New Roman" w:hAnsi="Times New Roman"/>
          <w:sz w:val="18"/>
          <w:szCs w:val="18"/>
          <w:color w:val="auto"/>
        </w:rPr>
      </w:pPr>
    </w:p>
    <w:p>
      <w:pPr>
        <w:ind w:left="1680" w:hanging="1339"/>
        <w:spacing w:after="0" w:line="227" w:lineRule="auto"/>
        <w:tabs>
          <w:tab w:leader="none" w:pos="1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237426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2">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ind w:left="1680" w:hanging="1339"/>
        <w:spacing w:after="0"/>
        <w:tabs>
          <w:tab w:leader="none" w:pos="1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Indicates a management contract or compensation plan</w:t>
      </w:r>
    </w:p>
    <w:p>
      <w:pPr>
        <w:spacing w:after="0" w:line="20" w:lineRule="exact"/>
        <w:rPr>
          <w:sz w:val="20"/>
          <w:szCs w:val="20"/>
          <w:color w:val="auto"/>
        </w:rPr>
      </w:pPr>
    </w:p>
    <w:p>
      <w:pPr>
        <w:ind w:left="1680" w:hanging="1429"/>
        <w:spacing w:after="0"/>
        <w:tabs>
          <w:tab w:leader="none" w:pos="16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herein by reference to Exhibit 10.1 to our Form 8-K filed with the SEC on July 21, 2022</w:t>
      </w:r>
    </w:p>
    <w:p>
      <w:pPr>
        <w:spacing w:after="0" w:line="200" w:lineRule="exact"/>
        <w:rPr>
          <w:rFonts w:ascii="Times New Roman" w:cs="Times New Roman" w:eastAsia="Times New Roman" w:hAnsi="Times New Roman"/>
          <w:sz w:val="16"/>
          <w:szCs w:val="16"/>
          <w:color w:val="auto"/>
        </w:rPr>
      </w:pPr>
    </w:p>
    <w:p>
      <w:pPr>
        <w:spacing w:after="0" w:line="218"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18" w:lineRule="exact"/>
        <w:rPr>
          <w:sz w:val="20"/>
          <w:szCs w:val="20"/>
          <w:color w:val="auto"/>
        </w:rPr>
      </w:pPr>
    </w:p>
    <w:p>
      <w:pPr>
        <w:ind w:firstLine="46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u w:val="single" w:color="auto"/>
          <w:color w:val="auto"/>
        </w:rPr>
        <w:t>CVB FINANCIAL CORP.</w:t>
      </w:r>
    </w:p>
    <w:p>
      <w:pPr>
        <w:spacing w:after="0" w:line="1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(Registrant)</w:t>
      </w: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9, 2022</w:t>
      </w:r>
    </w:p>
    <w:p>
      <w:pPr>
        <w:spacing w:after="0" w:line="19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u w:val="single" w:color="auto"/>
          <w:color w:val="auto"/>
        </w:rPr>
        <w:t>/s/ E. Allen Nicholson</w:t>
      </w:r>
    </w:p>
    <w:p>
      <w:pPr>
        <w:spacing w:after="0" w:line="1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E. Allen Nicholson</w:t>
      </w:r>
    </w:p>
    <w:p>
      <w:pPr>
        <w:ind w:left="58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320" w:right="7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Brager, certify that:</w:t>
      </w:r>
    </w:p>
    <w:p>
      <w:pPr>
        <w:spacing w:after="0" w:line="212"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CVB Financial Corp.;</w:t>
      </w:r>
    </w:p>
    <w:p>
      <w:pPr>
        <w:spacing w:after="0" w:line="211" w:lineRule="exact"/>
        <w:rPr>
          <w:rFonts w:ascii="Times New Roman" w:cs="Times New Roman" w:eastAsia="Times New Roman" w:hAnsi="Times New Roman"/>
          <w:sz w:val="18"/>
          <w:szCs w:val="18"/>
          <w:color w:val="auto"/>
        </w:rPr>
      </w:pPr>
    </w:p>
    <w:p>
      <w:pPr>
        <w:jc w:val="both"/>
        <w:ind w:left="760" w:right="20" w:hanging="378"/>
        <w:spacing w:after="0" w:line="258"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760" w:right="240" w:hanging="378"/>
        <w:spacing w:after="0" w:line="26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60" w:right="20" w:hanging="378"/>
        <w:spacing w:after="0" w:line="250"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8"/>
          <w:szCs w:val="18"/>
          <w:color w:val="auto"/>
        </w:rPr>
      </w:pPr>
    </w:p>
    <w:p>
      <w:pPr>
        <w:ind w:left="1500" w:right="140" w:hanging="369"/>
        <w:spacing w:after="0" w:line="250" w:lineRule="auto"/>
        <w:tabs>
          <w:tab w:leader="none" w:pos="15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8"/>
          <w:szCs w:val="18"/>
          <w:color w:val="auto"/>
        </w:rPr>
      </w:pPr>
    </w:p>
    <w:p>
      <w:pPr>
        <w:ind w:left="1500" w:right="200" w:hanging="369"/>
        <w:spacing w:after="0" w:line="250" w:lineRule="auto"/>
        <w:tabs>
          <w:tab w:leader="none" w:pos="15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1500" w:right="40" w:hanging="369"/>
        <w:spacing w:after="0" w:line="258" w:lineRule="auto"/>
        <w:tabs>
          <w:tab w:leader="none" w:pos="15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760" w:right="180" w:hanging="378"/>
        <w:spacing w:after="0" w:line="26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500" w:right="260" w:hanging="369"/>
        <w:spacing w:after="0" w:line="266" w:lineRule="auto"/>
        <w:tabs>
          <w:tab w:leader="none" w:pos="15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500" w:right="560" w:hanging="369"/>
        <w:spacing w:after="0" w:line="266" w:lineRule="auto"/>
        <w:tabs>
          <w:tab w:leader="none" w:pos="15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9, 2022</w:t>
            </w:r>
          </w:p>
        </w:tc>
        <w:tc>
          <w:tcPr>
            <w:tcW w:w="26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A. Brager</w:t>
            </w:r>
          </w:p>
        </w:tc>
      </w:tr>
      <w:tr>
        <w:trPr>
          <w:trHeight w:val="178"/>
        </w:trPr>
        <w:tc>
          <w:tcPr>
            <w:tcW w:w="54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420" w:type="dxa"/>
            <w:vAlign w:val="bottom"/>
            <w:tcBorders>
              <w:top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David A. Brager</w:t>
            </w:r>
          </w:p>
        </w:tc>
        <w:tc>
          <w:tcPr>
            <w:tcW w:w="3040" w:type="dxa"/>
            <w:vAlign w:val="bottom"/>
          </w:tcPr>
          <w:p>
            <w:pPr>
              <w:spacing w:after="0"/>
              <w:rPr>
                <w:sz w:val="15"/>
                <w:szCs w:val="15"/>
                <w:color w:val="auto"/>
              </w:rPr>
            </w:pPr>
          </w:p>
        </w:tc>
      </w:tr>
      <w:tr>
        <w:trPr>
          <w:trHeight w:val="234"/>
        </w:trPr>
        <w:tc>
          <w:tcPr>
            <w:tcW w:w="5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533"/>
        </w:trPr>
        <w:tc>
          <w:tcPr>
            <w:tcW w:w="54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 Allen Nicholson, certify that:</w:t>
      </w:r>
    </w:p>
    <w:p>
      <w:pPr>
        <w:spacing w:after="0" w:line="212"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CVB Financial Corp.;</w:t>
      </w:r>
    </w:p>
    <w:p>
      <w:pPr>
        <w:spacing w:after="0" w:line="211" w:lineRule="exact"/>
        <w:rPr>
          <w:rFonts w:ascii="Times New Roman" w:cs="Times New Roman" w:eastAsia="Times New Roman" w:hAnsi="Times New Roman"/>
          <w:sz w:val="18"/>
          <w:szCs w:val="18"/>
          <w:color w:val="auto"/>
        </w:rPr>
      </w:pPr>
    </w:p>
    <w:p>
      <w:pPr>
        <w:jc w:val="both"/>
        <w:ind w:left="760" w:right="20" w:hanging="378"/>
        <w:spacing w:after="0" w:line="258"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760" w:right="240" w:hanging="378"/>
        <w:spacing w:after="0" w:line="266"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60" w:right="20" w:hanging="378"/>
        <w:spacing w:after="0" w:line="250"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8"/>
          <w:szCs w:val="18"/>
          <w:color w:val="auto"/>
        </w:rPr>
      </w:pPr>
    </w:p>
    <w:p>
      <w:pPr>
        <w:ind w:left="1500" w:right="140" w:hanging="369"/>
        <w:spacing w:after="0" w:line="250" w:lineRule="auto"/>
        <w:tabs>
          <w:tab w:leader="none" w:pos="15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8"/>
          <w:szCs w:val="18"/>
          <w:color w:val="auto"/>
        </w:rPr>
      </w:pPr>
    </w:p>
    <w:p>
      <w:pPr>
        <w:ind w:left="1500" w:right="200" w:hanging="369"/>
        <w:spacing w:after="0" w:line="250" w:lineRule="auto"/>
        <w:tabs>
          <w:tab w:leader="none" w:pos="15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1500" w:right="40" w:hanging="369"/>
        <w:spacing w:after="0" w:line="258" w:lineRule="auto"/>
        <w:tabs>
          <w:tab w:leader="none" w:pos="15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760" w:right="180" w:hanging="378"/>
        <w:spacing w:after="0" w:line="266"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500" w:right="260" w:hanging="369"/>
        <w:spacing w:after="0" w:line="266" w:lineRule="auto"/>
        <w:tabs>
          <w:tab w:leader="none" w:pos="15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500" w:right="560" w:hanging="369"/>
        <w:spacing w:after="0" w:line="282" w:lineRule="auto"/>
        <w:tabs>
          <w:tab w:leader="none" w:pos="15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9, 2022</w:t>
            </w:r>
          </w:p>
        </w:tc>
        <w:tc>
          <w:tcPr>
            <w:tcW w:w="710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By:   /s/ E. Allen Nicholson</w:t>
            </w:r>
          </w:p>
        </w:tc>
      </w:tr>
      <w:tr>
        <w:trPr>
          <w:trHeight w:val="178"/>
        </w:trPr>
        <w:tc>
          <w:tcPr>
            <w:tcW w:w="41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600" w:type="dxa"/>
            <w:vAlign w:val="bottom"/>
            <w:tcBorders>
              <w:top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E. Allen Nicholson</w:t>
            </w:r>
          </w:p>
        </w:tc>
        <w:tc>
          <w:tcPr>
            <w:tcW w:w="2860" w:type="dxa"/>
            <w:vAlign w:val="bottom"/>
          </w:tcPr>
          <w:p>
            <w:pPr>
              <w:spacing w:after="0"/>
              <w:rPr>
                <w:sz w:val="15"/>
                <w:szCs w:val="15"/>
                <w:color w:val="auto"/>
              </w:rPr>
            </w:pPr>
          </w:p>
        </w:tc>
      </w:tr>
      <w:tr>
        <w:trPr>
          <w:trHeight w:val="234"/>
        </w:trPr>
        <w:tc>
          <w:tcPr>
            <w:tcW w:w="41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20"/>
        </w:trPr>
        <w:tc>
          <w:tcPr>
            <w:tcW w:w="414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U.S.C. SECTION 1350,</w:t>
      </w:r>
    </w:p>
    <w:p>
      <w:pP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80" w:lineRule="exact"/>
        <w:rPr>
          <w:sz w:val="20"/>
          <w:szCs w:val="20"/>
          <w:color w:val="auto"/>
        </w:rPr>
      </w:pPr>
    </w:p>
    <w:p>
      <w:pPr>
        <w:ind w:right="240" w:firstLine="374"/>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CVB Financial Corp. (the “Company”) on Form 10-Q for the period ended September 30, 2022, as filed with the Securities and Exchange Commission on the date hereof (the “Report”), I, David A. Brager, Chief Executive Officer of the Company, certify, pursuant to 18 U.S.C. § 1350, as adopted pursuant to § 906 of the Sarbanes-Oxley Act of 2002, to the best of my knowledge that:</w:t>
      </w:r>
    </w:p>
    <w:p>
      <w:pPr>
        <w:spacing w:after="0" w:line="169"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9, 2022</w:t>
            </w:r>
          </w:p>
        </w:tc>
        <w:tc>
          <w:tcPr>
            <w:tcW w:w="26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A. Brager</w:t>
            </w:r>
          </w:p>
        </w:tc>
      </w:tr>
      <w:tr>
        <w:trPr>
          <w:trHeight w:val="178"/>
        </w:trPr>
        <w:tc>
          <w:tcPr>
            <w:tcW w:w="54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420" w:type="dxa"/>
            <w:vAlign w:val="bottom"/>
            <w:tcBorders>
              <w:top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David A. Brager</w:t>
            </w:r>
          </w:p>
        </w:tc>
        <w:tc>
          <w:tcPr>
            <w:tcW w:w="3040" w:type="dxa"/>
            <w:vAlign w:val="bottom"/>
          </w:tcPr>
          <w:p>
            <w:pPr>
              <w:spacing w:after="0"/>
              <w:rPr>
                <w:sz w:val="15"/>
                <w:szCs w:val="15"/>
                <w:color w:val="auto"/>
              </w:rPr>
            </w:pPr>
          </w:p>
        </w:tc>
      </w:tr>
      <w:tr>
        <w:trPr>
          <w:trHeight w:val="234"/>
        </w:trPr>
        <w:tc>
          <w:tcPr>
            <w:tcW w:w="5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533"/>
        </w:trPr>
        <w:tc>
          <w:tcPr>
            <w:tcW w:w="54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U.S.C. SECTION 1350,</w:t>
      </w:r>
    </w:p>
    <w:p>
      <w:pP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80" w:lineRule="exact"/>
        <w:rPr>
          <w:sz w:val="20"/>
          <w:szCs w:val="20"/>
          <w:color w:val="auto"/>
        </w:rPr>
      </w:pPr>
    </w:p>
    <w:p>
      <w:pPr>
        <w:jc w:val="both"/>
        <w:ind w:right="240" w:firstLine="374"/>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CVB Financial Corp. (the “Company”) on Form 10-Q for the period ended September 30, 2022, as filed with the Securities and Exchange Commission on the date hereof (the “Report”), I, E. Allen Nicholson, Chief Financial Officer of the Company, certify, pursuant to 18 U.S.C. § 1350, as adopted pursuant to § 906 of the Sarbanes-Oxley Act of 2002, to the best of my knowledge that:</w:t>
      </w:r>
    </w:p>
    <w:p>
      <w:pPr>
        <w:spacing w:after="0" w:line="169"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9, 2022</w:t>
            </w:r>
          </w:p>
        </w:tc>
        <w:tc>
          <w:tcPr>
            <w:tcW w:w="710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By:   /s/ E. Allen Nicholson</w:t>
            </w:r>
          </w:p>
        </w:tc>
      </w:tr>
      <w:tr>
        <w:trPr>
          <w:trHeight w:val="178"/>
        </w:trPr>
        <w:tc>
          <w:tcPr>
            <w:tcW w:w="41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600" w:type="dxa"/>
            <w:vAlign w:val="bottom"/>
            <w:tcBorders>
              <w:top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E. Allen Nicholson</w:t>
            </w:r>
          </w:p>
        </w:tc>
        <w:tc>
          <w:tcPr>
            <w:tcW w:w="2860" w:type="dxa"/>
            <w:vAlign w:val="bottom"/>
          </w:tcPr>
          <w:p>
            <w:pPr>
              <w:spacing w:after="0"/>
              <w:rPr>
                <w:sz w:val="15"/>
                <w:szCs w:val="15"/>
                <w:color w:val="auto"/>
              </w:rPr>
            </w:pPr>
          </w:p>
        </w:tc>
      </w:tr>
      <w:tr>
        <w:trPr>
          <w:trHeight w:val="234"/>
        </w:trPr>
        <w:tc>
          <w:tcPr>
            <w:tcW w:w="41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33"/>
        </w:trPr>
        <w:tc>
          <w:tcPr>
            <w:tcW w:w="414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9" w:name="page80"/>
    <w:bookmarkEnd w:id="7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6"/>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8"/>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
      <w:numFmt w:val="bullet"/>
      <w:start w:val="1"/>
    </w:lvl>
    <w:lvl w:ilvl="1">
      <w:lvlJc w:val="left"/>
      <w:lvlText w:val="%2"/>
      <w:numFmt w:val="decimal"/>
      <w:start w:val="104"/>
    </w:lvl>
  </w:abstractNum>
  <w:abstractNum w:abstractNumId="21">
    <w:nsid w:val="79838CB2"/>
    <w:multiLevelType w:val="hybridMultilevel"/>
    <w:lvl w:ilvl="0">
      <w:lvlJc w:val="left"/>
      <w:lvlText w:val="**"/>
      <w:numFmt w:val="bullet"/>
      <w:start w:val="1"/>
    </w:lvl>
    <w:lvl w:ilvl="1">
      <w:lvlJc w:val="left"/>
      <w:lvlText w:val="%2"/>
      <w:numFmt w:val="decimal"/>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2" Type="http://schemas.openxmlformats.org/officeDocument/2006/relationships/image" Target="media/image764.png"/><Relationship Id="rId773" Type="http://schemas.openxmlformats.org/officeDocument/2006/relationships/image" Target="media/image765.png"/><Relationship Id="rId774" Type="http://schemas.openxmlformats.org/officeDocument/2006/relationships/image" Target="media/image766.png"/><Relationship Id="rId775" Type="http://schemas.openxmlformats.org/officeDocument/2006/relationships/image" Target="media/image767.png"/><Relationship Id="rId776" Type="http://schemas.openxmlformats.org/officeDocument/2006/relationships/image" Target="media/image768.png"/><Relationship Id="rId777" Type="http://schemas.openxmlformats.org/officeDocument/2006/relationships/image" Target="media/image769.png"/><Relationship Id="rId778" Type="http://schemas.openxmlformats.org/officeDocument/2006/relationships/image" Target="media/image770.png"/><Relationship Id="rId779" Type="http://schemas.openxmlformats.org/officeDocument/2006/relationships/image" Target="media/image771.png"/><Relationship Id="rId780" Type="http://schemas.openxmlformats.org/officeDocument/2006/relationships/image" Target="media/image772.png"/><Relationship Id="rId781" Type="http://schemas.openxmlformats.org/officeDocument/2006/relationships/image" Target="media/image773.png"/><Relationship Id="rId782" Type="http://schemas.openxmlformats.org/officeDocument/2006/relationships/image" Target="media/image774.png"/><Relationship Id="rId771" Type="http://schemas.openxmlformats.org/officeDocument/2006/relationships/hyperlink" Target="https://www.sec.gov/Archives/edgar/data/354647/000119312522199256/d38285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2022-11-10T02:16:38Z</dcterms:created>
  <dcterms:modified xsi:type="dcterms:W3CDTF">2022-11-10T02:16:38Z</dcterms:modified>
</cp:coreProperties>
</file>