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10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March 31, 2025</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38" w:lineRule="exact"/>
        <w:rPr>
          <w:sz w:val="24"/>
          <w:szCs w:val="24"/>
          <w:color w:val="auto"/>
        </w:rPr>
      </w:pPr>
    </w:p>
    <w:p>
      <w:pPr>
        <w:ind w:left="3480" w:right="2760" w:hanging="3472"/>
        <w:spacing w:after="0" w:line="271" w:lineRule="auto"/>
        <w:tabs>
          <w:tab w:leader="none" w:pos="232"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 to _____</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auto"/>
              </w:rPr>
              <w:t>Commission File Number: 000-10140</w:t>
            </w:r>
          </w:p>
        </w:tc>
        <w:tc>
          <w:tcPr>
            <w:tcW w:w="4120" w:type="dxa"/>
            <w:vAlign w:val="bottom"/>
          </w:tcPr>
          <w:p>
            <w:pPr>
              <w:spacing w:after="0"/>
              <w:rPr>
                <w:sz w:val="16"/>
                <w:szCs w:val="16"/>
                <w:color w:val="auto"/>
              </w:rPr>
            </w:pPr>
          </w:p>
        </w:tc>
      </w:tr>
      <w:tr>
        <w:trPr>
          <w:trHeight w:val="481"/>
        </w:trPr>
        <w:tc>
          <w:tcPr>
            <w:tcW w:w="3340" w:type="dxa"/>
            <w:vAlign w:val="bottom"/>
          </w:tcPr>
          <w:p>
            <w:pPr>
              <w:spacing w:after="0"/>
              <w:rPr>
                <w:sz w:val="24"/>
                <w:szCs w:val="24"/>
                <w:color w:val="auto"/>
              </w:rPr>
            </w:pPr>
          </w:p>
        </w:tc>
        <w:tc>
          <w:tcPr>
            <w:tcW w:w="7900" w:type="dxa"/>
            <w:vAlign w:val="bottom"/>
            <w:gridSpan w:val="4"/>
          </w:tcPr>
          <w:p>
            <w:pPr>
              <w:jc w:val="center"/>
              <w:ind w:right="3239"/>
              <w:spacing w:after="0"/>
              <w:rPr>
                <w:sz w:val="20"/>
                <w:szCs w:val="20"/>
                <w:color w:val="auto"/>
              </w:rPr>
            </w:pPr>
            <w:r>
              <w:rPr>
                <w:rFonts w:ascii="Times New Roman" w:cs="Times New Roman" w:eastAsia="Times New Roman" w:hAnsi="Times New Roman"/>
                <w:sz w:val="40"/>
                <w:szCs w:val="40"/>
                <w:b w:val="1"/>
                <w:bCs w:val="1"/>
                <w:color w:val="auto"/>
                <w:w w:val="99"/>
              </w:rPr>
              <w:t>CVB FINANCIAL CORP.</w:t>
            </w:r>
          </w:p>
        </w:tc>
      </w:tr>
      <w:tr>
        <w:trPr>
          <w:trHeight w:val="234"/>
        </w:trPr>
        <w:tc>
          <w:tcPr>
            <w:tcW w:w="3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99"/>
        </w:trPr>
        <w:tc>
          <w:tcPr>
            <w:tcW w:w="334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rPr>
              <w:t>95-3629339</w:t>
            </w:r>
          </w:p>
        </w:tc>
      </w:tr>
      <w:tr>
        <w:trPr>
          <w:trHeight w:val="208"/>
        </w:trPr>
        <w:tc>
          <w:tcPr>
            <w:tcW w:w="33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09"/>
        </w:trPr>
        <w:tc>
          <w:tcPr>
            <w:tcW w:w="334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701 North Haven Ave., Suite 350</w:t>
            </w:r>
          </w:p>
        </w:tc>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5"/>
        </w:trPr>
        <w:tc>
          <w:tcPr>
            <w:tcW w:w="334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Ontario, California</w:t>
            </w:r>
          </w:p>
        </w:tc>
        <w:tc>
          <w:tcPr>
            <w:tcW w:w="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91764</w:t>
            </w:r>
          </w:p>
        </w:tc>
      </w:tr>
      <w:tr>
        <w:trPr>
          <w:trHeight w:val="210"/>
        </w:trPr>
        <w:tc>
          <w:tcPr>
            <w:tcW w:w="334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97"/>
        </w:trPr>
        <w:tc>
          <w:tcPr>
            <w:tcW w:w="3340" w:type="dxa"/>
            <w:vAlign w:val="bottom"/>
          </w:tcPr>
          <w:p>
            <w:pPr>
              <w:spacing w:after="0"/>
              <w:rPr>
                <w:sz w:val="24"/>
                <w:szCs w:val="24"/>
                <w:color w:val="auto"/>
              </w:rPr>
            </w:pPr>
          </w:p>
        </w:tc>
        <w:tc>
          <w:tcPr>
            <w:tcW w:w="3100" w:type="dxa"/>
            <w:vAlign w:val="bottom"/>
            <w:gridSpan w:val="2"/>
          </w:tcPr>
          <w:p>
            <w:pPr>
              <w:jc w:val="center"/>
              <w:ind w:left="1341"/>
              <w:spacing w:after="0"/>
              <w:rPr>
                <w:sz w:val="20"/>
                <w:szCs w:val="20"/>
                <w:color w:val="auto"/>
              </w:rPr>
            </w:pPr>
            <w:r>
              <w:rPr>
                <w:rFonts w:ascii="Times New Roman" w:cs="Times New Roman" w:eastAsia="Times New Roman" w:hAnsi="Times New Roman"/>
                <w:sz w:val="16"/>
                <w:szCs w:val="16"/>
                <w:b w:val="1"/>
                <w:bCs w:val="1"/>
                <w:color w:val="auto"/>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3"/>
        </w:trPr>
        <w:tc>
          <w:tcPr>
            <w:tcW w:w="3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(Registrant's telephone number,</w:t>
            </w:r>
          </w:p>
        </w:tc>
        <w:tc>
          <w:tcPr>
            <w:tcW w:w="412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including area code)</w:t>
            </w:r>
          </w:p>
        </w:tc>
        <w:tc>
          <w:tcPr>
            <w:tcW w:w="4120" w:type="dxa"/>
            <w:vAlign w:val="bottom"/>
          </w:tcPr>
          <w:p>
            <w:pPr>
              <w:spacing w:after="0"/>
              <w:rPr>
                <w:sz w:val="18"/>
                <w:szCs w:val="18"/>
                <w:color w:val="auto"/>
              </w:rPr>
            </w:pPr>
          </w:p>
        </w:tc>
      </w:tr>
      <w:tr>
        <w:trPr>
          <w:trHeight w:val="440"/>
        </w:trPr>
        <w:tc>
          <w:tcPr>
            <w:tcW w:w="7120" w:type="dxa"/>
            <w:vAlign w:val="bottom"/>
            <w:tcBorders>
              <w:bottom w:val="single" w:sz="8" w:color="auto"/>
            </w:tcBorders>
            <w:gridSpan w:val="4"/>
          </w:tcPr>
          <w:p>
            <w:pPr>
              <w:jc w:val="center"/>
              <w:ind w:right="3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197"/>
        </w:trPr>
        <w:tc>
          <w:tcPr>
            <w:tcW w:w="3340" w:type="dxa"/>
            <w:vAlign w:val="bottom"/>
            <w:tcBorders>
              <w:left w:val="single" w:sz="8" w:color="auto"/>
              <w:bottom w:val="single" w:sz="8" w:color="auto"/>
            </w:tcBorders>
          </w:tcPr>
          <w:p>
            <w:pPr>
              <w:jc w:val="center"/>
              <w:ind w:left="359"/>
              <w:spacing w:after="0" w:line="178" w:lineRule="exact"/>
              <w:rPr>
                <w:sz w:val="20"/>
                <w:szCs w:val="20"/>
                <w:color w:val="auto"/>
              </w:rPr>
            </w:pPr>
            <w:r>
              <w:rPr>
                <w:rFonts w:ascii="Times New Roman" w:cs="Times New Roman" w:eastAsia="Times New Roman" w:hAnsi="Times New Roman"/>
                <w:sz w:val="16"/>
                <w:szCs w:val="16"/>
                <w:color w:val="auto"/>
              </w:rPr>
              <w:t>Title of each class</w:t>
            </w:r>
          </w:p>
        </w:tc>
        <w:tc>
          <w:tcPr>
            <w:tcW w:w="42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rPr>
              <w:t>Trading Symbol(s)</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619"/>
              <w:spacing w:after="0" w:line="178"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3340" w:type="dxa"/>
            <w:vAlign w:val="bottom"/>
            <w:tcBorders>
              <w:left w:val="single" w:sz="8" w:color="auto"/>
              <w:bottom w:val="single" w:sz="8" w:color="auto"/>
            </w:tcBorders>
          </w:tcPr>
          <w:p>
            <w:pPr>
              <w:jc w:val="center"/>
              <w:ind w:left="359"/>
              <w:spacing w:after="0" w:line="179" w:lineRule="exact"/>
              <w:rPr>
                <w:sz w:val="20"/>
                <w:szCs w:val="20"/>
                <w:color w:val="auto"/>
              </w:rPr>
            </w:pPr>
            <w:r>
              <w:rPr>
                <w:rFonts w:ascii="Times New Roman" w:cs="Times New Roman" w:eastAsia="Times New Roman" w:hAnsi="Times New Roman"/>
                <w:sz w:val="16"/>
                <w:szCs w:val="16"/>
                <w:color w:val="auto"/>
              </w:rPr>
              <w:t>Common Stock, No Par Value</w:t>
            </w:r>
          </w:p>
        </w:tc>
        <w:tc>
          <w:tcPr>
            <w:tcW w:w="42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CVBF</w:t>
            </w:r>
          </w:p>
        </w:tc>
        <w:tc>
          <w:tcPr>
            <w:tcW w:w="680" w:type="dxa"/>
            <w:vAlign w:val="bottom"/>
            <w:tcBorders>
              <w:bottom w:val="single" w:sz="8" w:color="auto"/>
            </w:tcBorders>
          </w:tcPr>
          <w:p>
            <w:pPr>
              <w:spacing w:after="0"/>
              <w:rPr>
                <w:sz w:val="15"/>
                <w:szCs w:val="15"/>
                <w:color w:val="auto"/>
              </w:rPr>
            </w:pPr>
          </w:p>
        </w:tc>
        <w:tc>
          <w:tcPr>
            <w:tcW w:w="4120" w:type="dxa"/>
            <w:vAlign w:val="bottom"/>
            <w:tcBorders>
              <w:bottom w:val="single" w:sz="8" w:color="auto"/>
              <w:right w:val="single" w:sz="8" w:color="auto"/>
            </w:tcBorders>
          </w:tcPr>
          <w:p>
            <w:pPr>
              <w:jc w:val="center"/>
              <w:ind w:right="619"/>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9"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69"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of the registrant: 137,804,604 outstanding as of May 01,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8"/>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w:t>
            </w:r>
          </w:p>
        </w:tc>
        <w:tc>
          <w:tcPr>
            <w:tcW w:w="420" w:type="dxa"/>
            <w:vAlign w:val="bottom"/>
          </w:tcPr>
          <w:p>
            <w:pPr>
              <w:spacing w:after="0"/>
              <w:rPr>
                <w:sz w:val="24"/>
                <w:szCs w:val="24"/>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 (UNAUDITED)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OPERATIONS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CRITICAL ACCOUNTING POLICIES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ANALYSIS OF THE RESULTS OF OPERATIONS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ANALYSIS OF FINANCIAL CONDITION</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ASSET/LIABILITY AND MARKET RISK MANAGEMENT</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 –</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2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980" w:type="dxa"/>
            <w:vAlign w:val="bottom"/>
            <w:tcBorders>
              <w:left w:val="single" w:sz="8" w:color="0000FF"/>
            </w:tcBorders>
            <w:gridSpan w:val="11"/>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SIGNATURES</w:t>
            </w:r>
          </w:p>
        </w:tc>
        <w:tc>
          <w:tcPr>
            <w:tcW w:w="4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4960" w:type="dxa"/>
            <w:vAlign w:val="bottom"/>
            <w:gridSpan w:val="13"/>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 –</w:t>
      </w:r>
      <w:r>
        <w:rPr>
          <w:sz w:val="20"/>
          <w:szCs w:val="20"/>
          <w:color w:val="auto"/>
        </w:rPr>
        <w:tab/>
      </w:r>
      <w:r>
        <w:rPr>
          <w:rFonts w:ascii="Times New Roman" w:cs="Times New Roman" w:eastAsia="Times New Roman" w:hAnsi="Times New Roman"/>
          <w:sz w:val="17"/>
          <w:szCs w:val="17"/>
          <w:b w:val="1"/>
          <w:bCs w:val="1"/>
          <w:color w:val="auto"/>
        </w:rPr>
        <w:t>FINANCIAL INFORMATION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14" w:lineRule="exact"/>
        <w:rPr>
          <w:sz w:val="20"/>
          <w:szCs w:val="20"/>
          <w:color w:val="auto"/>
        </w:rPr>
      </w:pPr>
    </w:p>
    <w:p>
      <w:pPr>
        <w:ind w:right="40" w:firstLine="469"/>
        <w:spacing w:after="0" w:line="252" w:lineRule="auto"/>
        <w:rPr>
          <w:sz w:val="20"/>
          <w:szCs w:val="20"/>
          <w:color w:val="auto"/>
        </w:rPr>
      </w:pPr>
      <w:r>
        <w:rPr>
          <w:rFonts w:ascii="Times New Roman" w:cs="Times New Roman" w:eastAsia="Times New Roman" w:hAnsi="Times New Roman"/>
          <w:sz w:val="17"/>
          <w:szCs w:val="17"/>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the impact of economic developments, the impact of monetary, fiscal and trade policies,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69"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7"/>
          <w:szCs w:val="17"/>
          <w:i w:val="1"/>
          <w:iCs w:val="1"/>
          <w:color w:val="auto"/>
        </w:rPr>
        <w:t>General risks and uncertainties include, but are not limited to, the following: the strength of the United States economy in general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key personnel and customers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(including low cost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our asset credit quality, business operations, and employees, as well as the impact on general economic and financial market conditions; cybersecurity threats and fraud and the cost of defending against them, including the costs of compliance with legislation or regulations to combat cybersecurity threats and fraud; our ability to recruit and retain key executives, board members and other employees, and our compliance with federal, state and local employment laws and regulations; ongoing or unanticipated regulatory or legal proceedings or outcomes; and our ability to manage the risks involved in the foregoing.</w:t>
      </w:r>
    </w:p>
    <w:p>
      <w:pPr>
        <w:spacing w:after="0" w:line="174" w:lineRule="exact"/>
        <w:rPr>
          <w:sz w:val="20"/>
          <w:szCs w:val="20"/>
          <w:color w:val="auto"/>
        </w:rPr>
      </w:pPr>
    </w:p>
    <w:p>
      <w:pPr>
        <w:ind w:firstLine="469"/>
        <w:spacing w:after="0" w:line="286" w:lineRule="auto"/>
        <w:rPr>
          <w:sz w:val="20"/>
          <w:szCs w:val="20"/>
          <w:color w:val="auto"/>
        </w:rPr>
      </w:pPr>
      <w:r>
        <w:rPr>
          <w:rFonts w:ascii="Times New Roman" w:cs="Times New Roman" w:eastAsia="Times New Roman" w:hAnsi="Times New Roman"/>
          <w:sz w:val="17"/>
          <w:szCs w:val="17"/>
          <w:i w:val="1"/>
          <w:iCs w:val="1"/>
          <w:color w:val="auto"/>
        </w:rPr>
        <w:t>Additional factors that could cause actual results to differ materially from those expressed in the forward-looking statements are discussed in the Company's 2024 Annual Report on Form 10-K filed with the SEC and available at the SEC’s Internet site (http://www.sec.gov).</w:t>
      </w:r>
    </w:p>
    <w:p>
      <w:pPr>
        <w:spacing w:after="0" w:line="142" w:lineRule="exact"/>
        <w:rPr>
          <w:sz w:val="20"/>
          <w:szCs w:val="20"/>
          <w:color w:val="auto"/>
        </w:rPr>
      </w:pPr>
    </w:p>
    <w:p>
      <w:pPr>
        <w:ind w:right="200" w:firstLine="469"/>
        <w:spacing w:after="0" w:line="258" w:lineRule="auto"/>
        <w:rPr>
          <w:sz w:val="20"/>
          <w:szCs w:val="20"/>
          <w:color w:val="auto"/>
        </w:rPr>
      </w:pPr>
      <w:r>
        <w:rPr>
          <w:rFonts w:ascii="Times New Roman" w:cs="Times New Roman" w:eastAsia="Times New Roman" w:hAnsi="Times New Roman"/>
          <w:sz w:val="17"/>
          <w:szCs w:val="17"/>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due from banks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187,981</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Interest-earning balances due from Federal Reserve</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341,108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Interest-earning balances due from depository institutions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Investment securities available-for-sale, at fair value (with amortized cost of</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$2,922,404 at March 31, 2025, and $2,997,047 at December 31, 2024)</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Investment securities held-to-maturity (with fair value of $1,965,088 at</w:t>
            </w:r>
          </w:p>
        </w:tc>
        <w:tc>
          <w:tcPr>
            <w:tcW w:w="24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2,359,141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2,379,668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March 31, 2025, and $1,954,345 at December 31, 2024)</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4,894,207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stock of Federal Home Loan Bank (FHLB)</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and lease finance receivables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8,363,632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(78,252)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(80,122)</w:t>
            </w:r>
          </w:p>
        </w:tc>
        <w:tc>
          <w:tcPr>
            <w:tcW w:w="0" w:type="dxa"/>
            <w:vAlign w:val="bottom"/>
          </w:tcPr>
          <w:p>
            <w:pPr>
              <w:spacing w:after="0"/>
              <w:rPr>
                <w:sz w:val="1"/>
                <w:szCs w:val="1"/>
                <w:color w:val="auto"/>
              </w:rPr>
            </w:pPr>
          </w:p>
        </w:tc>
      </w:tr>
      <w:tr>
        <w:trPr>
          <w:trHeight w:val="209"/>
        </w:trPr>
        <w:tc>
          <w:tcPr>
            <w:tcW w:w="76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loans and lease finance receivables</w:t>
            </w: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8,285,380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8,456,310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owned life insurance (BOLI)</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213,085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15,256,591</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Noninterest-bearing</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7,184,267</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Interest-bearing</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4,805,654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4,911,285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11,989,921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234,672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13,028,172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FF0FC"/>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authorized, 225,000,000 shares without par; issued and outstanding</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139,089,612 at March 31, 2025, and 139,690,086 at December 31, 2024</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1,280,969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1,296,881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(277,300)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(312,064)</w:t>
            </w: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2,228,419</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2,186,316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15,256,591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15,153,655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-5768340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-5768340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-4937125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-4937125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-4371340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-3256915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-2262505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-1431290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-316865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jc w:val="center"/>
              <w:ind w:left="275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4"/>
        </w:trPr>
        <w:tc>
          <w:tcPr>
            <w:tcW w:w="8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Loans and leases, including fees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109,071</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00" w:type="dxa"/>
            <w:vAlign w:val="bottom"/>
          </w:tcPr>
          <w:p>
            <w:pPr>
              <w:spacing w:after="0"/>
              <w:rPr>
                <w:sz w:val="18"/>
                <w:szCs w:val="18"/>
                <w:color w:val="auto"/>
              </w:rPr>
            </w:pPr>
          </w:p>
        </w:tc>
      </w:tr>
      <w:tr>
        <w:trPr>
          <w:trHeight w:val="216"/>
        </w:trPr>
        <w:tc>
          <w:tcPr>
            <w:tcW w:w="8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00" w:type="dxa"/>
            <w:vAlign w:val="bottom"/>
          </w:tcPr>
          <w:p>
            <w:pPr>
              <w:spacing w:after="0"/>
              <w:rPr>
                <w:sz w:val="18"/>
                <w:szCs w:val="18"/>
                <w:color w:val="auto"/>
              </w:rPr>
            </w:pPr>
          </w:p>
        </w:tc>
      </w:tr>
      <w:tr>
        <w:trPr>
          <w:trHeight w:val="209"/>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Dividends from FHLB stock</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deposits with other institutions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Pr>
          <w:p>
            <w:pPr>
              <w:spacing w:after="0"/>
              <w:rPr>
                <w:sz w:val="18"/>
                <w:szCs w:val="18"/>
                <w:color w:val="auto"/>
              </w:rPr>
            </w:pPr>
          </w:p>
        </w:tc>
      </w:tr>
      <w:tr>
        <w:trPr>
          <w:trHeight w:val="210"/>
        </w:trPr>
        <w:tc>
          <w:tcPr>
            <w:tcW w:w="83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b w:val="1"/>
                <w:bCs w:val="1"/>
                <w:color w:val="auto"/>
              </w:rPr>
              <w:t>Total interest income</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143,002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and customer repurchase agreements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36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45,228</w:t>
            </w:r>
          </w:p>
        </w:tc>
        <w:tc>
          <w:tcPr>
            <w:tcW w:w="100" w:type="dxa"/>
            <w:vAlign w:val="bottom"/>
            <w:tcBorders>
              <w:top w:val="single" w:sz="8" w:color="CFF0FC"/>
            </w:tcBorders>
          </w:tcPr>
          <w:p>
            <w:pPr>
              <w:spacing w:after="0"/>
              <w:rPr>
                <w:sz w:val="18"/>
                <w:szCs w:val="18"/>
                <w:color w:val="auto"/>
              </w:rPr>
            </w:pPr>
          </w:p>
        </w:tc>
      </w:tr>
      <w:tr>
        <w:trPr>
          <w:trHeight w:val="209"/>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interest income before (recapture of) provision for credit losses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110,444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(Recapture of) provision for credit losses</w:t>
            </w:r>
          </w:p>
        </w:tc>
        <w:tc>
          <w:tcPr>
            <w:tcW w:w="4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Net interest income after (recapture of) provision for credit losses</w:t>
            </w: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112,444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Bankcard services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BOLI income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Gain on OREO, net</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8"/>
                <w:szCs w:val="18"/>
                <w:color w:val="auto"/>
              </w:rPr>
            </w:pPr>
          </w:p>
        </w:tc>
      </w:tr>
      <w:tr>
        <w:trPr>
          <w:trHeight w:val="209"/>
        </w:trPr>
        <w:tc>
          <w:tcPr>
            <w:tcW w:w="83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36,401</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Occupancy and equipment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Professional services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Computer software expense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Marketing and promotion</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unfunded loan commitments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tcPr>
          <w:p>
            <w:pPr>
              <w:spacing w:after="0"/>
              <w:rPr>
                <w:sz w:val="18"/>
                <w:szCs w:val="18"/>
                <w:color w:val="auto"/>
              </w:rPr>
            </w:pPr>
          </w:p>
        </w:tc>
      </w:tr>
      <w:tr>
        <w:trPr>
          <w:trHeight w:val="210"/>
        </w:trPr>
        <w:tc>
          <w:tcPr>
            <w:tcW w:w="83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66,803</w:t>
            </w:r>
          </w:p>
        </w:tc>
        <w:tc>
          <w:tcPr>
            <w:tcW w:w="100" w:type="dxa"/>
            <w:vAlign w:val="bottom"/>
          </w:tcPr>
          <w:p>
            <w:pPr>
              <w:spacing w:after="0"/>
              <w:rPr>
                <w:sz w:val="18"/>
                <w:szCs w:val="18"/>
                <w:color w:val="auto"/>
              </w:rPr>
            </w:pPr>
          </w:p>
        </w:tc>
      </w:tr>
      <w:tr>
        <w:trPr>
          <w:trHeight w:val="216"/>
        </w:trPr>
        <w:tc>
          <w:tcPr>
            <w:tcW w:w="8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10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(loss) on securities arising during the period, before tax</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49,360</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(17,073)</w:t>
            </w:r>
          </w:p>
        </w:tc>
      </w:tr>
      <w:tr>
        <w:trPr>
          <w:trHeight w:val="216"/>
        </w:trPr>
        <w:tc>
          <w:tcPr>
            <w:tcW w:w="8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Less: Income tax (expense) benefit related to items of other comprehensive income</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(14,596)</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shd w:val="clear" w:color="auto" w:fill="CFF0FC"/>
          </w:tcPr>
          <w:p>
            <w:pPr>
              <w:spacing w:after="0"/>
              <w:rPr>
                <w:sz w:val="18"/>
                <w:szCs w:val="18"/>
                <w:color w:val="auto"/>
              </w:rPr>
            </w:pPr>
          </w:p>
        </w:tc>
      </w:tr>
      <w:tr>
        <w:trPr>
          <w:trHeight w:val="20"/>
        </w:trPr>
        <w:tc>
          <w:tcPr>
            <w:tcW w:w="83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(11,716)</w:t>
            </w:r>
          </w:p>
        </w:tc>
      </w:tr>
      <w:tr>
        <w:trPr>
          <w:trHeight w:val="250"/>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85,868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4"/>
                <w:szCs w:val="24"/>
                <w:color w:val="auto"/>
              </w:rPr>
            </w:pPr>
          </w:p>
        </w:tc>
      </w:tr>
      <w:tr>
        <w:trPr>
          <w:trHeight w:val="216"/>
        </w:trPr>
        <w:tc>
          <w:tcPr>
            <w:tcW w:w="8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8"/>
                <w:szCs w:val="18"/>
                <w:color w:val="auto"/>
              </w:rPr>
            </w:pPr>
          </w:p>
        </w:tc>
      </w:tr>
      <w:tr>
        <w:trPr>
          <w:trHeight w:val="198"/>
        </w:trPr>
        <w:tc>
          <w:tcPr>
            <w:tcW w:w="8780" w:type="dxa"/>
            <w:vAlign w:val="bottom"/>
            <w:gridSpan w:val="2"/>
          </w:tcPr>
          <w:p>
            <w:pPr>
              <w:jc w:val="center"/>
              <w:ind w:left="2390"/>
              <w:spacing w:after="0" w:line="198" w:lineRule="exact"/>
              <w:rPr>
                <w:sz w:val="20"/>
                <w:szCs w:val="20"/>
                <w:color w:val="auto"/>
              </w:rPr>
            </w:pPr>
            <w:r>
              <w:rPr>
                <w:rFonts w:ascii="Times New Roman" w:cs="Times New Roman" w:eastAsia="Times New Roman" w:hAnsi="Times New Roman"/>
                <w:sz w:val="18"/>
                <w:szCs w:val="18"/>
                <w:color w:val="auto"/>
                <w:w w:val="99"/>
              </w:rPr>
              <w:t>See accompanying notes to the unaudited condensed consolidated financial statements.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w w:val="88"/>
              </w:rPr>
              <w:t>5</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3"/>
        </w:trPr>
        <w:tc>
          <w:tcPr>
            <w:tcW w:w="8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-6711315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-6711315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-6137275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-6137275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-5579745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-5579745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-5005705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-5005705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-3891280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-2502535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-2219325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-1499235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-1207770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-1190625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1, 2025</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139,690</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1,296,881</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1,201,499</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(312,064)</w:t>
            </w:r>
          </w:p>
        </w:tc>
        <w:tc>
          <w:tcPr>
            <w:tcW w:w="400" w:type="dxa"/>
            <w:vAlign w:val="bottom"/>
            <w:gridSpan w:val="2"/>
            <w:shd w:val="clear" w:color="auto" w:fill="CFF0FC"/>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2,186,316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(18,687)</w:t>
            </w:r>
          </w:p>
        </w:tc>
        <w:tc>
          <w:tcPr>
            <w:tcW w:w="8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(18,687)</w:t>
            </w: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plan</w:t>
            </w: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2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(27,853)</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(27,853)</w:t>
            </w:r>
          </w:p>
        </w:tc>
        <w:tc>
          <w:tcPr>
            <w:tcW w:w="0" w:type="dxa"/>
            <w:vAlign w:val="bottom"/>
          </w:tcPr>
          <w:p>
            <w:pPr>
              <w:spacing w:after="0"/>
              <w:rPr>
                <w:sz w:val="1"/>
                <w:szCs w:val="1"/>
                <w:color w:val="auto"/>
              </w:rPr>
            </w:pPr>
          </w:p>
        </w:tc>
      </w:tr>
      <w:tr>
        <w:trPr>
          <w:trHeight w:val="171"/>
        </w:trPr>
        <w:tc>
          <w:tcPr>
            <w:tcW w:w="3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($0.20 per share)</w:t>
            </w:r>
          </w:p>
        </w:tc>
        <w:tc>
          <w:tcPr>
            <w:tcW w:w="12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2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34,764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139,090</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1,280,969</w:t>
            </w:r>
          </w:p>
        </w:tc>
        <w:tc>
          <w:tcPr>
            <w:tcW w:w="28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1,224,750</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(277,300)</w:t>
            </w:r>
          </w:p>
        </w:tc>
        <w:tc>
          <w:tcPr>
            <w:tcW w:w="16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2,228,419</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January 1, 2024</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139,345</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1,288,899</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1,112,642</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(323,569)</w:t>
            </w:r>
          </w:p>
        </w:tc>
        <w:tc>
          <w:tcPr>
            <w:tcW w:w="400" w:type="dxa"/>
            <w:vAlign w:val="bottom"/>
            <w:gridSpan w:val="2"/>
            <w:shd w:val="clear" w:color="auto" w:fill="CFF0FC"/>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2,077,972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(2,573)</w:t>
            </w:r>
          </w:p>
        </w:tc>
        <w:tc>
          <w:tcPr>
            <w:tcW w:w="8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(2,573)</w:t>
            </w: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plan</w:t>
            </w: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2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(27,886)</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(27,886)</w:t>
            </w:r>
          </w:p>
        </w:tc>
        <w:tc>
          <w:tcPr>
            <w:tcW w:w="0" w:type="dxa"/>
            <w:vAlign w:val="bottom"/>
          </w:tcPr>
          <w:p>
            <w:pPr>
              <w:spacing w:after="0"/>
              <w:rPr>
                <w:sz w:val="1"/>
                <w:szCs w:val="1"/>
                <w:color w:val="auto"/>
              </w:rPr>
            </w:pPr>
          </w:p>
        </w:tc>
      </w:tr>
      <w:tr>
        <w:trPr>
          <w:trHeight w:val="171"/>
        </w:trPr>
        <w:tc>
          <w:tcPr>
            <w:tcW w:w="3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($0.20 per share)</w:t>
            </w:r>
          </w:p>
        </w:tc>
        <w:tc>
          <w:tcPr>
            <w:tcW w:w="12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2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(11,716)</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(11,716)</w:t>
            </w:r>
          </w:p>
        </w:tc>
        <w:tc>
          <w:tcPr>
            <w:tcW w:w="0" w:type="dxa"/>
            <w:vAlign w:val="bottom"/>
          </w:tcPr>
          <w:p>
            <w:pPr>
              <w:spacing w:after="0"/>
              <w:rPr>
                <w:sz w:val="1"/>
                <w:szCs w:val="1"/>
                <w:color w:val="auto"/>
              </w:rPr>
            </w:pPr>
          </w:p>
        </w:tc>
      </w:tr>
      <w:tr>
        <w:trPr>
          <w:trHeight w:val="142"/>
        </w:trPr>
        <w:tc>
          <w:tcPr>
            <w:tcW w:w="35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139,642</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1,288,755</w:t>
            </w:r>
          </w:p>
        </w:tc>
        <w:tc>
          <w:tcPr>
            <w:tcW w:w="28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1,133,355</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(335,285)</w:t>
            </w:r>
          </w:p>
        </w:tc>
        <w:tc>
          <w:tcPr>
            <w:tcW w:w="16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2,086,825</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-1199515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-1199515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-1199515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-1199515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-128270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-128270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-128270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-128270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ind w:left="520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8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dividends received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148,887</w:t>
            </w:r>
          </w:p>
        </w:tc>
        <w:tc>
          <w:tcPr>
            <w:tcW w:w="3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161,187</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 charges and other fees received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(33,242)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(23,092)</w:t>
            </w: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paid to vendors, employees and others</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(84,709)</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(71,181)</w:t>
            </w: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in interest-earning balances from depository institutions</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(2,971)</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(4,416)</w:t>
            </w: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repayment of investment securities available-for-sale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82,060</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maturity of investment securities available-for-sale</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repayment and maturity of investment securities held-to-maturity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of investment securities held-to-maturity</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(11,455)</w:t>
            </w: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equity investments</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(1,599)</w:t>
            </w: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decrease in loan and lease finance receivables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173,174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BOLI death benefit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sales of other real estate owned</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273,070</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increase in other deposits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182,120</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increase in time deposits</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(11,771)</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279,159</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(decrease) increase in other borrowings</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in customer repurchase agreements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(27,938)</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(28,030)</w:t>
            </w:r>
          </w:p>
        </w:tc>
      </w:tr>
      <w:tr>
        <w:trPr>
          <w:trHeight w:val="21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(18,687)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359,797</w:t>
            </w:r>
          </w:p>
        </w:tc>
        <w:tc>
          <w:tcPr>
            <w:tcW w:w="100" w:type="dxa"/>
            <w:vAlign w:val="bottom"/>
          </w:tcPr>
          <w:p>
            <w:pPr>
              <w:spacing w:after="0"/>
              <w:rPr>
                <w:sz w:val="18"/>
                <w:szCs w:val="18"/>
                <w:color w:val="auto"/>
              </w:rPr>
            </w:pP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668,304</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204,698</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100" w:type="dxa"/>
            <w:vAlign w:val="bottom"/>
          </w:tcPr>
          <w:p>
            <w:pPr>
              <w:spacing w:after="0"/>
              <w:rPr>
                <w:sz w:val="18"/>
                <w:szCs w:val="18"/>
                <w:color w:val="auto"/>
              </w:rPr>
            </w:pPr>
          </w:p>
        </w:tc>
      </w:tr>
      <w:tr>
        <w:trPr>
          <w:trHeight w:val="250"/>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529,089</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-3368040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-1704975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Earnings to Net Cash Provided by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3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 of other real estate owned</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(2,045)</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Increase in BOLI</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(2,831)</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(3,593)</w:t>
            </w:r>
          </w:p>
        </w:tc>
      </w:tr>
      <w:tr>
        <w:trPr>
          <w:trHeight w:val="216"/>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 securities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Accretion of discount for acquired loans, net</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(674)</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(Recapture of) provision for credit losses</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Provision for unfunded loan commitments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Valuation allowance on other real estate owned</w:t>
            </w: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Change in other assets and liabilities</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(13,397)</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shd w:val="clear" w:color="auto" w:fill="CFF0FC"/>
          </w:tcPr>
          <w:p>
            <w:pPr>
              <w:spacing w:after="0"/>
              <w:rPr>
                <w:sz w:val="18"/>
                <w:szCs w:val="18"/>
                <w:color w:val="auto"/>
              </w:rPr>
            </w:pPr>
          </w:p>
        </w:tc>
      </w:tr>
      <w:tr>
        <w:trPr>
          <w:trHeight w:val="20"/>
        </w:trPr>
        <w:tc>
          <w:tcPr>
            <w:tcW w:w="8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(9,226)</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tcPr>
          <w:p>
            <w:pPr>
              <w:spacing w:after="0"/>
              <w:rPr>
                <w:sz w:val="18"/>
                <w:szCs w:val="18"/>
                <w:color w:val="auto"/>
              </w:rPr>
            </w:pPr>
          </w:p>
        </w:tc>
      </w:tr>
      <w:tr>
        <w:trPr>
          <w:trHeight w:val="249"/>
        </w:trPr>
        <w:tc>
          <w:tcPr>
            <w:tcW w:w="8240" w:type="dxa"/>
            <w:vAlign w:val="bottom"/>
            <w:tcBorders>
              <w:bottom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-727710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-436880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-419100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left="340" w:right="24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CVB FINANCIAL CORP. AND SUBSIDIARIES NOTES TO THE CONDENSED CONSOLIDATED FINANCIAL STATEMENTS </w:t>
      </w: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w:t>
      </w:r>
    </w:p>
    <w:p>
      <w:pPr>
        <w:spacing w:after="0" w:line="229"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76"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March 31, 2025, the Bank operated 62 banking centers and three trust office locations. The Company is headquartered in the city of Ontario, California.</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months ended March 31, 2025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2024, filed with the SEC. A summary of the significant accounting policies consistently applied in the preparation of the accompanying unaudited condensed consolidated financial statements follows.</w:t>
      </w:r>
    </w:p>
    <w:p>
      <w:pPr>
        <w:spacing w:after="0" w:line="190" w:lineRule="exact"/>
        <w:rPr>
          <w:sz w:val="20"/>
          <w:szCs w:val="20"/>
          <w:color w:val="auto"/>
        </w:rPr>
      </w:pPr>
    </w:p>
    <w:p>
      <w:pPr>
        <w:ind w:right="320" w:firstLine="4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unaudited condensed consolidated financial statements and related footnote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reclassified to conform to the current presentation with no impact on previously reported net income or stockholders’ equity.</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ind w:right="260" w:firstLine="469"/>
        <w:spacing w:after="0" w:line="267" w:lineRule="auto"/>
        <w:rPr>
          <w:sz w:val="20"/>
          <w:szCs w:val="20"/>
          <w:color w:val="auto"/>
        </w:rPr>
      </w:pPr>
      <w:r>
        <w:rPr>
          <w:rFonts w:ascii="Times New Roman" w:cs="Times New Roman" w:eastAsia="Times New Roman" w:hAnsi="Times New Roman"/>
          <w:sz w:val="18"/>
          <w:szCs w:val="18"/>
          <w:color w:val="auto"/>
        </w:rPr>
        <w:t xml:space="preserve">Except as discussed below, our accounting policies are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audited consolidated financial statements included in our Annual Report on Form 10-K for the year ended December 31, 2024 as filed with the SEC (“Form 10-K”).</w:t>
      </w:r>
    </w:p>
    <w:p>
      <w:pPr>
        <w:spacing w:after="0" w:line="171"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the valuation of deferred tax assets.</w:t>
      </w:r>
    </w:p>
    <w:p>
      <w:pPr>
        <w:spacing w:after="0" w:line="142" w:lineRule="exact"/>
        <w:rPr>
          <w:sz w:val="20"/>
          <w:szCs w:val="20"/>
          <w:color w:val="auto"/>
        </w:rPr>
      </w:pPr>
    </w:p>
    <w:p>
      <w:pPr>
        <w:ind w:right="140" w:firstLine="63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Segments </w:t>
      </w:r>
      <w:r>
        <w:rPr>
          <w:rFonts w:ascii="Times New Roman" w:cs="Times New Roman" w:eastAsia="Times New Roman" w:hAnsi="Times New Roman"/>
          <w:sz w:val="18"/>
          <w:szCs w:val="18"/>
          <w:color w:val="auto"/>
        </w:rPr>
        <w:t>— We regularly assess our strategic plans, operations, reporting structures and financial information provided to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our chief operating decision maker (“CODM”), to identify our reportable segments. At March 31, 2025 and since September 30, 2018, we have operated as one reportable segment. Changes to our reportable segments are expected to be infrequent.</w:t>
      </w:r>
    </w:p>
    <w:p>
      <w:pPr>
        <w:spacing w:after="0" w:line="148" w:lineRule="exact"/>
        <w:rPr>
          <w:sz w:val="20"/>
          <w:szCs w:val="20"/>
          <w:color w:val="auto"/>
        </w:rPr>
      </w:pPr>
    </w:p>
    <w:p>
      <w:pPr>
        <w:ind w:right="40" w:firstLine="636"/>
        <w:spacing w:after="0" w:line="257" w:lineRule="auto"/>
        <w:rPr>
          <w:sz w:val="20"/>
          <w:szCs w:val="20"/>
          <w:color w:val="auto"/>
        </w:rPr>
      </w:pPr>
      <w:r>
        <w:rPr>
          <w:rFonts w:ascii="Times New Roman" w:cs="Times New Roman" w:eastAsia="Times New Roman" w:hAnsi="Times New Roman"/>
          <w:sz w:val="18"/>
          <w:szCs w:val="18"/>
          <w:color w:val="auto"/>
        </w:rPr>
        <w:t>The factors considered in making this determination included the nature of products and services offered, geographic regions in which we operate, the applicable regulatory environment, and the materiality of discrete financial information reviewed by our CODM. Through our network of banking centers, we provide relationship-based banking products, services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ind w:right="120"/>
        <w:spacing w:after="0" w:line="261" w:lineRule="auto"/>
        <w:rPr>
          <w:sz w:val="20"/>
          <w:szCs w:val="20"/>
          <w:color w:val="auto"/>
        </w:rPr>
      </w:pPr>
      <w:r>
        <w:rPr>
          <w:rFonts w:ascii="Times New Roman" w:cs="Times New Roman" w:eastAsia="Times New Roman" w:hAnsi="Times New Roman"/>
          <w:sz w:val="18"/>
          <w:szCs w:val="18"/>
          <w:color w:val="auto"/>
        </w:rPr>
        <w:t>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 Our operations are throughout the state of California.</w:t>
      </w:r>
    </w:p>
    <w:p>
      <w:pPr>
        <w:spacing w:after="0" w:line="151"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that all of its banking divisions meet the aggregation criteria of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 its current operating model is structured whereby banking divisions serve a similar base of primarily commercial clients utilizing a company-wide offering of similar products and services managed through similar processes and platforms, and therefore operates one line of business that is collectively reviewed by the CODM. The CODM regularly assesses performance of the aggregated single reporting segment and decides how to allocate resources based on net income calculated on the same basis as net income reported in the Company's consolidated statements of earnings and comprehensive income. The CODM is also regularly provided with expense information at a level consistent with that disclosed in the Company's consolidated statements of earnings and comprehensive income. No additional qualitative segment disclosures are required based on this assessment.</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10" w:name="page11"/>
    <w:bookmarkEnd w:id="1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INVESTMENT SECURITIES</w:t>
      </w:r>
    </w:p>
    <w:p>
      <w:pPr>
        <w:spacing w:after="0" w:line="229" w:lineRule="exact"/>
        <w:rPr>
          <w:sz w:val="20"/>
          <w:szCs w:val="20"/>
          <w:color w:val="auto"/>
        </w:rPr>
      </w:pPr>
    </w:p>
    <w:p>
      <w:pPr>
        <w:ind w:right="320" w:firstLine="469"/>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Total Percent</w:t>
            </w: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2,398,291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(274,693)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2,124,656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467,263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353,862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1"/>
        </w:trPr>
        <w:tc>
          <w:tcPr>
            <w:tcW w:w="3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(1)</w:t>
            </w: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vMerge w:val="continue"/>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2,922,404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(389,564)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2,535,066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510,593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416,948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603,927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504,656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617,755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454,075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412,574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 (2)</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13,155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13,155</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2,359,141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(394,535)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1,965,088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-1302385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-1302385</wp:posOffset>
            </wp:positionV>
            <wp:extent cx="128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-1302385</wp:posOffset>
            </wp:positionV>
            <wp:extent cx="128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-1302385</wp:posOffset>
            </wp:positionV>
            <wp:extent cx="93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128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28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28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93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7" w:lineRule="exact"/>
        <w:rPr>
          <w:sz w:val="20"/>
          <w:szCs w:val="20"/>
          <w:color w:val="auto"/>
        </w:rPr>
      </w:pPr>
    </w:p>
    <w:p>
      <w:pPr>
        <w:jc w:val="both"/>
        <w:ind w:left="760" w:right="60" w:hanging="378"/>
        <w:spacing w:after="0" w:line="243" w:lineRule="auto"/>
        <w:tabs>
          <w:tab w:leader="none" w:pos="7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7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Commercial Property Assessed Clean Energy ("C-PACE") bonds.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2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Holding 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Total Percent</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2,460,573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(326,376)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2,134,534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471,921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351,522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21,755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20,377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35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7"/>
                <w:szCs w:val="17"/>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1"/>
        </w:trPr>
        <w:tc>
          <w:tcPr>
            <w:tcW w:w="3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(1)</w:t>
            </w:r>
          </w:p>
        </w:tc>
        <w:tc>
          <w:tcPr>
            <w:tcW w:w="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vMerge w:val="continue"/>
            <w:shd w:val="clear" w:color="auto" w:fill="CFF0FC"/>
          </w:tcPr>
          <w:p>
            <w:pPr>
              <w:spacing w:after="0"/>
              <w:rPr>
                <w:sz w:val="19"/>
                <w:szCs w:val="19"/>
                <w:color w:val="auto"/>
              </w:rPr>
            </w:pPr>
          </w:p>
        </w:tc>
        <w:tc>
          <w:tcPr>
            <w:tcW w:w="12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2,997,047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2,542,115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514,572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408,257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614,383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(110,020)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504,363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784,059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613,938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455,199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416,332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 (2)</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7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2,379,668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(426,481)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1,954,345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-1302385</wp:posOffset>
            </wp:positionV>
            <wp:extent cx="128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-1302385</wp:posOffset>
            </wp:positionV>
            <wp:extent cx="128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-1302385</wp:posOffset>
            </wp:positionV>
            <wp:extent cx="1289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-1302385</wp:posOffset>
            </wp:positionV>
            <wp:extent cx="93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1289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1289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128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289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93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93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7" w:lineRule="exact"/>
        <w:rPr>
          <w:sz w:val="20"/>
          <w:szCs w:val="20"/>
          <w:color w:val="auto"/>
        </w:rPr>
      </w:pPr>
    </w:p>
    <w:p>
      <w:pPr>
        <w:jc w:val="both"/>
        <w:ind w:left="760" w:right="60" w:hanging="378"/>
        <w:spacing w:after="0" w:line="243" w:lineRule="auto"/>
        <w:tabs>
          <w:tab w:leader="none" w:pos="7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7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Commercial Property Assessed Clean Energy ("C-PACE") bonds.</w:t>
      </w:r>
    </w:p>
    <w:p>
      <w:pPr>
        <w:spacing w:after="0" w:line="150" w:lineRule="exact"/>
        <w:rPr>
          <w:sz w:val="20"/>
          <w:szCs w:val="20"/>
          <w:color w:val="auto"/>
        </w:rPr>
      </w:pPr>
    </w:p>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amount of interest income earned on investment securities which is fully taxable and which is exempt from regular federal income tax.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380" w:type="dxa"/>
            <w:vAlign w:val="bottom"/>
            <w:gridSpan w:val="2"/>
          </w:tcPr>
          <w:p>
            <w:pPr>
              <w:jc w:val="right"/>
              <w:ind w:right="39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Taxable</w:t>
            </w:r>
          </w:p>
        </w:tc>
        <w:tc>
          <w:tcPr>
            <w:tcW w:w="27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13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Tax-advantaged</w:t>
            </w:r>
          </w:p>
        </w:tc>
        <w:tc>
          <w:tcPr>
            <w:tcW w:w="17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income from available-for-sale securities</w:t>
            </w:r>
          </w:p>
        </w:tc>
        <w:tc>
          <w:tcPr>
            <w:tcW w:w="17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3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00" w:type="dxa"/>
            <w:vAlign w:val="bottom"/>
          </w:tcPr>
          <w:p>
            <w:pPr>
              <w:spacing w:after="0"/>
              <w:rPr>
                <w:sz w:val="18"/>
                <w:szCs w:val="18"/>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Taxable</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Tax-advantaged</w:t>
            </w:r>
          </w:p>
        </w:tc>
        <w:tc>
          <w:tcPr>
            <w:tcW w:w="17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3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17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3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tcPr>
          <w:p>
            <w:pPr>
              <w:spacing w:after="0"/>
              <w:rPr>
                <w:sz w:val="18"/>
                <w:szCs w:val="18"/>
                <w:color w:val="auto"/>
              </w:rPr>
            </w:pPr>
          </w:p>
        </w:tc>
      </w:tr>
      <w:tr>
        <w:trPr>
          <w:trHeight w:val="250"/>
        </w:trPr>
        <w:tc>
          <w:tcPr>
            <w:tcW w:w="5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interest income from investment securities</w:t>
            </w:r>
          </w:p>
        </w:tc>
        <w:tc>
          <w:tcPr>
            <w:tcW w:w="17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31,755</w:t>
            </w:r>
          </w:p>
        </w:tc>
        <w:tc>
          <w:tcPr>
            <w:tcW w:w="3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-882015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-316865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8"/>
          <w:szCs w:val="18"/>
          <w:color w:val="auto"/>
        </w:rPr>
        <w:t>Approximately 90% of the total investment securities portfolio at March 31, 2025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March 31, 2025 and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ind w:right="1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and held-to-maturity investment securities, by investment category, in an unrealized loss position for which an allowance for credit losses has not been recorded as of March 31,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3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5"/>
                <w:szCs w:val="15"/>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15"/>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85,194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1,756,443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(274,534)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1,841,637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(274,693)</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353,861</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(113,401)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353,861</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(113,401)</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19,409</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(1,470)</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85,194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2,129,713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(389,405)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2,214,907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(389,564)</w:t>
            </w:r>
          </w:p>
        </w:tc>
      </w:tr>
      <w:tr>
        <w:trPr>
          <w:trHeight w:val="383"/>
        </w:trPr>
        <w:tc>
          <w:tcPr>
            <w:tcW w:w="3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5"/>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416,948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(93,645)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416,948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(93,645)</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502,640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(99,254)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504,656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(99,271)</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617,755</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(159,636)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617,755</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(159,636)</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(2,413)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298,020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(39,569)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373,626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(41,983)</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77,622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1,835,363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(392,105)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1,912,984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(394,535)</w:t>
            </w: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6"/>
        </w:trPr>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3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5"/>
                <w:szCs w:val="15"/>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15"/>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1,757,066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(325,677)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1,961,494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(326,377)</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351,521</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(120,399)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351,522</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(120,399)</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(1,405)</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207,644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2,124,849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(447,326)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2,332,493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(448,181)</w:t>
            </w:r>
          </w:p>
        </w:tc>
      </w:tr>
      <w:tr>
        <w:trPr>
          <w:trHeight w:val="383"/>
        </w:trPr>
        <w:tc>
          <w:tcPr>
            <w:tcW w:w="3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5"/>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408,257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(106,315)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408,257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(106,315)</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502,292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(109,978)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(110,020)</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613,937</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(170,121)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613,937</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(170,121)</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286,868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(38,958)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350,536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(40,025)</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65,740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1,811,354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(425,372)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1,877,094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(426,481)</w:t>
            </w: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-3634105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-3616960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-3634105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-3616960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-3634105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-3616960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-3634105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-3616960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-3634105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-3616960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-2699385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-2682240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-2699385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-2682240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-2699385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-2682240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-2699385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-2682240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-2699385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-2682240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-959485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-942340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-959485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-942340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-959485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-942340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-959485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-942340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-959485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-942340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At March 31, 2025 investment securities with carrying values of $2.71 billion were pledged to secure various types of deposits, including $1.14 billion of public funds, $310 million for repurchase agreements, and for other purposes as required or permitted by law. In addition, investment securities with carrying values of $1.62 billion were pledged for unused borrowing capacity.</w:t>
      </w:r>
    </w:p>
    <w:p>
      <w:pPr>
        <w:spacing w:after="0" w:line="176" w:lineRule="exact"/>
        <w:rPr>
          <w:sz w:val="20"/>
          <w:szCs w:val="20"/>
          <w:color w:val="auto"/>
        </w:rPr>
      </w:pPr>
    </w:p>
    <w:p>
      <w:pPr>
        <w:jc w:val="both"/>
        <w:ind w:right="100" w:firstLine="469"/>
        <w:spacing w:after="0" w:line="266" w:lineRule="auto"/>
        <w:rPr>
          <w:sz w:val="20"/>
          <w:szCs w:val="20"/>
          <w:color w:val="auto"/>
        </w:rPr>
      </w:pPr>
      <w:r>
        <w:rPr>
          <w:rFonts w:ascii="Times New Roman" w:cs="Times New Roman" w:eastAsia="Times New Roman" w:hAnsi="Times New Roman"/>
          <w:sz w:val="18"/>
          <w:szCs w:val="18"/>
          <w:color w:val="auto"/>
        </w:rPr>
        <w:t>At December 31, 2024, investment securities with carrying values of $2.79 billion were pledged to secure various types of deposits, including $1.18 billion of public funds, $315 million for repurchase agreements, and for other purposes as required or permitted by law. In addition, investment securities with carrying values of $1.63 billion were pledged for unused borrowing capacity.</w:t>
      </w:r>
    </w:p>
    <w:p>
      <w:pPr>
        <w:spacing w:after="0" w:line="176" w:lineRule="exact"/>
        <w:rPr>
          <w:sz w:val="20"/>
          <w:szCs w:val="20"/>
          <w:color w:val="auto"/>
        </w:rPr>
      </w:pPr>
    </w:p>
    <w:p>
      <w:pPr>
        <w:ind w:right="240" w:firstLine="464"/>
        <w:spacing w:after="0" w:line="257" w:lineRule="auto"/>
        <w:rPr>
          <w:sz w:val="20"/>
          <w:szCs w:val="20"/>
          <w:color w:val="auto"/>
        </w:rPr>
      </w:pPr>
      <w:r>
        <w:rPr>
          <w:rFonts w:ascii="Times New Roman" w:cs="Times New Roman" w:eastAsia="Times New Roman" w:hAnsi="Times New Roman"/>
          <w:sz w:val="18"/>
          <w:szCs w:val="18"/>
          <w:color w:val="auto"/>
        </w:rPr>
        <w:t>The amortized cost and fair value of debt securities at March 31, 2025, by contractual maturity, are shown in the table below. Although mortgage-backed and CMO/REMIC securities have weighted average remaining contractual maturities of approximately 25 years, expected maturities will differ from contractual maturities because borrowers may have the right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40"/>
        <w:spacing w:after="0" w:line="282" w:lineRule="auto"/>
        <w:rPr>
          <w:sz w:val="20"/>
          <w:szCs w:val="20"/>
          <w:color w:val="auto"/>
        </w:rPr>
      </w:pPr>
      <w:r>
        <w:rPr>
          <w:rFonts w:ascii="Times New Roman" w:cs="Times New Roman" w:eastAsia="Times New Roman" w:hAnsi="Times New Roman"/>
          <w:sz w:val="18"/>
          <w:szCs w:val="18"/>
          <w:color w:val="auto"/>
        </w:rPr>
        <w:t>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140"/>
          </w:cols>
          <w:pgMar w:left="320" w:top="109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in one year or less</w:t>
      </w:r>
    </w:p>
    <w:p>
      <w:pPr>
        <w:spacing w:after="0" w:line="226" w:lineRule="auto"/>
        <w:rPr>
          <w:sz w:val="20"/>
          <w:szCs w:val="20"/>
          <w:color w:val="auto"/>
        </w:rPr>
      </w:pPr>
      <w:r>
        <w:rPr>
          <w:rFonts w:ascii="Times New Roman" w:cs="Times New Roman" w:eastAsia="Times New Roman" w:hAnsi="Times New Roman"/>
          <w:sz w:val="14"/>
          <w:szCs w:val="14"/>
          <w:color w:val="auto"/>
        </w:rPr>
        <w:t>Due after one year through five years</w:t>
      </w:r>
    </w:p>
    <w:p>
      <w:pPr>
        <w:spacing w:after="0"/>
        <w:rPr>
          <w:sz w:val="20"/>
          <w:szCs w:val="20"/>
          <w:color w:val="auto"/>
        </w:rPr>
      </w:pPr>
      <w:r>
        <w:rPr>
          <w:rFonts w:ascii="Times New Roman" w:cs="Times New Roman" w:eastAsia="Times New Roman" w:hAnsi="Times New Roman"/>
          <w:sz w:val="14"/>
          <w:szCs w:val="14"/>
          <w:color w:val="auto"/>
        </w:rPr>
        <w:t>Due after five years through ten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after ten years</w:t>
      </w:r>
    </w:p>
    <w:p>
      <w:pPr>
        <w:spacing w:after="0" w:line="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 w:type="dxa"/>
            <w:vAlign w:val="bottom"/>
            <w:tcBorders>
              <w:top w:val="single" w:sz="8" w:color="auto"/>
              <w:bottom w:val="single" w:sz="8" w:color="auto"/>
            </w:tcBorders>
          </w:tcPr>
          <w:p>
            <w:pPr>
              <w:spacing w:after="0"/>
              <w:rPr>
                <w:sz w:val="12"/>
                <w:szCs w:val="12"/>
                <w:color w:val="auto"/>
              </w:rPr>
            </w:pPr>
          </w:p>
        </w:tc>
        <w:tc>
          <w:tcPr>
            <w:tcW w:w="2640" w:type="dxa"/>
            <w:vAlign w:val="bottom"/>
            <w:tcBorders>
              <w:top w:val="single" w:sz="8" w:color="auto"/>
              <w:bottom w:val="single" w:sz="8" w:color="auto"/>
            </w:tcBorders>
            <w:gridSpan w:val="4"/>
          </w:tcPr>
          <w:p>
            <w:pPr>
              <w:jc w:val="right"/>
              <w:ind w:right="749"/>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60" w:type="dxa"/>
            <w:vAlign w:val="bottom"/>
            <w:tcBorders>
              <w:top w:val="single" w:sz="8" w:color="auto"/>
              <w:bottom w:val="single" w:sz="8" w:color="auto"/>
            </w:tcBorders>
            <w:gridSpan w:val="4"/>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0" w:type="dxa"/>
            <w:vAlign w:val="bottom"/>
          </w:tcPr>
          <w:p>
            <w:pPr>
              <w:spacing w:after="0"/>
              <w:rPr>
                <w:sz w:val="1"/>
                <w:szCs w:val="1"/>
                <w:color w:val="auto"/>
              </w:rPr>
            </w:pPr>
          </w:p>
        </w:tc>
      </w:tr>
      <w:tr>
        <w:trPr>
          <w:trHeight w:val="142"/>
        </w:trPr>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w:t>
            </w: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42,417</w:t>
            </w:r>
          </w:p>
        </w:tc>
        <w:tc>
          <w:tcPr>
            <w:tcW w:w="4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i w:val="1"/>
                <w:iCs w:val="1"/>
                <w:color w:val="auto"/>
              </w:rPr>
              <w:t>(Dollars</w:t>
            </w:r>
          </w:p>
        </w:tc>
        <w:tc>
          <w:tcPr>
            <w:tcW w:w="320" w:type="dxa"/>
            <w:vAlign w:val="bottom"/>
            <w:vMerge w:val="continue"/>
          </w:tcPr>
          <w:p>
            <w:pPr>
              <w:spacing w:after="0"/>
              <w:rPr>
                <w:sz w:val="10"/>
                <w:szCs w:val="10"/>
                <w:color w:val="auto"/>
              </w:rPr>
            </w:pPr>
          </w:p>
        </w:tc>
        <w:tc>
          <w:tcPr>
            <w:tcW w:w="1200" w:type="dxa"/>
            <w:vAlign w:val="bottom"/>
            <w:gridSpan w:val="2"/>
          </w:tcPr>
          <w:p>
            <w:pPr>
              <w:jc w:val="right"/>
              <w:ind w:right="648"/>
              <w:spacing w:after="0" w:line="119" w:lineRule="exact"/>
              <w:rPr>
                <w:sz w:val="20"/>
                <w:szCs w:val="20"/>
                <w:color w:val="auto"/>
              </w:rPr>
            </w:pPr>
            <w:r>
              <w:rPr>
                <w:rFonts w:ascii="Times New Roman" w:cs="Times New Roman" w:eastAsia="Times New Roman" w:hAnsi="Times New Roman"/>
                <w:sz w:val="13"/>
                <w:szCs w:val="13"/>
                <w:i w:val="1"/>
                <w:iCs w:val="1"/>
                <w:color w:val="auto"/>
                <w:w w:val="80"/>
              </w:rPr>
              <w:t>thousands)</w:t>
            </w:r>
          </w:p>
        </w:tc>
        <w:tc>
          <w:tcPr>
            <w:tcW w:w="4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21,879</w:t>
            </w:r>
          </w:p>
        </w:tc>
        <w:tc>
          <w:tcPr>
            <w:tcW w:w="0" w:type="dxa"/>
            <w:vAlign w:val="bottom"/>
          </w:tcPr>
          <w:p>
            <w:pPr>
              <w:spacing w:after="0"/>
              <w:rPr>
                <w:sz w:val="1"/>
                <w:szCs w:val="1"/>
                <w:color w:val="auto"/>
              </w:rPr>
            </w:pPr>
          </w:p>
        </w:tc>
      </w:tr>
      <w:tr>
        <w:trPr>
          <w:trHeight w:val="148"/>
        </w:trPr>
        <w:tc>
          <w:tcPr>
            <w:tcW w:w="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42,370</w:t>
            </w: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22,354</w:t>
            </w:r>
          </w:p>
        </w:tc>
        <w:tc>
          <w:tcPr>
            <w:tcW w:w="4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145,113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132,724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47,513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46,017</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1,894,064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1,633,571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282,325</w:t>
            </w: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840,810</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726,401</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1,969,250</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1,614,867</w:t>
            </w:r>
          </w:p>
        </w:tc>
        <w:tc>
          <w:tcPr>
            <w:tcW w:w="0" w:type="dxa"/>
            <w:vAlign w:val="bottom"/>
          </w:tcPr>
          <w:p>
            <w:pPr>
              <w:spacing w:after="0"/>
              <w:rPr>
                <w:sz w:val="1"/>
                <w:szCs w:val="1"/>
                <w:color w:val="auto"/>
              </w:rPr>
            </w:pPr>
          </w:p>
        </w:tc>
      </w:tr>
      <w:tr>
        <w:trPr>
          <w:trHeight w:val="142"/>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2,922,404</w:t>
            </w:r>
          </w:p>
        </w:tc>
        <w:tc>
          <w:tcPr>
            <w:tcW w:w="3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2,535,066</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2,359,141</w:t>
            </w:r>
          </w:p>
        </w:tc>
        <w:tc>
          <w:tcPr>
            <w:tcW w:w="3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1,965,088</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-504825</wp:posOffset>
            </wp:positionV>
            <wp:extent cx="7132320" cy="93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-316230</wp:posOffset>
            </wp:positionV>
            <wp:extent cx="7132320"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-119380</wp:posOffset>
            </wp:positionV>
            <wp:extent cx="713232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720"/>
            <w:col w:w="5780"/>
          </w:cols>
          <w:pgMar w:left="320" w:top="1093" w:right="439" w:bottom="1440" w:gutter="0" w:footer="0" w:header="0"/>
          <w:type w:val="continuous"/>
        </w:sectPr>
      </w:pPr>
    </w:p>
    <w:p>
      <w:pPr>
        <w:jc w:val="both"/>
        <w:ind w:right="120" w:firstLine="469"/>
        <w:spacing w:after="0" w:line="266" w:lineRule="auto"/>
        <w:rPr>
          <w:sz w:val="20"/>
          <w:szCs w:val="20"/>
          <w:color w:val="auto"/>
        </w:rPr>
      </w:pPr>
      <w:r>
        <w:rPr>
          <w:rFonts w:ascii="Times New Roman" w:cs="Times New Roman" w:eastAsia="Times New Roman" w:hAnsi="Times New Roman"/>
          <w:sz w:val="18"/>
          <w:szCs w:val="18"/>
          <w:color w:val="auto"/>
        </w:rPr>
        <w:t>The Bank is a member of the FHLB and members are required to own a certain amount of FHLB stock based on the level of borrowings and other factors. The investment in FHLB stock is periodically evaluated for impairment based on, among other things, the capital adequacy of the FHLB and its overall financial condition. No impairment losses have been recorded through March 31,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type w:val="continuous"/>
        </w:sectPr>
      </w:pPr>
    </w:p>
    <w:bookmarkStart w:id="14" w:name="page15"/>
    <w:bookmarkEnd w:id="14"/>
    <w:p>
      <w:pPr>
        <w:ind w:left="480" w:right="3460" w:hanging="472"/>
        <w:spacing w:after="0" w:line="530" w:lineRule="auto"/>
        <w:tabs>
          <w:tab w:leader="none" w:pos="33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LOANS AND LEASE FINANCE RECEIVABLES AND ALLOWANCE FOR CREDIT LOSSES </w:t>
      </w:r>
      <w:r>
        <w:rPr>
          <w:rFonts w:ascii="Times New Roman" w:cs="Times New Roman" w:eastAsia="Times New Roman" w:hAnsi="Times New Roman"/>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6"/>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300" w:type="dxa"/>
            <w:vAlign w:val="bottom"/>
            <w:gridSpan w:val="4"/>
          </w:tcPr>
          <w:p>
            <w:pPr>
              <w:jc w:val="right"/>
              <w:ind w:right="131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7"/>
                <w:szCs w:val="17"/>
                <w:color w:val="auto"/>
              </w:rPr>
            </w:pPr>
          </w:p>
        </w:tc>
      </w:tr>
      <w:tr>
        <w:trPr>
          <w:trHeight w:val="220"/>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6,490,604</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6,507,452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SBA</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273,013</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925,178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419,904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66,114</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SFR mortgage</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269,172</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and other loans</w:t>
            </w:r>
          </w:p>
        </w:tc>
        <w:tc>
          <w:tcPr>
            <w:tcW w:w="2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8,363,632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8,536,432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(78,252)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(80,122)</w:t>
            </w:r>
          </w:p>
        </w:tc>
      </w:tr>
      <w:tr>
        <w:trPr>
          <w:trHeight w:val="209"/>
        </w:trPr>
        <w:tc>
          <w:tcPr>
            <w:tcW w:w="69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8,285,380</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8,456,310</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-454025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As of March 31, 2025, 81.02% of the Company’s total loan portfolio consisted of real estate loans, with commercial real estate loans representing 77.6% of total loans. The Company’s real estate loans and construction loans are secured by real properties primarily located in California. As of March 31, 2025, $437.3 million, or 6.70% of the total commercial real estate loans included loans secured by farmland, compared to $449.8 million, or 6.91%, at December 31, 2024. The loans secured by farmland included $103.6 million for loans secured by dairy &amp; livestock land and $333.7 million secured by agricultural land at March 31, 2025, compared to $109.1 million for loans secured by dairy &amp; livestock land and $340.7 million for loans secured by agricultural land at December 31, 2024. As of March 31, 2025, dairy &amp; livestock and agribusiness loans of $252.5 million were comprised of $217.4 million for dairy &amp; livestock loans and $35.1 million for agribusiness loans, compared to $419.9 million were comprised of $385.3 million for dairy &amp; livestock loans and $34.6 million of agribusiness loans at December 31, 2024.</w:t>
      </w:r>
    </w:p>
    <w:p>
      <w:pPr>
        <w:spacing w:after="0" w:line="192" w:lineRule="exact"/>
        <w:rPr>
          <w:sz w:val="20"/>
          <w:szCs w:val="20"/>
          <w:color w:val="auto"/>
        </w:rPr>
      </w:pPr>
    </w:p>
    <w:p>
      <w:pPr>
        <w:ind w:right="560" w:firstLine="469"/>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loans were pledged to secure the borrowings and available lines of credit from the FHLB and the Federal Reserve Bank totaling $4.36 billion and $4.44 billion,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outstanding loans held-for-sale as of March 31, 2025 and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62" w:lineRule="exact"/>
        <w:rPr>
          <w:sz w:val="20"/>
          <w:szCs w:val="20"/>
          <w:color w:val="auto"/>
        </w:rPr>
      </w:pPr>
    </w:p>
    <w:p>
      <w:pPr>
        <w:jc w:val="both"/>
        <w:ind w:right="100" w:firstLine="469"/>
        <w:spacing w:after="0" w:line="258"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83"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62"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80" w:lineRule="exact"/>
        <w:rPr>
          <w:sz w:val="20"/>
          <w:szCs w:val="20"/>
          <w:color w:val="auto"/>
        </w:rPr>
      </w:pPr>
    </w:p>
    <w:p>
      <w:pPr>
        <w:jc w:val="both"/>
        <w:ind w:right="80" w:firstLine="469"/>
        <w:spacing w:after="0" w:line="266"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76" w:lineRule="exact"/>
        <w:rPr>
          <w:sz w:val="20"/>
          <w:szCs w:val="20"/>
          <w:color w:val="auto"/>
        </w:rPr>
      </w:pPr>
    </w:p>
    <w:p>
      <w:pPr>
        <w:jc w:val="both"/>
        <w:ind w:right="140" w:firstLine="469"/>
        <w:spacing w:after="0" w:line="266"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6"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62" w:lineRule="exact"/>
        <w:rPr>
          <w:sz w:val="20"/>
          <w:szCs w:val="20"/>
          <w:color w:val="auto"/>
        </w:rPr>
      </w:pPr>
    </w:p>
    <w:p>
      <w:pPr>
        <w:jc w:val="both"/>
        <w:ind w:right="60" w:firstLine="469"/>
        <w:spacing w:after="0" w:line="266"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6" w:name="page17"/>
    <w:bookmarkEnd w:id="16"/>
    <w:p>
      <w:pPr>
        <w:ind w:left="480"/>
        <w:spacing w:after="0"/>
        <w:rPr>
          <w:sz w:val="20"/>
          <w:szCs w:val="20"/>
          <w:color w:val="auto"/>
        </w:rPr>
      </w:pPr>
      <w:r>
        <w:rPr>
          <w:rFonts w:ascii="Times New Roman" w:cs="Times New Roman" w:eastAsia="Times New Roman" w:hAnsi="Times New Roman"/>
          <w:sz w:val="18"/>
          <w:szCs w:val="18"/>
          <w:color w:val="auto"/>
        </w:rPr>
        <w:t>The following table summarizes loans by type and origination year, according to our internal risk ratings as of the dates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5"/>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1"/>
                <w:szCs w:val="11"/>
                <w:color w:val="auto"/>
              </w:rPr>
            </w:pPr>
          </w:p>
        </w:tc>
        <w:tc>
          <w:tcPr>
            <w:tcW w:w="64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9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i w:val="1"/>
                <w:iCs w:val="1"/>
                <w:color w:val="auto"/>
                <w:w w:val="78"/>
              </w:rPr>
              <w:t>(Dollars in thousands)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118,405</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298,954</w:t>
            </w:r>
          </w:p>
        </w:tc>
        <w:tc>
          <w:tcPr>
            <w:tcW w:w="420" w:type="dxa"/>
            <w:vAlign w:val="bottom"/>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402,954</w:t>
            </w:r>
          </w:p>
        </w:tc>
        <w:tc>
          <w:tcPr>
            <w:tcW w:w="42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1,199,575</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1,047,396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2,900,403</w:t>
            </w:r>
          </w:p>
        </w:tc>
        <w:tc>
          <w:tcPr>
            <w:tcW w:w="3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195,573</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36,343</w:t>
            </w:r>
          </w:p>
        </w:tc>
        <w:tc>
          <w:tcPr>
            <w:tcW w:w="38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6,199,603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41,993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127,980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219,947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6,731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8,978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46,534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5,783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71,054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real</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119,579</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309,761</w:t>
            </w:r>
          </w:p>
        </w:tc>
        <w:tc>
          <w:tcPr>
            <w:tcW w:w="4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411,168</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1,248,299</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1,077,577</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3,074,917</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206,182</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43,121</w:t>
            </w:r>
          </w:p>
        </w:tc>
        <w:tc>
          <w:tcPr>
            <w:tcW w:w="3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6,490,604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jc w:val="center"/>
              <w:ind w:right="7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7,020</w:t>
            </w:r>
          </w:p>
        </w:tc>
        <w:tc>
          <w:tcPr>
            <w:tcW w:w="420" w:type="dxa"/>
            <w:vAlign w:val="bottom"/>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319</w:t>
            </w:r>
          </w:p>
        </w:tc>
        <w:tc>
          <w:tcPr>
            <w:tcW w:w="42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8,367</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15,706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Construction</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7,020</w:t>
            </w:r>
          </w:p>
        </w:tc>
        <w:tc>
          <w:tcPr>
            <w:tcW w:w="4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8,367</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15,706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860" w:type="dxa"/>
            <w:vAlign w:val="bottom"/>
            <w:gridSpan w:val="3"/>
            <w:vMerge w:val="continue"/>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jc w:val="center"/>
              <w:ind w:right="7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6,795</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29,325</w:t>
            </w:r>
          </w:p>
        </w:tc>
        <w:tc>
          <w:tcPr>
            <w:tcW w:w="420" w:type="dxa"/>
            <w:vAlign w:val="bottom"/>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15,905</w:t>
            </w:r>
          </w:p>
        </w:tc>
        <w:tc>
          <w:tcPr>
            <w:tcW w:w="42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46,045</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46,482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111,111</w:t>
            </w:r>
          </w:p>
        </w:tc>
        <w:tc>
          <w:tcPr>
            <w:tcW w:w="3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255,663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3,365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1,570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3,625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6,795</w:t>
            </w:r>
          </w:p>
        </w:tc>
        <w:tc>
          <w:tcPr>
            <w:tcW w:w="40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32,690</w:t>
            </w:r>
          </w:p>
        </w:tc>
        <w:tc>
          <w:tcPr>
            <w:tcW w:w="420" w:type="dxa"/>
            <w:vAlign w:val="bottom"/>
            <w:gridSpan w:val="3"/>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15,905</w:t>
            </w:r>
          </w:p>
        </w:tc>
        <w:tc>
          <w:tcPr>
            <w:tcW w:w="42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47,615</w:t>
            </w:r>
          </w:p>
        </w:tc>
        <w:tc>
          <w:tcPr>
            <w:tcW w:w="40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47,810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121,029</w:t>
            </w:r>
          </w:p>
        </w:tc>
        <w:tc>
          <w:tcPr>
            <w:tcW w:w="30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271,844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jc w:val="center"/>
              <w:ind w:right="7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3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w:t>
            </w:r>
          </w:p>
        </w:tc>
        <w:tc>
          <w:tcPr>
            <w:tcW w:w="30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jc w:val="center"/>
              <w:ind w:right="7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jc w:val="center"/>
              <w:ind w:right="778"/>
              <w:spacing w:after="0"/>
              <w:rPr>
                <w:sz w:val="20"/>
                <w:szCs w:val="20"/>
                <w:color w:val="auto"/>
              </w:rPr>
            </w:pPr>
            <w:r>
              <w:rPr>
                <w:rFonts w:ascii="Times New Roman" w:cs="Times New Roman" w:eastAsia="Times New Roman" w:hAnsi="Times New Roman"/>
                <w:sz w:val="13"/>
                <w:szCs w:val="13"/>
                <w:b w:val="1"/>
                <w:bCs w:val="1"/>
                <w:color w:val="auto"/>
                <w:w w:val="97"/>
              </w:rPr>
              <w:t>industrial loans: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34,204</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95,519</w:t>
            </w:r>
          </w:p>
        </w:tc>
        <w:tc>
          <w:tcPr>
            <w:tcW w:w="420" w:type="dxa"/>
            <w:vAlign w:val="bottom"/>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109,970</w:t>
            </w:r>
          </w:p>
        </w:tc>
        <w:tc>
          <w:tcPr>
            <w:tcW w:w="42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104,308</w:t>
            </w:r>
          </w:p>
        </w:tc>
        <w:tc>
          <w:tcPr>
            <w:tcW w:w="40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62,801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177,705</w:t>
            </w:r>
          </w:p>
        </w:tc>
        <w:tc>
          <w:tcPr>
            <w:tcW w:w="3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314,411</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5,974</w:t>
            </w:r>
          </w:p>
        </w:tc>
        <w:tc>
          <w:tcPr>
            <w:tcW w:w="38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904,892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28,128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3,074</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34,204</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96,295</w:t>
            </w:r>
          </w:p>
        </w:tc>
        <w:tc>
          <w:tcPr>
            <w:tcW w:w="4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115,341</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106,501</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64,520</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181,670</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328,762</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15,008</w:t>
            </w:r>
          </w:p>
        </w:tc>
        <w:tc>
          <w:tcPr>
            <w:tcW w:w="3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942,301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FF0FC"/>
          </w:tcPr>
          <w:p>
            <w:pPr>
              <w:jc w:val="center"/>
              <w:ind w:right="778"/>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industrial loans:</w:t>
            </w: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jc w:val="center"/>
              <w:ind w:right="7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-3923665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-3923665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-3923665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-3923665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-3923665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-3923665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-3923665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-3923665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-3923665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-2972435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-2972435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-2972435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-2972435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-2972435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-2972435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-2972435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-2972435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-2972435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-2098040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-2098040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-2098040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-2098040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-2098040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-2098040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-2098040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-2098040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-2098040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-1223645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-1223645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-1223645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-1223645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-1223645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-1223645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-1223645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-1223645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-186055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-186055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-186055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-186055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-186055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-186055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-186055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-186055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-186055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5"/>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1"/>
                <w:szCs w:val="11"/>
                <w:color w:val="auto"/>
              </w:rPr>
            </w:pPr>
          </w:p>
        </w:tc>
        <w:tc>
          <w:tcPr>
            <w:tcW w:w="64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9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i w:val="1"/>
                <w:iCs w:val="1"/>
                <w:color w:val="auto"/>
                <w:w w:val="78"/>
              </w:rPr>
              <w:t>(Dollars in thousands)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729</w:t>
            </w:r>
          </w:p>
        </w:tc>
        <w:tc>
          <w:tcPr>
            <w:tcW w:w="420" w:type="dxa"/>
            <w:vAlign w:val="bottom"/>
            <w:gridSpan w:val="3"/>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893</w:t>
            </w:r>
          </w:p>
        </w:tc>
        <w:tc>
          <w:tcPr>
            <w:tcW w:w="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204,881</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380" w:type="dxa"/>
            <w:vAlign w:val="bottom"/>
            <w:gridSpan w:val="3"/>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207,106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36,674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6,525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Dairy &amp; livestock</w:t>
            </w:r>
          </w:p>
        </w:tc>
        <w:tc>
          <w:tcPr>
            <w:tcW w:w="18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42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248,080</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2,173</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252,532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2,799</w:t>
            </w:r>
          </w:p>
        </w:tc>
        <w:tc>
          <w:tcPr>
            <w:tcW w:w="420" w:type="dxa"/>
            <w:vAlign w:val="bottom"/>
            <w:gridSpan w:val="3"/>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5,095</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24,714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32,496</w:t>
            </w:r>
          </w:p>
        </w:tc>
        <w:tc>
          <w:tcPr>
            <w:tcW w:w="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65,104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Municipal lease</w:t>
            </w:r>
          </w:p>
        </w:tc>
        <w:tc>
          <w:tcPr>
            <w:tcW w:w="18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2,799</w:t>
            </w:r>
          </w:p>
        </w:tc>
        <w:tc>
          <w:tcPr>
            <w:tcW w:w="42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5,095</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24,714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32,595</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65,203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5,894</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18,617</w:t>
            </w:r>
          </w:p>
        </w:tc>
        <w:tc>
          <w:tcPr>
            <w:tcW w:w="420" w:type="dxa"/>
            <w:vAlign w:val="bottom"/>
            <w:gridSpan w:val="3"/>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19,979</w:t>
            </w:r>
          </w:p>
        </w:tc>
        <w:tc>
          <w:tcPr>
            <w:tcW w:w="42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59,518</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40,891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122,071</w:t>
            </w:r>
          </w:p>
        </w:tc>
        <w:tc>
          <w:tcPr>
            <w:tcW w:w="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266,970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SFR mortgage</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5,894</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18,617</w:t>
            </w:r>
          </w:p>
        </w:tc>
        <w:tc>
          <w:tcPr>
            <w:tcW w:w="42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19,979</w:t>
            </w:r>
          </w:p>
        </w:tc>
        <w:tc>
          <w:tcPr>
            <w:tcW w:w="42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59,518</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40,891</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124,318</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269,493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753</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4,941</w:t>
            </w:r>
          </w:p>
        </w:tc>
        <w:tc>
          <w:tcPr>
            <w:tcW w:w="420" w:type="dxa"/>
            <w:vAlign w:val="bottom"/>
            <w:gridSpan w:val="3"/>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2,747</w:t>
            </w:r>
          </w:p>
        </w:tc>
        <w:tc>
          <w:tcPr>
            <w:tcW w:w="42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1,591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40,863</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2,953</w:t>
            </w:r>
          </w:p>
        </w:tc>
        <w:tc>
          <w:tcPr>
            <w:tcW w:w="380" w:type="dxa"/>
            <w:vAlign w:val="bottom"/>
            <w:gridSpan w:val="3"/>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55,366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Consumer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4,941</w:t>
            </w:r>
          </w:p>
        </w:tc>
        <w:tc>
          <w:tcPr>
            <w:tcW w:w="42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2,747</w:t>
            </w:r>
          </w:p>
        </w:tc>
        <w:tc>
          <w:tcPr>
            <w:tcW w:w="42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40,867</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55,770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166,051</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457,904</w:t>
            </w:r>
          </w:p>
        </w:tc>
        <w:tc>
          <w:tcPr>
            <w:tcW w:w="420" w:type="dxa"/>
            <w:vAlign w:val="bottom"/>
            <w:gridSpan w:val="3"/>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551,874</w:t>
            </w:r>
          </w:p>
        </w:tc>
        <w:tc>
          <w:tcPr>
            <w:tcW w:w="42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1,423,815</w:t>
            </w:r>
          </w:p>
        </w:tc>
        <w:tc>
          <w:tcPr>
            <w:tcW w:w="400" w:type="dxa"/>
            <w:vAlign w:val="bottom"/>
            <w:gridSpan w:val="3"/>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1,224,605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3,345,336</w:t>
            </w:r>
          </w:p>
        </w:tc>
        <w:tc>
          <w:tcPr>
            <w:tcW w:w="3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755,728</w:t>
            </w:r>
          </w:p>
        </w:tc>
        <w:tc>
          <w:tcPr>
            <w:tcW w:w="2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45,276</w:t>
            </w:r>
          </w:p>
        </w:tc>
        <w:tc>
          <w:tcPr>
            <w:tcW w:w="380" w:type="dxa"/>
            <w:vAlign w:val="bottom"/>
            <w:gridSpan w:val="3"/>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7,970,589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43,717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139,627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54,108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298,874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3,754</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8,770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9,219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51,176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14,055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4,847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94,169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9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167,225</w:t>
            </w:r>
          </w:p>
        </w:tc>
        <w:tc>
          <w:tcPr>
            <w:tcW w:w="240" w:type="dxa"/>
            <w:vAlign w:val="bottom"/>
            <w:tcBorders>
              <w:bottom w:val="single" w:sz="8" w:color="CFF0FC"/>
            </w:tcBorders>
            <w:gridSpan w:val="2"/>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472,852</w:t>
            </w:r>
          </w:p>
        </w:tc>
        <w:tc>
          <w:tcPr>
            <w:tcW w:w="240" w:type="dxa"/>
            <w:vAlign w:val="bottom"/>
            <w:tcBorders>
              <w:bottom w:val="single" w:sz="8" w:color="CFF0FC"/>
            </w:tcBorders>
            <w:gridSpan w:val="2"/>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565,459</w:t>
            </w:r>
          </w:p>
        </w:tc>
        <w:tc>
          <w:tcPr>
            <w:tcW w:w="260" w:type="dxa"/>
            <w:vAlign w:val="bottom"/>
            <w:tcBorders>
              <w:bottom w:val="single" w:sz="8" w:color="CFF0FC"/>
            </w:tcBorders>
            <w:gridSpan w:val="2"/>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1,476,302</w:t>
            </w:r>
          </w:p>
        </w:tc>
        <w:tc>
          <w:tcPr>
            <w:tcW w:w="240" w:type="dxa"/>
            <w:vAlign w:val="bottom"/>
            <w:tcBorders>
              <w:bottom w:val="single" w:sz="8" w:color="CFF0FC"/>
            </w:tcBorders>
            <w:gridSpan w:val="2"/>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1,257,936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3,536,139</w:t>
            </w:r>
          </w:p>
        </w:tc>
        <w:tc>
          <w:tcPr>
            <w:tcW w:w="220" w:type="dxa"/>
            <w:vAlign w:val="bottom"/>
            <w:tcBorders>
              <w:bottom w:val="single" w:sz="8" w:color="CFF0FC"/>
            </w:tcBorders>
            <w:gridSpan w:val="2"/>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823,891</w:t>
            </w:r>
          </w:p>
        </w:tc>
        <w:tc>
          <w:tcPr>
            <w:tcW w:w="220" w:type="dxa"/>
            <w:vAlign w:val="bottom"/>
            <w:tcBorders>
              <w:bottom w:val="single" w:sz="8" w:color="CFF0FC"/>
            </w:tcBorders>
            <w:gridSpan w:val="2"/>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63,828</w:t>
            </w:r>
          </w:p>
        </w:tc>
        <w:tc>
          <w:tcPr>
            <w:tcW w:w="200" w:type="dxa"/>
            <w:vAlign w:val="bottom"/>
            <w:tcBorders>
              <w:bottom w:val="single" w:sz="8" w:color="CFF0FC"/>
            </w:tcBorders>
            <w:gridSpan w:val="2"/>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8,363,632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Current YTD Period:</w:t>
            </w: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92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Total gross charge-offs</w:t>
            </w:r>
          </w:p>
        </w:tc>
        <w:tc>
          <w:tcPr>
            <w:tcW w:w="18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240" w:type="dxa"/>
            <w:vAlign w:val="bottom"/>
            <w:gridSpan w:val="2"/>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260" w:type="dxa"/>
            <w:vAlign w:val="bottom"/>
            <w:gridSpan w:val="2"/>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240" w:type="dxa"/>
            <w:vAlign w:val="bottom"/>
            <w:gridSpan w:val="2"/>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200" w:type="dxa"/>
            <w:vAlign w:val="bottom"/>
            <w:gridSpan w:val="2"/>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220" w:type="dxa"/>
            <w:vAlign w:val="bottom"/>
            <w:gridSpan w:val="2"/>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220" w:type="dxa"/>
            <w:vAlign w:val="bottom"/>
            <w:gridSpan w:val="2"/>
          </w:tcPr>
          <w:p>
            <w:pPr>
              <w:spacing w:after="0"/>
              <w:rPr>
                <w:sz w:val="9"/>
                <w:szCs w:val="9"/>
                <w:color w:val="auto"/>
              </w:rPr>
            </w:pPr>
          </w:p>
        </w:tc>
        <w:tc>
          <w:tcPr>
            <w:tcW w:w="6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200" w:type="dxa"/>
            <w:vAlign w:val="bottom"/>
            <w:gridSpan w:val="2"/>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-4182745</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-4182745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-4182745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-4182745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-4182745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-4182745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-4182745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-4182745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-3060065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-3060065</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-3060065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-3060065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-3060065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-3060065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-3060065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-3060065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-3060065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-2108200</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-2108200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-2108200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-2108200</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-2108200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-2108200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-2108200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-2108200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-1071245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-1071245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-1071245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-1071245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-1071245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-1071245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-1071245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-1071245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-196850</wp:posOffset>
            </wp:positionV>
            <wp:extent cx="76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-179705</wp:posOffset>
            </wp:positionV>
            <wp:extent cx="76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-196850</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-179705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-196850</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-179705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-196850</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-179705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-196850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-179705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-196850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-179705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-196850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-179705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-196850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-179705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100" w:type="dxa"/>
            <w:vAlign w:val="bottom"/>
            <w:gridSpan w:val="4"/>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amortized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converted to</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6"/>
          </w:tcPr>
          <w:p>
            <w:pPr>
              <w:jc w:val="right"/>
              <w:ind w:right="80"/>
              <w:spacing w:after="0" w:line="129" w:lineRule="exact"/>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3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52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307,984</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419,547</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1,216,126</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1,066,694</w:t>
            </w:r>
          </w:p>
        </w:tc>
        <w:tc>
          <w:tcPr>
            <w:tcW w:w="32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828,493</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2,170,119</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197,991</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37,704</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6,244,658</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4,910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36,505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21,478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17,056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104,201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1,287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190,449</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1,176</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6,775</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9,057</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15,138</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34,259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5,696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72,345</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real</w:t>
            </w:r>
          </w:p>
        </w:tc>
        <w:tc>
          <w:tcPr>
            <w:tcW w:w="34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310,235</w:t>
            </w:r>
          </w:p>
        </w:tc>
        <w:tc>
          <w:tcPr>
            <w:tcW w:w="100" w:type="dxa"/>
            <w:vAlign w:val="bottom"/>
            <w:vMerge w:val="restart"/>
            <w:shd w:val="clear" w:color="auto" w:fill="CFF0FC"/>
          </w:tcPr>
          <w:p>
            <w:pPr>
              <w:spacing w:after="0"/>
              <w:rPr>
                <w:sz w:val="9"/>
                <w:szCs w:val="9"/>
                <w:color w:val="auto"/>
              </w:rPr>
            </w:pP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424,701</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1,259,406</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1,097,229</w:t>
            </w:r>
          </w:p>
        </w:tc>
        <w:tc>
          <w:tcPr>
            <w:tcW w:w="32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860,687</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2,308,579</w:t>
            </w: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207,624</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38,991</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6,507,452</w:t>
            </w:r>
          </w:p>
        </w:tc>
        <w:tc>
          <w:tcPr>
            <w:tcW w:w="0" w:type="dxa"/>
            <w:vAlign w:val="bottom"/>
          </w:tcPr>
          <w:p>
            <w:pPr>
              <w:spacing w:after="0"/>
              <w:rPr>
                <w:sz w:val="1"/>
                <w:szCs w:val="1"/>
                <w:color w:val="auto"/>
              </w:rPr>
            </w:pPr>
          </w:p>
        </w:tc>
      </w:tr>
      <w:tr>
        <w:trPr>
          <w:trHeight w:val="142"/>
        </w:trPr>
        <w:tc>
          <w:tcPr>
            <w:tcW w:w="16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estate loans:</w:t>
            </w:r>
          </w:p>
        </w:tc>
        <w:tc>
          <w:tcPr>
            <w:tcW w:w="340" w:type="dxa"/>
            <w:vAlign w:val="bottom"/>
            <w:vMerge w:val="continue"/>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20" w:type="dxa"/>
            <w:vAlign w:val="bottom"/>
            <w:gridSpan w:val="3"/>
            <w:vMerge w:val="continue"/>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34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620" w:type="dxa"/>
            <w:vAlign w:val="bottom"/>
          </w:tcPr>
          <w:p>
            <w:pPr>
              <w:jc w:val="center"/>
              <w:ind w:right="4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2,258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2,258</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Construction loans:</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52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7,717</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315</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8,050</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16,082</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Construction</w:t>
            </w:r>
          </w:p>
        </w:tc>
        <w:tc>
          <w:tcPr>
            <w:tcW w:w="34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7,717</w:t>
            </w:r>
          </w:p>
        </w:tc>
        <w:tc>
          <w:tcPr>
            <w:tcW w:w="100" w:type="dxa"/>
            <w:vAlign w:val="bottom"/>
            <w:vMerge w:val="restart"/>
            <w:shd w:val="clear" w:color="auto" w:fill="CFF0FC"/>
          </w:tcPr>
          <w:p>
            <w:pPr>
              <w:spacing w:after="0"/>
              <w:rPr>
                <w:sz w:val="9"/>
                <w:szCs w:val="9"/>
                <w:color w:val="auto"/>
              </w:rPr>
            </w:pP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315</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8,050</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16,082</w:t>
            </w:r>
          </w:p>
        </w:tc>
        <w:tc>
          <w:tcPr>
            <w:tcW w:w="0" w:type="dxa"/>
            <w:vAlign w:val="bottom"/>
          </w:tcPr>
          <w:p>
            <w:pPr>
              <w:spacing w:after="0"/>
              <w:rPr>
                <w:sz w:val="1"/>
                <w:szCs w:val="1"/>
                <w:color w:val="auto"/>
              </w:rPr>
            </w:pPr>
          </w:p>
        </w:tc>
      </w:tr>
      <w:tr>
        <w:trPr>
          <w:trHeight w:val="142"/>
        </w:trPr>
        <w:tc>
          <w:tcPr>
            <w:tcW w:w="16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340" w:type="dxa"/>
            <w:vAlign w:val="bottom"/>
            <w:vMerge w:val="continue"/>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20" w:type="dxa"/>
            <w:vAlign w:val="bottom"/>
            <w:gridSpan w:val="3"/>
            <w:vMerge w:val="continue"/>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34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620" w:type="dxa"/>
            <w:vAlign w:val="bottom"/>
          </w:tcPr>
          <w:p>
            <w:pPr>
              <w:jc w:val="center"/>
              <w:ind w:right="4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SBA loans:</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52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33,531</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16,064</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46,393</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47,810</w:t>
            </w:r>
          </w:p>
        </w:tc>
        <w:tc>
          <w:tcPr>
            <w:tcW w:w="32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23,733</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92,012</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259,543</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1,337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4,716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1,581</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4,006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5,587</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SBA loans:</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33,531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16,064</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47,974</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49,147</w:t>
            </w:r>
          </w:p>
        </w:tc>
        <w:tc>
          <w:tcPr>
            <w:tcW w:w="320" w:type="dxa"/>
            <w:vAlign w:val="bottom"/>
            <w:gridSpan w:val="3"/>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28,449</w:t>
            </w:r>
          </w:p>
        </w:tc>
        <w:tc>
          <w:tcPr>
            <w:tcW w:w="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97,848</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273,013</w:t>
            </w:r>
          </w:p>
        </w:tc>
        <w:tc>
          <w:tcPr>
            <w:tcW w:w="0" w:type="dxa"/>
            <w:vAlign w:val="bottom"/>
          </w:tcPr>
          <w:p>
            <w:pPr>
              <w:spacing w:after="0"/>
              <w:rPr>
                <w:sz w:val="1"/>
                <w:szCs w:val="1"/>
                <w:color w:val="auto"/>
              </w:rPr>
            </w:pPr>
          </w:p>
        </w:tc>
      </w:tr>
      <w:tr>
        <w:trPr>
          <w:trHeight w:val="108"/>
        </w:trPr>
        <w:tc>
          <w:tcPr>
            <w:tcW w:w="16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34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620" w:type="dxa"/>
            <w:vAlign w:val="bottom"/>
          </w:tcPr>
          <w:p>
            <w:pPr>
              <w:jc w:val="center"/>
              <w:ind w:right="4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SBA - PPP loans:</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52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254</w:t>
            </w:r>
          </w:p>
        </w:tc>
        <w:tc>
          <w:tcPr>
            <w:tcW w:w="32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520</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774</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SBA - PPP loans:</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254</w:t>
            </w:r>
          </w:p>
        </w:tc>
        <w:tc>
          <w:tcPr>
            <w:tcW w:w="320" w:type="dxa"/>
            <w:vAlign w:val="bottom"/>
            <w:gridSpan w:val="3"/>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520</w:t>
            </w:r>
          </w:p>
        </w:tc>
        <w:tc>
          <w:tcPr>
            <w:tcW w:w="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774</w:t>
            </w:r>
          </w:p>
        </w:tc>
        <w:tc>
          <w:tcPr>
            <w:tcW w:w="0" w:type="dxa"/>
            <w:vAlign w:val="bottom"/>
          </w:tcPr>
          <w:p>
            <w:pPr>
              <w:spacing w:after="0"/>
              <w:rPr>
                <w:sz w:val="1"/>
                <w:szCs w:val="1"/>
                <w:color w:val="auto"/>
              </w:rPr>
            </w:pPr>
          </w:p>
        </w:tc>
      </w:tr>
      <w:tr>
        <w:trPr>
          <w:trHeight w:val="108"/>
        </w:trPr>
        <w:tc>
          <w:tcPr>
            <w:tcW w:w="16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34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620" w:type="dxa"/>
            <w:vAlign w:val="bottom"/>
          </w:tcPr>
          <w:p>
            <w:pPr>
              <w:jc w:val="center"/>
              <w:ind w:right="4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3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jc w:val="center"/>
              <w:ind w:right="478"/>
              <w:spacing w:after="0"/>
              <w:rPr>
                <w:sz w:val="20"/>
                <w:szCs w:val="20"/>
                <w:color w:val="auto"/>
              </w:rPr>
            </w:pPr>
            <w:r>
              <w:rPr>
                <w:rFonts w:ascii="Times New Roman" w:cs="Times New Roman" w:eastAsia="Times New Roman" w:hAnsi="Times New Roman"/>
                <w:sz w:val="13"/>
                <w:szCs w:val="13"/>
                <w:b w:val="1"/>
                <w:bCs w:val="1"/>
                <w:color w:val="auto"/>
                <w:w w:val="97"/>
              </w:rPr>
              <w:t>industrial loans:</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52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100,465</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100,242</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111,982</w:t>
            </w: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67,706</w:t>
            </w:r>
          </w:p>
        </w:tc>
        <w:tc>
          <w:tcPr>
            <w:tcW w:w="320" w:type="dxa"/>
            <w:vAlign w:val="bottom"/>
            <w:gridSpan w:val="3"/>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69,084</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118,069</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318,147</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6,213</w:t>
            </w: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891,908</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819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2,213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8,136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23,789</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3,029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1,997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3,921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9,481</w:t>
            </w:r>
          </w:p>
        </w:tc>
        <w:tc>
          <w:tcPr>
            <w:tcW w:w="0" w:type="dxa"/>
            <w:vAlign w:val="bottom"/>
          </w:tcPr>
          <w:p>
            <w:pPr>
              <w:spacing w:after="0"/>
              <w:rPr>
                <w:sz w:val="1"/>
                <w:szCs w:val="1"/>
                <w:color w:val="auto"/>
              </w:rPr>
            </w:pPr>
          </w:p>
        </w:tc>
      </w:tr>
      <w:tr>
        <w:trPr>
          <w:trHeight w:val="135"/>
        </w:trPr>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and</w:t>
            </w:r>
          </w:p>
        </w:tc>
        <w:tc>
          <w:tcPr>
            <w:tcW w:w="34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101,284</w:t>
            </w:r>
          </w:p>
        </w:tc>
        <w:tc>
          <w:tcPr>
            <w:tcW w:w="100" w:type="dxa"/>
            <w:vAlign w:val="bottom"/>
            <w:vMerge w:val="restart"/>
            <w:shd w:val="clear" w:color="auto" w:fill="CFF0FC"/>
          </w:tcPr>
          <w:p>
            <w:pPr>
              <w:spacing w:after="0"/>
              <w:rPr>
                <w:sz w:val="9"/>
                <w:szCs w:val="9"/>
                <w:color w:val="auto"/>
              </w:rPr>
            </w:pP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105,484</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113,531</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69,886</w:t>
            </w:r>
          </w:p>
        </w:tc>
        <w:tc>
          <w:tcPr>
            <w:tcW w:w="32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69,505</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122,244</w:t>
            </w: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328,280</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14,964</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925,178</w:t>
            </w:r>
          </w:p>
        </w:tc>
        <w:tc>
          <w:tcPr>
            <w:tcW w:w="0" w:type="dxa"/>
            <w:vAlign w:val="bottom"/>
          </w:tcPr>
          <w:p>
            <w:pPr>
              <w:spacing w:after="0"/>
              <w:rPr>
                <w:sz w:val="1"/>
                <w:szCs w:val="1"/>
                <w:color w:val="auto"/>
              </w:rPr>
            </w:pPr>
          </w:p>
        </w:tc>
      </w:tr>
      <w:tr>
        <w:trPr>
          <w:trHeight w:val="142"/>
        </w:trPr>
        <w:tc>
          <w:tcPr>
            <w:tcW w:w="1620" w:type="dxa"/>
            <w:vAlign w:val="bottom"/>
            <w:shd w:val="clear" w:color="auto" w:fill="CFF0FC"/>
          </w:tcPr>
          <w:p>
            <w:pPr>
              <w:jc w:val="center"/>
              <w:ind w:right="478"/>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industrial loans:</w:t>
            </w:r>
          </w:p>
        </w:tc>
        <w:tc>
          <w:tcPr>
            <w:tcW w:w="340" w:type="dxa"/>
            <w:vAlign w:val="bottom"/>
            <w:vMerge w:val="continue"/>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20" w:type="dxa"/>
            <w:vAlign w:val="bottom"/>
            <w:gridSpan w:val="3"/>
            <w:vMerge w:val="continue"/>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2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34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620" w:type="dxa"/>
            <w:vAlign w:val="bottom"/>
          </w:tcPr>
          <w:p>
            <w:pPr>
              <w:jc w:val="center"/>
              <w:ind w:right="458"/>
              <w:spacing w:after="0"/>
              <w:rPr>
                <w:sz w:val="20"/>
                <w:szCs w:val="20"/>
                <w:color w:val="auto"/>
              </w:rPr>
            </w:pPr>
            <w:r>
              <w:rPr>
                <w:rFonts w:ascii="Times New Roman" w:cs="Times New Roman" w:eastAsia="Times New Roman" w:hAnsi="Times New Roman"/>
                <w:sz w:val="13"/>
                <w:szCs w:val="13"/>
                <w:b w:val="1"/>
                <w:bCs w:val="1"/>
                <w:color w:val="auto"/>
                <w:w w:val="96"/>
              </w:rPr>
              <w:t>Gross charge-offs</w:t>
            </w: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1,186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-3923665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-3923665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-3923665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-3923665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-3923665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-3923665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-3923665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-3923665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-3923665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-2972435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-2972435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-2972435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-2972435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-2972435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-2972435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-2972435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-2972435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-2972435</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-2098040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-2098040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-2098040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-2098040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-2098040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-2098040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-2098040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-2098040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-2098040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-1223645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-1223645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-1223645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-1223645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-1223645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-1223645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-1223645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-1223645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-1223645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-186690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-186690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-186690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-186690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-186690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-186690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-186690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-186690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-186690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100" w:type="dxa"/>
            <w:vAlign w:val="bottom"/>
            <w:gridSpan w:val="4"/>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amortized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converted to</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6"/>
          </w:tcPr>
          <w:p>
            <w:pPr>
              <w:jc w:val="right"/>
              <w:ind w:right="28"/>
              <w:spacing w:after="0" w:line="129" w:lineRule="exact"/>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812</w:t>
            </w:r>
          </w:p>
        </w:tc>
        <w:tc>
          <w:tcPr>
            <w:tcW w:w="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596</w:t>
            </w:r>
          </w:p>
        </w:tc>
        <w:tc>
          <w:tcPr>
            <w:tcW w:w="300" w:type="dxa"/>
            <w:vAlign w:val="bottom"/>
            <w:gridSpan w:val="3"/>
            <w:shd w:val="clear" w:color="auto" w:fill="CFF0FC"/>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786</w:t>
            </w:r>
          </w:p>
        </w:tc>
        <w:tc>
          <w:tcPr>
            <w:tcW w:w="30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327,850</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3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330,198</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2,901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84,295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1,650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88,846</w:t>
            </w: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800</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860</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Dairy &amp; livestock</w:t>
            </w:r>
          </w:p>
        </w:tc>
        <w:tc>
          <w:tcPr>
            <w:tcW w:w="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gridSpan w:val="2"/>
            <w:vMerge w:val="restart"/>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3,713</w:t>
            </w:r>
          </w:p>
        </w:tc>
        <w:tc>
          <w:tcPr>
            <w:tcW w:w="80" w:type="dxa"/>
            <w:vAlign w:val="bottom"/>
            <w:shd w:val="clear" w:color="auto" w:fill="CFF0FC"/>
          </w:tcPr>
          <w:p>
            <w:pPr>
              <w:spacing w:after="0"/>
              <w:rPr>
                <w:sz w:val="11"/>
                <w:szCs w:val="11"/>
                <w:color w:val="auto"/>
              </w:rPr>
            </w:pP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596</w:t>
            </w:r>
          </w:p>
        </w:tc>
        <w:tc>
          <w:tcPr>
            <w:tcW w:w="30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786</w:t>
            </w:r>
          </w:p>
        </w:tc>
        <w:tc>
          <w:tcPr>
            <w:tcW w:w="3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201</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412,145</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2,463</w:t>
            </w:r>
          </w:p>
        </w:tc>
        <w:tc>
          <w:tcPr>
            <w:tcW w:w="30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419,904</w:t>
            </w:r>
          </w:p>
        </w:tc>
        <w:tc>
          <w:tcPr>
            <w:tcW w:w="0" w:type="dxa"/>
            <w:vAlign w:val="bottom"/>
          </w:tcPr>
          <w:p>
            <w:pPr>
              <w:spacing w:after="0"/>
              <w:rPr>
                <w:sz w:val="1"/>
                <w:szCs w:val="1"/>
                <w:color w:val="auto"/>
              </w:rPr>
            </w:pPr>
          </w:p>
        </w:tc>
      </w:tr>
      <w:tr>
        <w:trPr>
          <w:trHeight w:val="142"/>
        </w:trPr>
        <w:tc>
          <w:tcPr>
            <w:tcW w:w="19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gridSpan w:val="2"/>
            <w:vMerge w:val="continue"/>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6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2,540</w:t>
            </w:r>
          </w:p>
        </w:tc>
        <w:tc>
          <w:tcPr>
            <w:tcW w:w="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5,111</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24,715</w:t>
            </w:r>
          </w:p>
        </w:tc>
        <w:tc>
          <w:tcPr>
            <w:tcW w:w="300" w:type="dxa"/>
            <w:vAlign w:val="bottom"/>
            <w:gridSpan w:val="3"/>
            <w:shd w:val="clear" w:color="auto" w:fill="CFF0FC"/>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5,140</w:t>
            </w:r>
          </w:p>
        </w:tc>
        <w:tc>
          <w:tcPr>
            <w:tcW w:w="30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28,510</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66,016</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Municipal lease</w:t>
            </w:r>
          </w:p>
        </w:tc>
        <w:tc>
          <w:tcPr>
            <w:tcW w:w="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gridSpan w:val="2"/>
            <w:vMerge w:val="restart"/>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2,540</w:t>
            </w:r>
          </w:p>
        </w:tc>
        <w:tc>
          <w:tcPr>
            <w:tcW w:w="80" w:type="dxa"/>
            <w:vAlign w:val="bottom"/>
            <w:shd w:val="clear" w:color="auto" w:fill="CFF0FC"/>
          </w:tcPr>
          <w:p>
            <w:pPr>
              <w:spacing w:after="0"/>
              <w:rPr>
                <w:sz w:val="11"/>
                <w:szCs w:val="11"/>
                <w:color w:val="auto"/>
              </w:rPr>
            </w:pP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5,111</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24,715</w:t>
            </w:r>
          </w:p>
        </w:tc>
        <w:tc>
          <w:tcPr>
            <w:tcW w:w="30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5,140</w:t>
            </w:r>
          </w:p>
        </w:tc>
        <w:tc>
          <w:tcPr>
            <w:tcW w:w="3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28,608</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66,114</w:t>
            </w:r>
          </w:p>
        </w:tc>
        <w:tc>
          <w:tcPr>
            <w:tcW w:w="0" w:type="dxa"/>
            <w:vAlign w:val="bottom"/>
          </w:tcPr>
          <w:p>
            <w:pPr>
              <w:spacing w:after="0"/>
              <w:rPr>
                <w:sz w:val="1"/>
                <w:szCs w:val="1"/>
                <w:color w:val="auto"/>
              </w:rPr>
            </w:pPr>
          </w:p>
        </w:tc>
      </w:tr>
      <w:tr>
        <w:trPr>
          <w:trHeight w:val="142"/>
        </w:trPr>
        <w:tc>
          <w:tcPr>
            <w:tcW w:w="19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gridSpan w:val="2"/>
            <w:vMerge w:val="continue"/>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6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SFR mortgage loans:</w:t>
            </w: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20,261</w:t>
            </w:r>
          </w:p>
        </w:tc>
        <w:tc>
          <w:tcPr>
            <w:tcW w:w="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21,055</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59,763</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41,156</w:t>
            </w:r>
          </w:p>
        </w:tc>
        <w:tc>
          <w:tcPr>
            <w:tcW w:w="300" w:type="dxa"/>
            <w:vAlign w:val="bottom"/>
            <w:gridSpan w:val="3"/>
            <w:shd w:val="clear" w:color="auto" w:fill="CFF0FC"/>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38,730</w:t>
            </w:r>
          </w:p>
        </w:tc>
        <w:tc>
          <w:tcPr>
            <w:tcW w:w="30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85,637</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266,602</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896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1,591</w:t>
            </w: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979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979</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9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SFR mortgage</w:t>
            </w:r>
          </w:p>
        </w:tc>
        <w:tc>
          <w:tcPr>
            <w:tcW w:w="180" w:type="dxa"/>
            <w:vAlign w:val="bottom"/>
            <w:gridSpan w:val="2"/>
            <w:vMerge w:val="restart"/>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20,261</w:t>
            </w:r>
          </w:p>
        </w:tc>
        <w:tc>
          <w:tcPr>
            <w:tcW w:w="80" w:type="dxa"/>
            <w:vAlign w:val="bottom"/>
            <w:shd w:val="clear" w:color="auto" w:fill="CFF0FC"/>
          </w:tcPr>
          <w:p>
            <w:pPr>
              <w:spacing w:after="0"/>
              <w:rPr>
                <w:sz w:val="9"/>
                <w:szCs w:val="9"/>
                <w:color w:val="auto"/>
              </w:rPr>
            </w:pP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21,055</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59,763</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41,156</w:t>
            </w:r>
          </w:p>
        </w:tc>
        <w:tc>
          <w:tcPr>
            <w:tcW w:w="30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39,626</w:t>
            </w:r>
          </w:p>
        </w:tc>
        <w:tc>
          <w:tcPr>
            <w:tcW w:w="3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87,027</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284</w:t>
            </w:r>
          </w:p>
        </w:tc>
        <w:tc>
          <w:tcPr>
            <w:tcW w:w="30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269,172</w:t>
            </w:r>
          </w:p>
        </w:tc>
        <w:tc>
          <w:tcPr>
            <w:tcW w:w="0" w:type="dxa"/>
            <w:vAlign w:val="bottom"/>
          </w:tcPr>
          <w:p>
            <w:pPr>
              <w:spacing w:after="0"/>
              <w:rPr>
                <w:sz w:val="1"/>
                <w:szCs w:val="1"/>
                <w:color w:val="auto"/>
              </w:rPr>
            </w:pPr>
          </w:p>
        </w:tc>
      </w:tr>
      <w:tr>
        <w:trPr>
          <w:trHeight w:val="142"/>
        </w:trPr>
        <w:tc>
          <w:tcPr>
            <w:tcW w:w="19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gridSpan w:val="2"/>
            <w:vMerge w:val="continue"/>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6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7,242</w:t>
            </w:r>
          </w:p>
        </w:tc>
        <w:tc>
          <w:tcPr>
            <w:tcW w:w="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3,043</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1,521</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1,850</w:t>
            </w:r>
          </w:p>
        </w:tc>
        <w:tc>
          <w:tcPr>
            <w:tcW w:w="300" w:type="dxa"/>
            <w:vAlign w:val="bottom"/>
            <w:gridSpan w:val="3"/>
            <w:shd w:val="clear" w:color="auto" w:fill="CFF0FC"/>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30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624</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42,035</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1,855</w:t>
            </w:r>
          </w:p>
        </w:tc>
        <w:tc>
          <w:tcPr>
            <w:tcW w:w="3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58,312</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9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Consumer and</w:t>
            </w:r>
          </w:p>
        </w:tc>
        <w:tc>
          <w:tcPr>
            <w:tcW w:w="180" w:type="dxa"/>
            <w:vAlign w:val="bottom"/>
            <w:gridSpan w:val="2"/>
            <w:vMerge w:val="restart"/>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7,242</w:t>
            </w:r>
          </w:p>
        </w:tc>
        <w:tc>
          <w:tcPr>
            <w:tcW w:w="80" w:type="dxa"/>
            <w:vAlign w:val="bottom"/>
            <w:shd w:val="clear" w:color="auto" w:fill="CFF0FC"/>
          </w:tcPr>
          <w:p>
            <w:pPr>
              <w:spacing w:after="0"/>
              <w:rPr>
                <w:sz w:val="9"/>
                <w:szCs w:val="9"/>
                <w:color w:val="auto"/>
              </w:rPr>
            </w:pP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3,043</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1,521</w:t>
            </w:r>
          </w:p>
        </w:tc>
        <w:tc>
          <w:tcPr>
            <w:tcW w:w="2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1,980</w:t>
            </w:r>
          </w:p>
        </w:tc>
        <w:tc>
          <w:tcPr>
            <w:tcW w:w="30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142</w:t>
            </w:r>
          </w:p>
        </w:tc>
        <w:tc>
          <w:tcPr>
            <w:tcW w:w="3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624</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42,039</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2,152</w:t>
            </w:r>
          </w:p>
        </w:tc>
        <w:tc>
          <w:tcPr>
            <w:tcW w:w="300" w:type="dxa"/>
            <w:vAlign w:val="bottom"/>
            <w:gridSpan w:val="2"/>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58,743</w:t>
            </w:r>
          </w:p>
        </w:tc>
        <w:tc>
          <w:tcPr>
            <w:tcW w:w="0" w:type="dxa"/>
            <w:vAlign w:val="bottom"/>
          </w:tcPr>
          <w:p>
            <w:pPr>
              <w:spacing w:after="0"/>
              <w:rPr>
                <w:sz w:val="1"/>
                <w:szCs w:val="1"/>
                <w:color w:val="auto"/>
              </w:rPr>
            </w:pPr>
          </w:p>
        </w:tc>
      </w:tr>
      <w:tr>
        <w:trPr>
          <w:trHeight w:val="142"/>
        </w:trPr>
        <w:tc>
          <w:tcPr>
            <w:tcW w:w="196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gridSpan w:val="2"/>
            <w:vMerge w:val="continue"/>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6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Risk Rating: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480,552</w:t>
            </w:r>
          </w:p>
        </w:tc>
        <w:tc>
          <w:tcPr>
            <w:tcW w:w="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560,266</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1,448,946</w:t>
            </w:r>
          </w:p>
        </w:tc>
        <w:tc>
          <w:tcPr>
            <w:tcW w:w="280" w:type="dxa"/>
            <w:vAlign w:val="bottom"/>
            <w:gridSpan w:val="2"/>
            <w:shd w:val="clear" w:color="auto" w:fill="CFF0FC"/>
          </w:tcPr>
          <w:p>
            <w:pPr>
              <w:jc w:val="right"/>
              <w:ind w:right="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1,250,781</w:t>
            </w:r>
          </w:p>
        </w:tc>
        <w:tc>
          <w:tcPr>
            <w:tcW w:w="300" w:type="dxa"/>
            <w:vAlign w:val="bottom"/>
            <w:gridSpan w:val="3"/>
            <w:shd w:val="clear" w:color="auto" w:fill="CFF0FC"/>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966,628</w:t>
            </w:r>
          </w:p>
        </w:tc>
        <w:tc>
          <w:tcPr>
            <w:tcW w:w="300" w:type="dxa"/>
            <w:vAlign w:val="bottom"/>
            <w:gridSpan w:val="2"/>
            <w:shd w:val="clear" w:color="auto" w:fill="CFF0FC"/>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2,495,112</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886,023</w:t>
            </w:r>
          </w:p>
        </w:tc>
        <w:tc>
          <w:tcPr>
            <w:tcW w:w="20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45,785</w:t>
            </w:r>
          </w:p>
        </w:tc>
        <w:tc>
          <w:tcPr>
            <w:tcW w:w="3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8,134,093</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4,795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7,123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37,531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25,114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23,089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110,715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96,372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8,051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312,790</w:t>
            </w: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1,176</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3,273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8,879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9,068</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15,138</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39,304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7,693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5,018</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89,549</w:t>
            </w:r>
          </w:p>
        </w:tc>
        <w:tc>
          <w:tcPr>
            <w:tcW w:w="0" w:type="dxa"/>
            <w:vAlign w:val="bottom"/>
          </w:tcPr>
          <w:p>
            <w:pPr>
              <w:spacing w:after="0"/>
              <w:rPr>
                <w:sz w:val="1"/>
                <w:szCs w:val="1"/>
                <w:color w:val="auto"/>
              </w:rPr>
            </w:pPr>
          </w:p>
        </w:tc>
      </w:tr>
      <w:tr>
        <w:trPr>
          <w:trHeight w:val="135"/>
        </w:trPr>
        <w:tc>
          <w:tcPr>
            <w:tcW w:w="19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Doubtful &amp; 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486,523</w:t>
            </w: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570,662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1,495,356</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1,284,963</w:t>
            </w:r>
          </w:p>
        </w:tc>
        <w:tc>
          <w:tcPr>
            <w:tcW w:w="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gridSpan w:val="2"/>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1,004,855</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2,645,131</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990,088</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58,854</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8,536,432</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Current YTD Period:</w:t>
            </w:r>
          </w:p>
        </w:tc>
        <w:tc>
          <w:tcPr>
            <w:tcW w:w="18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96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Gross charge-offs</w:t>
            </w:r>
          </w:p>
        </w:tc>
        <w:tc>
          <w:tcPr>
            <w:tcW w:w="180" w:type="dxa"/>
            <w:vAlign w:val="bottom"/>
            <w:tcBorders>
              <w:bottom w:val="single" w:sz="8" w:color="auto"/>
            </w:tcBorders>
            <w:gridSpan w:val="2"/>
            <w:vMerge w:val="continue"/>
          </w:tcPr>
          <w:p>
            <w:pPr>
              <w:spacing w:after="0"/>
              <w:rPr>
                <w:sz w:val="9"/>
                <w:szCs w:val="9"/>
                <w:color w:val="auto"/>
              </w:rPr>
            </w:pPr>
          </w:p>
        </w:tc>
        <w:tc>
          <w:tcPr>
            <w:tcW w:w="660" w:type="dxa"/>
            <w:vAlign w:val="bottom"/>
            <w:tcBorders>
              <w:bottom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-4182745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-4182745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-4182745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-4182745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-4182745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-4182745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-4182745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-4182745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-4182745</wp:posOffset>
            </wp:positionV>
            <wp:extent cx="774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-3060065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-3060065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-3060065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-3060065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-3060065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-3060065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-3060065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-3060065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-3060065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-2108200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-2108200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-2108200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-2108200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-2108200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-2108200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-2108200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-2108200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-2108200</wp:posOffset>
            </wp:positionV>
            <wp:extent cx="774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-1071245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-1071245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-1071245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-1071245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-1071245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-1071245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-1071245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-1071245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-196215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-179705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-196215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-179705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-196215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-179705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-196215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-179705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-196215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-179705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-196215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-179705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-196215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-179705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-196215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-179705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-179705</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("ACL")</w:t>
      </w:r>
    </w:p>
    <w:p>
      <w:pPr>
        <w:spacing w:after="0" w:line="22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8"/>
          <w:szCs w:val="18"/>
          <w:color w:val="auto"/>
        </w:rPr>
        <w:t xml:space="preserve">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included in our Annual Report on Form 10-K for the year ended December 31, 2024 for a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concerning the allowance for credit losses.</w:t>
      </w:r>
    </w:p>
    <w:p>
      <w:pPr>
        <w:spacing w:after="0" w:line="195"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The ACL totaled $78.3 million at March 31, 2025, compared to $80.1 million at December 31, 2024. The $1.9 million decrease in the ACL from December 31, 2024 to March 31, 2025 is comprised of $130,000 in net recoveries and $2 million recapture of provision for credit losses. At March 31, 2025, the ACL as a percentage of total loans and leases, at amortized cost, was 0.94%. This compares to 0.94% at December 31, 2024. Our economic forecast continues to be a blend of multiple forecasts produced by Moody’s. These U.S. economic forecasts include a baseline forecast, as well as downside forecasts. The baseline forecast continues to represent the largest weighting in our multi-weighted forecast scenario, with both upside and downside risks weighted among multiple forecasts. As of March 31, 2025, the resulting economic forecast has Real GDP growing at a slower rate for the remainder of 2025 and only reaching a 2% growth rate in the second half of 2026. Commercial real estate values are forecasted to continue their decline through the first half of 2026. Unemployment is forecasted to rise in 2025 and reach 5% by the beginning of 2026 and stay elevated through 2028.</w:t>
      </w:r>
    </w:p>
    <w:p>
      <w:pPr>
        <w:spacing w:after="0" w:line="192"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8"/>
          <w:szCs w:val="18"/>
          <w:color w:val="auto"/>
        </w:rPr>
        <w:t>Management believes that the ACL was appropriate at March 31, 2025 and December 31, 2024. Due to inflationary pressures, high interest rates, lower commercial real estate values, international tariffs, and other geopolitical events, no assurance can be given that economic conditions that adversely affect the Company’s service areas or other circumstances will not be reflected in increased provisions for credit losses in the future.</w:t>
      </w:r>
    </w:p>
    <w:p>
      <w:pPr>
        <w:spacing w:after="0" w:line="135"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920" w:type="dxa"/>
            <w:vAlign w:val="bottom"/>
            <w:tcBorders>
              <w:bottom w:val="single" w:sz="8" w:color="auto"/>
            </w:tcBorders>
            <w:gridSpan w:val="8"/>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(Recapture of)</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Balance March</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20" w:type="dxa"/>
            <w:vAlign w:val="bottom"/>
          </w:tcPr>
          <w:p>
            <w:pPr>
              <w:spacing w:after="0"/>
              <w:rPr>
                <w:sz w:val="12"/>
                <w:szCs w:val="12"/>
                <w:color w:val="auto"/>
              </w:rPr>
            </w:pPr>
          </w:p>
        </w:tc>
        <w:tc>
          <w:tcPr>
            <w:tcW w:w="12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Credit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66,237</w:t>
            </w:r>
          </w:p>
        </w:tc>
        <w:tc>
          <w:tcPr>
            <w:tcW w:w="500" w:type="dxa"/>
            <w:vAlign w:val="bottom"/>
            <w:gridSpan w:val="2"/>
            <w:shd w:val="clear" w:color="auto" w:fill="CFF0FC"/>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3,610</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Municipal lease finance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receivables</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3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80,122</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(40)</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170</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(2,000)</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78,252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-25400</wp:posOffset>
            </wp:positionV>
            <wp:extent cx="768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768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77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77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6"/>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Provision for</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Balance March</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20" w:type="dxa"/>
            <w:vAlign w:val="bottom"/>
          </w:tcPr>
          <w:p>
            <w:pPr>
              <w:spacing w:after="0"/>
              <w:rPr>
                <w:sz w:val="12"/>
                <w:szCs w:val="12"/>
                <w:color w:val="auto"/>
              </w:rPr>
            </w:pPr>
          </w:p>
        </w:tc>
        <w:tc>
          <w:tcPr>
            <w:tcW w:w="14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500" w:type="dxa"/>
            <w:vAlign w:val="bottom"/>
            <w:gridSpan w:val="2"/>
            <w:shd w:val="clear" w:color="auto" w:fill="CFF0FC"/>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69,466</w:t>
            </w:r>
          </w:p>
        </w:tc>
        <w:tc>
          <w:tcPr>
            <w:tcW w:w="360" w:type="dxa"/>
            <w:vAlign w:val="bottom"/>
            <w:gridSpan w:val="2"/>
            <w:shd w:val="clear" w:color="auto" w:fill="CFF0FC"/>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2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2,237</w:t>
            </w:r>
          </w:p>
        </w:tc>
        <w:tc>
          <w:tcPr>
            <w:tcW w:w="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69,445</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2,679</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9,116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(1,917)</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spacing w:after="0"/>
              <w:rPr>
                <w:sz w:val="12"/>
                <w:szCs w:val="12"/>
                <w:color w:val="auto"/>
              </w:rPr>
            </w:pPr>
          </w:p>
        </w:tc>
        <w:tc>
          <w:tcPr>
            <w:tcW w:w="1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(2,316)</w:t>
            </w: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5,059</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3,098</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3,252</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Municipal lease finance</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07"/>
        </w:trPr>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receivables</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86,842</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(4,267)</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242</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82,817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Nonperforming Loans</w:t>
      </w:r>
    </w:p>
    <w:p>
      <w:pPr>
        <w:spacing w:after="0" w:line="229"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included in our Annual Report on Form 10-K for the year ended December 31, 2024, for additional discussion concerning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Bank’s policy for past due and nonperforming loans.</w:t>
      </w:r>
    </w:p>
    <w:p>
      <w:pPr>
        <w:spacing w:after="0" w:line="192" w:lineRule="exact"/>
        <w:rPr>
          <w:sz w:val="20"/>
          <w:szCs w:val="20"/>
          <w:color w:val="auto"/>
        </w:rPr>
      </w:pPr>
    </w:p>
    <w:p>
      <w:pPr>
        <w:ind w:right="3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(including nonaccrual loans), by type of loans as of the dates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1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22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20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 89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0"/>
                <w:szCs w:val="10"/>
                <w:color w:val="auto"/>
              </w:rPr>
            </w:pPr>
          </w:p>
        </w:tc>
        <w:tc>
          <w:tcPr>
            <w:tcW w:w="12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Loans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00" w:type="dxa"/>
            <w:vAlign w:val="bottom"/>
            <w:vMerge w:val="continue"/>
          </w:tcPr>
          <w:p>
            <w:pPr>
              <w:spacing w:after="0"/>
              <w:rPr>
                <w:sz w:val="12"/>
                <w:szCs w:val="12"/>
                <w:color w:val="auto"/>
              </w:rPr>
            </w:pPr>
          </w:p>
        </w:tc>
        <w:tc>
          <w:tcPr>
            <w:tcW w:w="11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Owner occupied</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2,308,238</w:t>
            </w:r>
          </w:p>
        </w:tc>
        <w:tc>
          <w:tcPr>
            <w:tcW w:w="38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Non-owner occupied</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23,707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23,707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4,158,659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4,182,366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Speculative (1)</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Non-speculative</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270,873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SBA - PPP</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942,300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942,301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252,532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Municipal lease finance receivables</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65,203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65,203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269,493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55,770</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55,770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loans at amortized cost</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718</w:t>
            </w:r>
          </w:p>
        </w:tc>
        <w:tc>
          <w:tcPr>
            <w:tcW w:w="48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24,021</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24,739</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8,338,893</w:t>
            </w:r>
          </w:p>
        </w:tc>
        <w:tc>
          <w:tcPr>
            <w:tcW w:w="38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8,363,632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-128270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-128270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-128270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-128270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80" w:type="dxa"/>
            <w:vAlign w:val="bottom"/>
          </w:tcPr>
          <w:p>
            <w:pPr>
              <w:spacing w:after="0"/>
              <w:rPr>
                <w:sz w:val="10"/>
                <w:szCs w:val="10"/>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12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 89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10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Loans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6"/>
          </w:tcPr>
          <w:p>
            <w:pPr>
              <w:jc w:val="right"/>
              <w:ind w:right="8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Owner occupied</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2,329,380</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2,329,576</w:t>
            </w: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Non-owner occupied</w:t>
            </w:r>
          </w:p>
        </w:tc>
        <w:tc>
          <w:tcPr>
            <w:tcW w:w="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24,430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24,430</w:t>
            </w: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4,153,446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4,177,876</w:t>
            </w:r>
          </w:p>
        </w:tc>
        <w:tc>
          <w:tcPr>
            <w:tcW w:w="0" w:type="dxa"/>
            <w:vAlign w:val="bottom"/>
          </w:tcPr>
          <w:p>
            <w:pPr>
              <w:spacing w:after="0"/>
              <w:rPr>
                <w:sz w:val="1"/>
                <w:szCs w:val="1"/>
                <w:color w:val="auto"/>
              </w:rPr>
            </w:pPr>
          </w:p>
        </w:tc>
      </w:tr>
      <w:tr>
        <w:trPr>
          <w:trHeight w:val="148"/>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Speculative (1)</w:t>
            </w:r>
          </w:p>
        </w:tc>
        <w:tc>
          <w:tcPr>
            <w:tcW w:w="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8,091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8,091</w:t>
            </w:r>
          </w:p>
        </w:tc>
        <w:tc>
          <w:tcPr>
            <w:tcW w:w="0" w:type="dxa"/>
            <w:vAlign w:val="bottom"/>
          </w:tcPr>
          <w:p>
            <w:pPr>
              <w:spacing w:after="0"/>
              <w:rPr>
                <w:sz w:val="1"/>
                <w:szCs w:val="1"/>
                <w:color w:val="auto"/>
              </w:rPr>
            </w:pPr>
          </w:p>
        </w:tc>
      </w:tr>
      <w:tr>
        <w:trPr>
          <w:trHeight w:val="149"/>
        </w:trPr>
        <w:tc>
          <w:tcPr>
            <w:tcW w:w="3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Non-speculative</w:t>
            </w:r>
          </w:p>
        </w:tc>
        <w:tc>
          <w:tcPr>
            <w:tcW w:w="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7,991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7,991</w:t>
            </w: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271,396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273,013</w:t>
            </w: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SBA - PPP</w:t>
            </w:r>
          </w:p>
        </w:tc>
        <w:tc>
          <w:tcPr>
            <w:tcW w:w="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924,639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925,178</w:t>
            </w:r>
          </w:p>
        </w:tc>
        <w:tc>
          <w:tcPr>
            <w:tcW w:w="0" w:type="dxa"/>
            <w:vAlign w:val="bottom"/>
          </w:tcPr>
          <w:p>
            <w:pPr>
              <w:spacing w:after="0"/>
              <w:rPr>
                <w:sz w:val="1"/>
                <w:szCs w:val="1"/>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419,844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419,904</w:t>
            </w: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Municipal lease finance receivables</w:t>
            </w:r>
          </w:p>
        </w:tc>
        <w:tc>
          <w:tcPr>
            <w:tcW w:w="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66,114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66,114</w:t>
            </w:r>
          </w:p>
        </w:tc>
        <w:tc>
          <w:tcPr>
            <w:tcW w:w="0" w:type="dxa"/>
            <w:vAlign w:val="bottom"/>
          </w:tcPr>
          <w:p>
            <w:pPr>
              <w:spacing w:after="0"/>
              <w:rPr>
                <w:sz w:val="1"/>
                <w:szCs w:val="1"/>
                <w:color w:val="auto"/>
              </w:rPr>
            </w:pPr>
          </w:p>
        </w:tc>
      </w:tr>
      <w:tr>
        <w:trPr>
          <w:trHeight w:val="149"/>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269,172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269,172</w:t>
            </w: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58,743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58,743</w:t>
            </w: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loans at amortized cost</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399</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w:t>
            </w:r>
          </w:p>
        </w:tc>
        <w:tc>
          <w:tcPr>
            <w:tcW w:w="220" w:type="dxa"/>
            <w:vAlign w:val="bottom"/>
          </w:tcPr>
          <w:p>
            <w:pPr>
              <w:spacing w:after="0"/>
              <w:rPr>
                <w:sz w:val="12"/>
                <w:szCs w:val="12"/>
                <w:color w:val="auto"/>
              </w:rPr>
            </w:pP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26,253</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26,842</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8,509,590</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8,536,432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-128270</wp:posOffset>
            </wp:positionV>
            <wp:extent cx="768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-128270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-128270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-128270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-128270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0"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Amortized cost of our finance receivables and loans that are on nonaccrual status, including loans with no allowance are presented as of March 31, 2025 and December 31, 2024 by type of loan.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160" w:type="dxa"/>
            <w:vAlign w:val="bottom"/>
          </w:tcPr>
          <w:p>
            <w:pPr>
              <w:spacing w:after="0"/>
              <w:rPr>
                <w:sz w:val="16"/>
                <w:szCs w:val="16"/>
                <w:color w:val="auto"/>
              </w:rPr>
            </w:pPr>
          </w:p>
        </w:tc>
        <w:tc>
          <w:tcPr>
            <w:tcW w:w="13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6"/>
                <w:szCs w:val="16"/>
                <w:color w:val="auto"/>
              </w:rPr>
            </w:pPr>
          </w:p>
        </w:tc>
      </w:tr>
      <w:tr>
        <w:trPr>
          <w:trHeight w:val="216"/>
        </w:trPr>
        <w:tc>
          <w:tcPr>
            <w:tcW w:w="6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Total Nonaccrual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38"/>
        </w:trPr>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(1) (3)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r>
      <w:tr>
        <w:trPr>
          <w:trHeight w:val="209"/>
        </w:trPr>
        <w:tc>
          <w:tcPr>
            <w:tcW w:w="6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(Dollars in thousands)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Speculative (2)</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-170815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2025, $1.6 million of nonaccruing loans were current and $24.0 million were 90+ days past due.</w:t>
      </w:r>
    </w:p>
    <w:p>
      <w:pPr>
        <w:spacing w:after="0" w:line="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$55,000 of guaranteed portion of nonaccrual SBA loans that are in process of collection.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160" w:type="dxa"/>
            <w:vAlign w:val="bottom"/>
          </w:tcPr>
          <w:p>
            <w:pPr>
              <w:spacing w:after="0"/>
              <w:rPr>
                <w:sz w:val="16"/>
                <w:szCs w:val="16"/>
                <w:color w:val="auto"/>
              </w:rPr>
            </w:pPr>
          </w:p>
        </w:tc>
        <w:tc>
          <w:tcPr>
            <w:tcW w:w="1680" w:type="dxa"/>
            <w:vAlign w:val="bottom"/>
            <w:gridSpan w:val="3"/>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Nonaccrual with</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6"/>
                <w:szCs w:val="16"/>
                <w:color w:val="auto"/>
              </w:rPr>
            </w:pPr>
          </w:p>
        </w:tc>
      </w:tr>
      <w:tr>
        <w:trPr>
          <w:trHeight w:val="216"/>
        </w:trPr>
        <w:tc>
          <w:tcPr>
            <w:tcW w:w="616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Total Nonaccrual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38"/>
        </w:trPr>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r>
      <w:tr>
        <w:trPr>
          <w:trHeight w:val="208"/>
        </w:trPr>
        <w:tc>
          <w:tcPr>
            <w:tcW w:w="6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24,430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Speculative (2)</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-170815</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$1.4 million of nonaccruing loans were current, $102,000 were 60-89 days past due, and $26.3 million were 90+ days past due.</w:t>
      </w:r>
    </w:p>
    <w:p>
      <w:pPr>
        <w:spacing w:after="0" w:line="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229"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 Loans</w:t>
            </w:r>
          </w:p>
        </w:tc>
      </w:tr>
      <w:tr>
        <w:trPr>
          <w:trHeight w:val="180"/>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12"/>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r>
      <w:tr>
        <w:trPr>
          <w:trHeight w:val="202"/>
        </w:trPr>
        <w:tc>
          <w:tcPr>
            <w:tcW w:w="40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24,378</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SBA</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SBA - PPP</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SFR mortgage</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 and other loans</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-162560</wp:posOffset>
            </wp:positionV>
            <wp:extent cx="774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-162560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 Loans</w:t>
            </w:r>
          </w:p>
        </w:tc>
      </w:tr>
      <w:tr>
        <w:trPr>
          <w:trHeight w:val="180"/>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12"/>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r>
      <w:tr>
        <w:trPr>
          <w:trHeight w:val="202"/>
        </w:trPr>
        <w:tc>
          <w:tcPr>
            <w:tcW w:w="40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25,866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SBA - PPP</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-162560</wp:posOffset>
            </wp:positionV>
            <wp:extent cx="774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-162560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229"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$6.8 million for the off-balance sheet credit exposures as of March 31, 2025. There was a $500,000 provision for unfunded loan commitments for the three months ended March 31, 2025, and no provision for the three months ended March 31, 2024. As of March 31, 2025 and December 31, 2024, the balance in this reserve was $6.8 million and $6.3 million, respectively, and was included in other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There were three loans to borrowers experiencing financial difficulty that were modified during the three months ended March 31, 2025 with an amortized cost totaling $6.2 million as of March 31, 2025, including two commercial real estate loans totaling $6.0 million and one dairy &amp; livestock and agribusiness loan of $225,000.</w:t>
      </w:r>
    </w:p>
    <w:p>
      <w:pPr>
        <w:spacing w:after="0" w:line="176" w:lineRule="exact"/>
        <w:rPr>
          <w:sz w:val="20"/>
          <w:szCs w:val="20"/>
          <w:color w:val="auto"/>
        </w:rPr>
      </w:pPr>
    </w:p>
    <w:p>
      <w:pPr>
        <w:ind w:right="140" w:firstLine="464"/>
        <w:spacing w:after="0" w:line="282" w:lineRule="auto"/>
        <w:rPr>
          <w:sz w:val="20"/>
          <w:szCs w:val="20"/>
          <w:color w:val="auto"/>
        </w:rPr>
      </w:pPr>
      <w:r>
        <w:rPr>
          <w:rFonts w:ascii="Times New Roman" w:cs="Times New Roman" w:eastAsia="Times New Roman" w:hAnsi="Times New Roman"/>
          <w:sz w:val="18"/>
          <w:szCs w:val="18"/>
          <w:color w:val="auto"/>
        </w:rPr>
        <w:t>The tables below reflect the amortized cost of loans by type made to borrowers experiencing financial difficulty that were modified as of March 31, 2025 and March 31, 2024, and the financial effect of those modifications.</w:t>
      </w:r>
    </w:p>
    <w:p>
      <w:pPr>
        <w:sectPr>
          <w:pgSz w:w="11900" w:h="16838" w:orient="portrait"/>
          <w:cols w:equalWidth="0" w:num="1">
            <w:col w:w="11240"/>
          </w:cols>
          <w:pgMar w:left="320" w:top="1089"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w:t>
            </w:r>
          </w:p>
        </w:tc>
        <w:tc>
          <w:tcPr>
            <w:tcW w:w="2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2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238"/>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22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0" w:type="dxa"/>
            <w:vAlign w:val="bottom"/>
          </w:tcPr>
          <w:p>
            <w:pPr>
              <w:spacing w:after="0"/>
              <w:rPr>
                <w:sz w:val="1"/>
                <w:szCs w:val="1"/>
                <w:color w:val="auto"/>
              </w:rPr>
            </w:pPr>
          </w:p>
        </w:tc>
      </w:tr>
      <w:tr>
        <w:trPr>
          <w:trHeight w:val="187"/>
        </w:trPr>
        <w:tc>
          <w:tcPr>
            <w:tcW w:w="2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19685</wp:posOffset>
            </wp:positionV>
            <wp:extent cx="7132320" cy="146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420" w:firstLine="45"/>
        <w:spacing w:after="0" w:line="261" w:lineRule="auto"/>
        <w:rPr>
          <w:sz w:val="20"/>
          <w:szCs w:val="20"/>
          <w:color w:val="auto"/>
        </w:rPr>
      </w:pPr>
      <w:r>
        <w:rPr>
          <w:rFonts w:ascii="Times New Roman" w:cs="Times New Roman" w:eastAsia="Times New Roman" w:hAnsi="Times New Roman"/>
          <w:sz w:val="18"/>
          <w:szCs w:val="18"/>
          <w:color w:val="auto"/>
        </w:rPr>
        <w:t>Added a weighted-average 1.2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-273685</wp:posOffset>
            </wp:positionV>
            <wp:extent cx="7132320" cy="274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420" w:firstLine="45"/>
        <w:spacing w:after="0" w:line="250" w:lineRule="auto"/>
        <w:rPr>
          <w:sz w:val="20"/>
          <w:szCs w:val="20"/>
          <w:color w:val="auto"/>
        </w:rPr>
      </w:pPr>
      <w:r>
        <w:rPr>
          <w:rFonts w:ascii="Times New Roman" w:cs="Times New Roman" w:eastAsia="Times New Roman" w:hAnsi="Times New Roman"/>
          <w:sz w:val="18"/>
          <w:szCs w:val="18"/>
          <w:color w:val="auto"/>
        </w:rPr>
        <w:t>Added a weighted-average 1.2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635</wp:posOffset>
            </wp:positionV>
            <wp:extent cx="7132320" cy="274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420" w:firstLine="45"/>
        <w:spacing w:after="0" w:line="245" w:lineRule="auto"/>
        <w:rPr>
          <w:sz w:val="20"/>
          <w:szCs w:val="20"/>
          <w:color w:val="auto"/>
        </w:rPr>
      </w:pPr>
      <w:r>
        <w:rPr>
          <w:rFonts w:ascii="Times New Roman" w:cs="Times New Roman" w:eastAsia="Times New Roman" w:hAnsi="Times New Roman"/>
          <w:sz w:val="18"/>
          <w:szCs w:val="18"/>
          <w:color w:val="auto"/>
        </w:rPr>
        <w:t>Added a weighted-average 1.6 years to the life of loans, which reduced monthly payment amounts for the borrowers.</w:t>
      </w:r>
    </w:p>
    <w:p>
      <w:pPr>
        <w:spacing w:after="0" w:line="1" w:lineRule="exact"/>
        <w:rPr>
          <w:sz w:val="20"/>
          <w:szCs w:val="20"/>
          <w:color w:val="auto"/>
        </w:rPr>
      </w:pPr>
    </w:p>
    <w:p>
      <w:pPr>
        <w:sectPr>
          <w:pgSz w:w="11900" w:h="16838" w:orient="portrait"/>
          <w:cols w:equalWidth="0" w:num="2">
            <w:col w:w="5500" w:space="160"/>
            <w:col w:w="55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040" w:type="dxa"/>
            <w:vAlign w:val="bottom"/>
          </w:tcPr>
          <w:p>
            <w:pPr>
              <w:ind w:left="1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11,269</w:t>
            </w:r>
          </w:p>
        </w:tc>
        <w:tc>
          <w:tcPr>
            <w:tcW w:w="7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 Extension and Interest Rate</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7380" w:type="dxa"/>
            <w:vAlign w:val="bottom"/>
            <w:shd w:val="clear" w:color="auto" w:fill="CFF0FC"/>
          </w:tcPr>
          <w:p>
            <w:pPr>
              <w:ind w:left="1800"/>
              <w:spacing w:after="0" w:line="198" w:lineRule="exact"/>
              <w:rPr>
                <w:sz w:val="20"/>
                <w:szCs w:val="20"/>
                <w:color w:val="auto"/>
              </w:rPr>
            </w:pPr>
            <w:r>
              <w:rPr>
                <w:rFonts w:ascii="Times New Roman" w:cs="Times New Roman" w:eastAsia="Times New Roman" w:hAnsi="Times New Roman"/>
                <w:sz w:val="18"/>
                <w:szCs w:val="18"/>
                <w:color w:val="auto"/>
              </w:rPr>
              <w:t>Added a weighted-average 1.4 years to the life of loans, which reduced</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0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73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0.01%  monthly payment amounts for the borrowers; reduced weighted-average</w:t>
            </w:r>
          </w:p>
        </w:tc>
        <w:tc>
          <w:tcPr>
            <w:tcW w:w="0" w:type="dxa"/>
            <w:vAlign w:val="bottom"/>
          </w:tcPr>
          <w:p>
            <w:pPr>
              <w:spacing w:after="0"/>
              <w:rPr>
                <w:sz w:val="1"/>
                <w:szCs w:val="1"/>
                <w:color w:val="auto"/>
              </w:rPr>
            </w:pPr>
          </w:p>
        </w:tc>
      </w:tr>
      <w:tr>
        <w:trPr>
          <w:trHeight w:val="221"/>
        </w:trPr>
        <w:tc>
          <w:tcPr>
            <w:tcW w:w="3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7380" w:type="dxa"/>
            <w:vAlign w:val="bottom"/>
            <w:tcBorders>
              <w:bottom w:val="single" w:sz="8" w:color="CFF0FC"/>
            </w:tcBorders>
            <w:shd w:val="clear" w:color="auto" w:fill="CFF0FC"/>
          </w:tcPr>
          <w:p>
            <w:pPr>
              <w:ind w:left="1800"/>
              <w:spacing w:after="0"/>
              <w:rPr>
                <w:sz w:val="20"/>
                <w:szCs w:val="20"/>
                <w:color w:val="auto"/>
              </w:rPr>
            </w:pPr>
            <w:r>
              <w:rPr>
                <w:rFonts w:ascii="Times New Roman" w:cs="Times New Roman" w:eastAsia="Times New Roman" w:hAnsi="Times New Roman"/>
                <w:sz w:val="18"/>
                <w:szCs w:val="18"/>
                <w:color w:val="auto"/>
              </w:rPr>
              <w:t>contractual interest rate from 10.00% to 7.25%.</w:t>
            </w:r>
          </w:p>
        </w:tc>
        <w:tc>
          <w:tcPr>
            <w:tcW w:w="0" w:type="dxa"/>
            <w:vAlign w:val="bottom"/>
          </w:tcPr>
          <w:p>
            <w:pPr>
              <w:spacing w:after="0"/>
              <w:rPr>
                <w:sz w:val="1"/>
                <w:szCs w:val="1"/>
                <w:color w:val="auto"/>
              </w:rPr>
            </w:pPr>
          </w:p>
        </w:tc>
      </w:tr>
      <w:tr>
        <w:trPr>
          <w:trHeight w:val="21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Modified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7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979"/>
        </w:trPr>
        <w:tc>
          <w:tcPr>
            <w:tcW w:w="3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-1224915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-933450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-916940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w:t>
            </w:r>
          </w:p>
        </w:tc>
        <w:tc>
          <w:tcPr>
            <w:tcW w:w="2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2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238"/>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22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0" w:type="dxa"/>
            <w:vAlign w:val="bottom"/>
          </w:tcPr>
          <w:p>
            <w:pPr>
              <w:spacing w:after="0"/>
              <w:rPr>
                <w:sz w:val="1"/>
                <w:szCs w:val="1"/>
                <w:color w:val="auto"/>
              </w:rPr>
            </w:pPr>
          </w:p>
        </w:tc>
      </w:tr>
      <w:tr>
        <w:trPr>
          <w:trHeight w:val="187"/>
        </w:trPr>
        <w:tc>
          <w:tcPr>
            <w:tcW w:w="2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165735</wp:posOffset>
            </wp:positionV>
            <wp:extent cx="713232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35490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420" w:firstLine="45"/>
        <w:spacing w:after="0" w:line="261" w:lineRule="auto"/>
        <w:rPr>
          <w:sz w:val="20"/>
          <w:szCs w:val="20"/>
          <w:color w:val="auto"/>
        </w:rPr>
      </w:pPr>
      <w:r>
        <w:rPr>
          <w:rFonts w:ascii="Times New Roman" w:cs="Times New Roman" w:eastAsia="Times New Roman" w:hAnsi="Times New Roman"/>
          <w:sz w:val="18"/>
          <w:szCs w:val="18"/>
          <w:color w:val="auto"/>
        </w:rPr>
        <w:t>Added a weighted-average 1.3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0</wp:posOffset>
            </wp:positionV>
            <wp:extent cx="7132320" cy="2743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420" w:firstLine="45"/>
        <w:spacing w:after="0" w:line="250" w:lineRule="auto"/>
        <w:rPr>
          <w:sz w:val="20"/>
          <w:szCs w:val="20"/>
          <w:color w:val="auto"/>
        </w:rPr>
      </w:pPr>
      <w:r>
        <w:rPr>
          <w:rFonts w:ascii="Times New Roman" w:cs="Times New Roman" w:eastAsia="Times New Roman" w:hAnsi="Times New Roman"/>
          <w:sz w:val="18"/>
          <w:szCs w:val="18"/>
          <w:color w:val="auto"/>
        </w:rPr>
        <w:t>Added a weighted-average 0.7 years to the life of loans, which reduced monthly payment amounts for the borrowers.</w:t>
      </w:r>
    </w:p>
    <w:p>
      <w:pPr>
        <w:spacing w:after="0" w:line="1" w:lineRule="exact"/>
        <w:rPr>
          <w:sz w:val="20"/>
          <w:szCs w:val="20"/>
          <w:color w:val="auto"/>
        </w:rPr>
      </w:pPr>
    </w:p>
    <w:p>
      <w:pPr>
        <w:ind w:right="420" w:firstLine="45"/>
        <w:spacing w:after="0" w:line="245" w:lineRule="auto"/>
        <w:rPr>
          <w:sz w:val="20"/>
          <w:szCs w:val="20"/>
          <w:color w:val="auto"/>
        </w:rPr>
      </w:pPr>
      <w:r>
        <w:rPr>
          <w:rFonts w:ascii="Times New Roman" w:cs="Times New Roman" w:eastAsia="Times New Roman" w:hAnsi="Times New Roman"/>
          <w:sz w:val="18"/>
          <w:szCs w:val="18"/>
          <w:color w:val="auto"/>
        </w:rPr>
        <w:t>Added a weighted-average 0.6 years to the life of loans, which reduced monthly payment amounts for the borrowers.</w:t>
      </w:r>
    </w:p>
    <w:p>
      <w:pPr>
        <w:spacing w:after="0" w:line="1" w:lineRule="exact"/>
        <w:rPr>
          <w:sz w:val="20"/>
          <w:szCs w:val="20"/>
          <w:color w:val="auto"/>
        </w:rPr>
      </w:pPr>
    </w:p>
    <w:p>
      <w:pPr>
        <w:sectPr>
          <w:pgSz w:w="11900" w:h="16838" w:orient="portrait"/>
          <w:cols w:equalWidth="0" w:num="2">
            <w:col w:w="5500" w:space="160"/>
            <w:col w:w="5580"/>
          </w:cols>
          <w:pgMar w:left="320" w:top="1305" w:right="339" w:bottom="1440" w:gutter="0" w:footer="0" w:header="0"/>
        </w:sectPr>
      </w:pPr>
    </w:p>
    <w:tbl>
      <w:tblPr>
        <w:tblLayout w:type="fixed"/>
        <w:tblInd w:w="0" w:type="dxa"/>
        <w:tblCellMar>
          <w:top w:w="0" w:type="dxa"/>
          <w:left w:w="0" w:type="dxa"/>
          <w:bottom w:w="0" w:type="dxa"/>
          <w:right w:w="0" w:type="dxa"/>
        </w:tblCellMar>
      </w:tblPr>
      <w:tr>
        <w:trPr>
          <w:trHeight w:val="205"/>
        </w:trPr>
        <w:tc>
          <w:tcPr>
            <w:tcW w:w="2840" w:type="dxa"/>
            <w:vAlign w:val="bottom"/>
            <w:tcBorders>
              <w:bottom w:val="single" w:sz="8" w:color="CFF0FC"/>
            </w:tcBorders>
            <w:shd w:val="clear" w:color="auto" w:fill="CFF0FC"/>
          </w:tcPr>
          <w:p>
            <w:pPr>
              <w:ind w:left="1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9,837</w:t>
            </w:r>
          </w:p>
        </w:tc>
        <w:tc>
          <w:tcPr>
            <w:tcW w:w="73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 Extension and Interest Rate</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3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7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380" w:type="dxa"/>
            <w:vAlign w:val="bottom"/>
          </w:tcPr>
          <w:p>
            <w:pPr>
              <w:ind w:left="1840"/>
              <w:spacing w:after="0" w:line="198" w:lineRule="exact"/>
              <w:rPr>
                <w:sz w:val="20"/>
                <w:szCs w:val="20"/>
                <w:color w:val="auto"/>
              </w:rPr>
            </w:pPr>
            <w:r>
              <w:rPr>
                <w:rFonts w:ascii="Times New Roman" w:cs="Times New Roman" w:eastAsia="Times New Roman" w:hAnsi="Times New Roman"/>
                <w:sz w:val="18"/>
                <w:szCs w:val="18"/>
                <w:color w:val="auto"/>
              </w:rPr>
              <w:t>Added a weighted-average 7.6 years to the life of loans, which reduced</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73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0.01%  monthly payment amounts for the borrowers; reduced weighted-average</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contractual interest rate from 10% to 7.25%.</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7380" w:type="dxa"/>
            <w:vAlign w:val="bottom"/>
            <w:shd w:val="clear" w:color="auto" w:fill="CFF0FC"/>
          </w:tcPr>
          <w:p>
            <w:pPr>
              <w:ind w:left="1840"/>
              <w:spacing w:after="0" w:line="198" w:lineRule="exact"/>
              <w:rPr>
                <w:sz w:val="20"/>
                <w:szCs w:val="20"/>
                <w:color w:val="auto"/>
              </w:rPr>
            </w:pPr>
            <w:r>
              <w:rPr>
                <w:rFonts w:ascii="Times New Roman" w:cs="Times New Roman" w:eastAsia="Times New Roman" w:hAnsi="Times New Roman"/>
                <w:sz w:val="18"/>
                <w:szCs w:val="18"/>
                <w:color w:val="auto"/>
              </w:rPr>
              <w:t>Added a weighted-average 2.0 years to the life of loans, which reduced</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73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0.00%  monthly payment amounts for the borrowers; reduced weighted-average</w:t>
            </w:r>
          </w:p>
        </w:tc>
        <w:tc>
          <w:tcPr>
            <w:tcW w:w="0" w:type="dxa"/>
            <w:vAlign w:val="bottom"/>
          </w:tcPr>
          <w:p>
            <w:pPr>
              <w:spacing w:after="0"/>
              <w:rPr>
                <w:sz w:val="1"/>
                <w:szCs w:val="1"/>
                <w:color w:val="auto"/>
              </w:rPr>
            </w:pPr>
          </w:p>
        </w:tc>
      </w:tr>
      <w:tr>
        <w:trPr>
          <w:trHeight w:val="221"/>
        </w:trPr>
        <w:tc>
          <w:tcPr>
            <w:tcW w:w="28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7380" w:type="dxa"/>
            <w:vAlign w:val="bottom"/>
            <w:tcBorders>
              <w:bottom w:val="single" w:sz="8" w:color="CFF0FC"/>
            </w:tcBorders>
            <w:shd w:val="clear" w:color="auto" w:fill="CFF0FC"/>
          </w:tcPr>
          <w:p>
            <w:pPr>
              <w:ind w:left="1800"/>
              <w:spacing w:after="0"/>
              <w:rPr>
                <w:sz w:val="20"/>
                <w:szCs w:val="20"/>
                <w:color w:val="auto"/>
              </w:rPr>
            </w:pPr>
            <w:r>
              <w:rPr>
                <w:rFonts w:ascii="Times New Roman" w:cs="Times New Roman" w:eastAsia="Times New Roman" w:hAnsi="Times New Roman"/>
                <w:sz w:val="18"/>
                <w:szCs w:val="18"/>
                <w:color w:val="auto"/>
              </w:rPr>
              <w:t>contractual interest rate from 8.75% to 7.75%.</w:t>
            </w:r>
          </w:p>
        </w:tc>
        <w:tc>
          <w:tcPr>
            <w:tcW w:w="0" w:type="dxa"/>
            <w:vAlign w:val="bottom"/>
          </w:tcPr>
          <w:p>
            <w:pPr>
              <w:spacing w:after="0"/>
              <w:rPr>
                <w:sz w:val="1"/>
                <w:szCs w:val="1"/>
                <w:color w:val="auto"/>
              </w:rPr>
            </w:pPr>
          </w:p>
        </w:tc>
      </w:tr>
      <w:tr>
        <w:trPr>
          <w:trHeight w:val="209"/>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Modified</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7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-1550670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-316230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-25400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did not have any loans made to borrowers experiencing financial difficulty that were modified during the first quarter of 2025 that subsequently defaulted. Payment default is defined as movement to nonaccrual (nonperforming) status, foreclosure or charge-off, whichever occurs first.</w:t>
      </w:r>
    </w:p>
    <w:p>
      <w:pPr>
        <w:spacing w:after="0" w:line="176"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30-89 Days</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6"/>
                <w:szCs w:val="16"/>
                <w:color w:val="auto"/>
              </w:rPr>
            </w:pPr>
          </w:p>
        </w:tc>
      </w:tr>
      <w:tr>
        <w:trPr>
          <w:trHeight w:val="238"/>
        </w:trPr>
        <w:tc>
          <w:tcPr>
            <w:tcW w:w="4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10"/>
        </w:trPr>
        <w:tc>
          <w:tcPr>
            <w:tcW w:w="4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00" w:type="dxa"/>
            <w:vAlign w:val="bottom"/>
            <w:shd w:val="clear" w:color="auto" w:fill="CFF0FC"/>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52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4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-1216660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-1216660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7" w:name="page28"/>
    <w:bookmarkEnd w:id="2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Repurchase Agreements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March 31, 2025, total funds borrowed under these agreements were $276.2 million with a weighted average interest rate of 1.24%, compared to $261.9 million with a weighted average interest rate of 0.72% at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 and Other Borrowings</w:t>
      </w:r>
    </w:p>
    <w:p>
      <w:pPr>
        <w:spacing w:after="0" w:line="229" w:lineRule="exact"/>
        <w:rPr>
          <w:sz w:val="20"/>
          <w:szCs w:val="20"/>
          <w:color w:val="auto"/>
        </w:rPr>
      </w:pPr>
    </w:p>
    <w:p>
      <w:pPr>
        <w:ind w:right="600" w:firstLine="469"/>
        <w:spacing w:after="0" w:line="312" w:lineRule="auto"/>
        <w:rPr>
          <w:sz w:val="20"/>
          <w:szCs w:val="20"/>
          <w:color w:val="auto"/>
        </w:rPr>
      </w:pPr>
      <w:r>
        <w:rPr>
          <w:rFonts w:ascii="Times New Roman" w:cs="Times New Roman" w:eastAsia="Times New Roman" w:hAnsi="Times New Roman"/>
          <w:sz w:val="17"/>
          <w:szCs w:val="17"/>
          <w:color w:val="auto"/>
        </w:rPr>
        <w:t>As of March 31, 2025, total borrowings were $500 million and consisted of advances from the FHLB, at an average rate of 4.6%. The FHLB advances include $300 million, at a fixed rate of 4.73%, maturing in May 2026, and $200 million, at a fixed rate of 4.27%, maturing in May 2027.</w:t>
      </w:r>
    </w:p>
    <w:p>
      <w:pPr>
        <w:spacing w:after="0" w:line="356" w:lineRule="exact"/>
        <w:rPr>
          <w:sz w:val="20"/>
          <w:szCs w:val="20"/>
          <w:color w:val="auto"/>
        </w:rPr>
      </w:pPr>
    </w:p>
    <w:p>
      <w:pPr>
        <w:ind w:right="420" w:firstLine="469"/>
        <w:spacing w:after="0" w:line="261" w:lineRule="auto"/>
        <w:rPr>
          <w:sz w:val="20"/>
          <w:szCs w:val="20"/>
          <w:color w:val="auto"/>
        </w:rPr>
      </w:pPr>
      <w:r>
        <w:rPr>
          <w:rFonts w:ascii="Times New Roman" w:cs="Times New Roman" w:eastAsia="Times New Roman" w:hAnsi="Times New Roman"/>
          <w:sz w:val="18"/>
          <w:szCs w:val="18"/>
          <w:color w:val="auto"/>
        </w:rPr>
        <w:t>At March 31, 2025, $4.36 billion of loans and $4.69 billion of investment securities, at carrying value, were pledged to secure FHLB advances, public deposits, repurchase agreements, borrowing lines, and for other purposes as required or permitted by law.</w:t>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8" w:name="page29"/>
    <w:bookmarkEnd w:id="2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EARNINGS PER SHARE RECONCILIATION</w:t>
      </w:r>
    </w:p>
    <w:p>
      <w:pPr>
        <w:spacing w:after="0" w:line="229"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months ended March 31, 2025 and March 31, 2024, shares deemed to be antidilutive, and thus excluded from the computation of earnings per common share, were 717,000 and 1,021,000, respectively.</w:t>
      </w:r>
    </w:p>
    <w:p>
      <w:pPr>
        <w:spacing w:after="0" w:line="183"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980" w:type="dxa"/>
            <w:vAlign w:val="bottom"/>
            <w:gridSpan w:val="4"/>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540" w:type="dxa"/>
            <w:vAlign w:val="bottom"/>
          </w:tcPr>
          <w:p>
            <w:pPr>
              <w:spacing w:after="0"/>
              <w:rPr>
                <w:sz w:val="18"/>
                <w:szCs w:val="18"/>
                <w:color w:val="auto"/>
              </w:rPr>
            </w:pPr>
          </w:p>
        </w:tc>
        <w:tc>
          <w:tcPr>
            <w:tcW w:w="37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r>
      <w:tr>
        <w:trPr>
          <w:trHeight w:val="218"/>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3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50,770</w:t>
            </w:r>
          </w:p>
        </w:tc>
        <w:tc>
          <w:tcPr>
            <w:tcW w:w="13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48,275</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138,974</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138,429</w:t>
            </w: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3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-471170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 allocated to common shareholders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Incremental shares from assumed exercise of</w:t>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outstanding options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tabs>
          <w:tab w:leader="none" w:pos="1120" w:val="left"/>
          <w:tab w:leader="none" w:pos="1940" w:val="left"/>
          <w:tab w:leader="none" w:pos="3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50,770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48,275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-256540</wp:posOffset>
            </wp:positionV>
            <wp:extent cx="7132320" cy="1371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17145</wp:posOffset>
            </wp:positionV>
            <wp:extent cx="228028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0" w:lineRule="exact"/>
        <w:rPr>
          <w:sz w:val="20"/>
          <w:szCs w:val="20"/>
          <w:color w:val="auto"/>
        </w:rPr>
      </w:pPr>
    </w:p>
    <w:p>
      <w:pPr>
        <w:ind w:left="1060"/>
        <w:spacing w:after="0"/>
        <w:tabs>
          <w:tab w:leader="none" w:pos="2980" w:val="left"/>
        </w:tabs>
        <w:rPr>
          <w:sz w:val="20"/>
          <w:szCs w:val="20"/>
          <w:color w:val="auto"/>
        </w:rPr>
      </w:pPr>
      <w:r>
        <w:rPr>
          <w:rFonts w:ascii="Times New Roman" w:cs="Times New Roman" w:eastAsia="Times New Roman" w:hAnsi="Times New Roman"/>
          <w:sz w:val="17"/>
          <w:szCs w:val="17"/>
          <w:color w:val="auto"/>
        </w:rPr>
        <w:t>138,974</w:t>
      </w:r>
      <w:r>
        <w:rPr>
          <w:sz w:val="20"/>
          <w:szCs w:val="20"/>
          <w:color w:val="auto"/>
        </w:rPr>
        <w:tab/>
      </w:r>
      <w:r>
        <w:rPr>
          <w:rFonts w:ascii="Times New Roman" w:cs="Times New Roman" w:eastAsia="Times New Roman" w:hAnsi="Times New Roman"/>
          <w:sz w:val="17"/>
          <w:szCs w:val="17"/>
          <w:color w:val="auto"/>
        </w:rPr>
        <w:t>138,429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-120650</wp:posOffset>
            </wp:positionV>
            <wp:extent cx="7132320" cy="1454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3" w:lineRule="exact"/>
        <w:rPr>
          <w:sz w:val="20"/>
          <w:szCs w:val="20"/>
          <w:color w:val="auto"/>
        </w:rPr>
      </w:pPr>
    </w:p>
    <w:p>
      <w:pPr>
        <w:ind w:left="1360"/>
        <w:spacing w:after="0"/>
        <w:tabs>
          <w:tab w:leader="none" w:pos="328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174</w:t>
      </w:r>
    </w:p>
    <w:p>
      <w:pPr>
        <w:spacing w:after="0" w:line="28" w:lineRule="exact"/>
        <w:rPr>
          <w:sz w:val="20"/>
          <w:szCs w:val="20"/>
          <w:color w:val="auto"/>
        </w:rPr>
      </w:pPr>
    </w:p>
    <w:p>
      <w:pPr>
        <w:sectPr>
          <w:pgSz w:w="11900" w:h="16838" w:orient="portrait"/>
          <w:cols w:equalWidth="0" w:num="2">
            <w:col w:w="6820" w:space="720"/>
            <w:col w:w="370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139,294</w:t>
            </w:r>
          </w:p>
        </w:tc>
        <w:tc>
          <w:tcPr>
            <w:tcW w:w="3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8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9" w:name="page30"/>
    <w:bookmarkEnd w:id="2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ind w:right="300" w:firstLine="469"/>
        <w:spacing w:after="0" w:line="282"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 xml:space="preserve">The valuation methodologies for financial assets and liabilities measured at fair value on a recurring and non-recurring basis are described in Note 17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included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as of the dates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320" w:type="dxa"/>
            <w:vAlign w:val="bottom"/>
          </w:tcPr>
          <w:p>
            <w:pPr>
              <w:spacing w:after="0"/>
              <w:rPr>
                <w:sz w:val="17"/>
                <w:szCs w:val="17"/>
                <w:color w:val="auto"/>
              </w:rPr>
            </w:pPr>
          </w:p>
        </w:tc>
        <w:tc>
          <w:tcPr>
            <w:tcW w:w="138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8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15"/>
        </w:trPr>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20" w:type="dxa"/>
            <w:vAlign w:val="bottom"/>
          </w:tcPr>
          <w:p>
            <w:pPr>
              <w:spacing w:after="0"/>
              <w:rPr>
                <w:sz w:val="18"/>
                <w:szCs w:val="18"/>
                <w:color w:val="auto"/>
              </w:rPr>
            </w:pPr>
          </w:p>
        </w:tc>
        <w:tc>
          <w:tcPr>
            <w:tcW w:w="138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r>
      <w:tr>
        <w:trPr>
          <w:trHeight w:val="194"/>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gridSpan w:val="5"/>
          </w:tcPr>
          <w:p>
            <w:pPr>
              <w:jc w:val="right"/>
              <w:ind w:right="99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Government agency/GSE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34,803</w:t>
            </w:r>
          </w:p>
        </w:tc>
        <w:tc>
          <w:tcPr>
            <w:tcW w:w="1700" w:type="dxa"/>
            <w:vAlign w:val="bottom"/>
            <w:gridSpan w:val="2"/>
            <w:shd w:val="clear" w:color="auto" w:fill="CFF0FC"/>
          </w:tcPr>
          <w:p>
            <w:pPr>
              <w:jc w:val="right"/>
              <w:ind w:right="12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34,803</w:t>
            </w:r>
          </w:p>
        </w:tc>
        <w:tc>
          <w:tcPr>
            <w:tcW w:w="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2,124,656</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2,124,656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353,862</w:t>
            </w:r>
          </w:p>
        </w:tc>
        <w:tc>
          <w:tcPr>
            <w:tcW w:w="3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353,862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securities</w:t>
            </w: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3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2,535,066</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2,535,066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Derivatives not designated as hedging</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2,535,144</w:t>
            </w:r>
          </w:p>
        </w:tc>
        <w:tc>
          <w:tcPr>
            <w:tcW w:w="1700" w:type="dxa"/>
            <w:vAlign w:val="bottom"/>
            <w:gridSpan w:val="2"/>
          </w:tcPr>
          <w:p>
            <w:pPr>
              <w:jc w:val="right"/>
              <w:ind w:right="12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2,535,144</w:t>
            </w:r>
          </w:p>
        </w:tc>
        <w:tc>
          <w:tcPr>
            <w:tcW w:w="5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4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Derivatives not designated as hedging</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4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700" w:type="dxa"/>
            <w:vAlign w:val="bottom"/>
            <w:gridSpan w:val="2"/>
            <w:shd w:val="clear" w:color="auto" w:fill="CFF0FC"/>
          </w:tcPr>
          <w:p>
            <w:pPr>
              <w:jc w:val="right"/>
              <w:ind w:right="12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3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3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r>
      <w:tr>
        <w:trPr>
          <w:trHeight w:val="216"/>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700" w:type="dxa"/>
            <w:vAlign w:val="bottom"/>
            <w:gridSpan w:val="2"/>
            <w:shd w:val="clear" w:color="auto" w:fill="CFF0FC"/>
          </w:tcPr>
          <w:p>
            <w:pPr>
              <w:jc w:val="right"/>
              <w:ind w:right="12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-2133600</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-2133600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-2133600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-1224915</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-1224915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-1224915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-25400</wp:posOffset>
            </wp:positionV>
            <wp:extent cx="7683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768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80" w:type="dxa"/>
            <w:vAlign w:val="bottom"/>
          </w:tcPr>
          <w:p>
            <w:pPr>
              <w:spacing w:after="0"/>
              <w:rPr>
                <w:sz w:val="17"/>
                <w:szCs w:val="17"/>
                <w:color w:val="auto"/>
              </w:rPr>
            </w:pPr>
          </w:p>
        </w:tc>
        <w:tc>
          <w:tcPr>
            <w:tcW w:w="140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8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15"/>
        </w:trPr>
        <w:tc>
          <w:tcPr>
            <w:tcW w:w="3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r>
      <w:tr>
        <w:trPr>
          <w:trHeight w:val="194"/>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gridSpan w:val="5"/>
          </w:tcPr>
          <w:p>
            <w:pPr>
              <w:jc w:val="right"/>
              <w:ind w:right="113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Government agency/GSE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34,255</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34,255</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2,134,534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2,134,534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CMO/REMIC</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securities</w:t>
            </w: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Derivatives not designated as hedging</w:t>
            </w: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2,549,367</w:t>
            </w:r>
          </w:p>
        </w:tc>
        <w:tc>
          <w:tcPr>
            <w:tcW w:w="220" w:type="dxa"/>
            <w:vAlign w:val="bottom"/>
          </w:tcPr>
          <w:p>
            <w:pPr>
              <w:spacing w:after="0"/>
              <w:rPr>
                <w:sz w:val="18"/>
                <w:szCs w:val="18"/>
                <w:color w:val="auto"/>
              </w:rPr>
            </w:pPr>
          </w:p>
        </w:tc>
        <w:tc>
          <w:tcPr>
            <w:tcW w:w="1480" w:type="dxa"/>
            <w:vAlign w:val="bottom"/>
            <w:gridSpan w:val="2"/>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2,549,367</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Derivatives not designated as hedging</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3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-3007995</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-3007995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-3007995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-2056765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-2056765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-2056765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-796290</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-779145</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-796290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-779145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-796290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-779145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400" w:firstLine="469"/>
        <w:spacing w:after="0" w:line="282"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write-downs of individual assets.</w:t>
      </w:r>
    </w:p>
    <w:p>
      <w:pPr>
        <w:spacing w:after="0" w:line="162"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March 31, 2025 and December 31, 2024, respectively, the following tables provide the level of valuation assumptions used to determine each adjustment and the carrying value of the related assets that had losses during the period.</w:t>
      </w:r>
    </w:p>
    <w:p>
      <w:pPr>
        <w:sectPr>
          <w:pgSz w:w="11900" w:h="16838" w:orient="portrait"/>
          <w:cols w:equalWidth="0" w:num="1">
            <w:col w:w="11140"/>
          </w:cols>
          <w:pgMar w:left="320" w:top="108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assets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Loans:</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Commercial real estate</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Construction</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SBA</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SBA - PPP</w:t>
      </w:r>
    </w:p>
    <w:p>
      <w:pPr>
        <w:spacing w:after="0" w:line="30" w:lineRule="exact"/>
        <w:rPr>
          <w:sz w:val="20"/>
          <w:szCs w:val="20"/>
          <w:color w:val="auto"/>
        </w:rPr>
      </w:pPr>
    </w:p>
    <w:p>
      <w:pPr>
        <w:ind w:left="80" w:right="320"/>
        <w:spacing w:after="0" w:line="236" w:lineRule="auto"/>
        <w:rPr>
          <w:sz w:val="20"/>
          <w:szCs w:val="20"/>
          <w:color w:val="auto"/>
        </w:rPr>
      </w:pPr>
      <w:r>
        <w:rPr>
          <w:rFonts w:ascii="Times New Roman" w:cs="Times New Roman" w:eastAsia="Times New Roman" w:hAnsi="Times New Roman"/>
          <w:sz w:val="15"/>
          <w:szCs w:val="15"/>
          <w:color w:val="auto"/>
        </w:rPr>
        <w:t>Commercial and industrial Dairy &amp; livestock and</w:t>
      </w:r>
    </w:p>
    <w:p>
      <w:pPr>
        <w:spacing w:after="0" w:line="1" w:lineRule="exact"/>
        <w:rPr>
          <w:sz w:val="20"/>
          <w:szCs w:val="20"/>
          <w:color w:val="auto"/>
        </w:rPr>
      </w:pPr>
    </w:p>
    <w:p>
      <w:pPr>
        <w:ind w:left="80" w:right="500" w:firstLine="115"/>
        <w:spacing w:after="0" w:line="225" w:lineRule="auto"/>
        <w:rPr>
          <w:sz w:val="20"/>
          <w:szCs w:val="20"/>
          <w:color w:val="auto"/>
        </w:rPr>
      </w:pPr>
      <w:r>
        <w:rPr>
          <w:rFonts w:ascii="Times New Roman" w:cs="Times New Roman" w:eastAsia="Times New Roman" w:hAnsi="Times New Roman"/>
          <w:sz w:val="15"/>
          <w:szCs w:val="15"/>
          <w:color w:val="auto"/>
        </w:rPr>
        <w:t>agribusiness Municipal lease finance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receivables</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SFR mortgage</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Consumer and other loans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Other real estate owned</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Description of assets</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Loans:</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Commercial real estate</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Construction</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SBA</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SBA - PPP</w:t>
      </w:r>
    </w:p>
    <w:p>
      <w:pPr>
        <w:spacing w:after="0" w:line="30" w:lineRule="exact"/>
        <w:rPr>
          <w:sz w:val="20"/>
          <w:szCs w:val="20"/>
          <w:color w:val="auto"/>
        </w:rPr>
      </w:pPr>
    </w:p>
    <w:p>
      <w:pPr>
        <w:ind w:left="140" w:right="260"/>
        <w:spacing w:after="0" w:line="236" w:lineRule="auto"/>
        <w:rPr>
          <w:sz w:val="20"/>
          <w:szCs w:val="20"/>
          <w:color w:val="auto"/>
        </w:rPr>
      </w:pPr>
      <w:r>
        <w:rPr>
          <w:rFonts w:ascii="Times New Roman" w:cs="Times New Roman" w:eastAsia="Times New Roman" w:hAnsi="Times New Roman"/>
          <w:sz w:val="15"/>
          <w:szCs w:val="15"/>
          <w:color w:val="auto"/>
        </w:rPr>
        <w:t>Commercial and industrial Dairy &amp; livestock and</w:t>
      </w:r>
    </w:p>
    <w:p>
      <w:pPr>
        <w:spacing w:after="0" w:line="1" w:lineRule="exact"/>
        <w:rPr>
          <w:sz w:val="20"/>
          <w:szCs w:val="20"/>
          <w:color w:val="auto"/>
        </w:rPr>
      </w:pPr>
    </w:p>
    <w:p>
      <w:pPr>
        <w:ind w:left="140" w:right="440" w:firstLine="115"/>
        <w:spacing w:after="0" w:line="225" w:lineRule="auto"/>
        <w:rPr>
          <w:sz w:val="20"/>
          <w:szCs w:val="20"/>
          <w:color w:val="auto"/>
        </w:rPr>
      </w:pPr>
      <w:r>
        <w:rPr>
          <w:rFonts w:ascii="Times New Roman" w:cs="Times New Roman" w:eastAsia="Times New Roman" w:hAnsi="Times New Roman"/>
          <w:sz w:val="15"/>
          <w:szCs w:val="15"/>
          <w:color w:val="auto"/>
        </w:rPr>
        <w:t>agribusiness Municipal lease finance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receivables</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SFR mortgage</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Consumer and other loans</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Other real estate owned</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Total assets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9"/>
              </w:rPr>
              <w:t>Total Losses For</w:t>
            </w: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the Three Months</w:t>
            </w: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150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(Level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Ended March 31,</w:t>
            </w: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Pr>
          <w:p>
            <w:pPr>
              <w:spacing w:after="0"/>
              <w:rPr>
                <w:sz w:val="15"/>
                <w:szCs w:val="15"/>
                <w:color w:val="auto"/>
              </w:rPr>
            </w:pPr>
          </w:p>
        </w:tc>
      </w:tr>
      <w:tr>
        <w:trPr>
          <w:trHeight w:val="170"/>
        </w:trPr>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498"/>
        </w:trPr>
        <w:tc>
          <w:tcPr>
            <w:tcW w:w="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32,575</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32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31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38,135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1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w:t>
            </w: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the Year Ended</w:t>
            </w: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20" w:type="dxa"/>
            <w:vAlign w:val="bottom"/>
          </w:tcPr>
          <w:p>
            <w:pPr>
              <w:spacing w:after="0"/>
              <w:rPr>
                <w:sz w:val="15"/>
                <w:szCs w:val="15"/>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70"/>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498"/>
        </w:trPr>
        <w:tc>
          <w:tcPr>
            <w:tcW w:w="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28,728</w:t>
            </w:r>
          </w:p>
        </w:tc>
        <w:tc>
          <w:tcPr>
            <w:tcW w:w="24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28,728</w:t>
            </w:r>
          </w:p>
        </w:tc>
        <w:tc>
          <w:tcPr>
            <w:tcW w:w="40" w:type="dxa"/>
            <w:vAlign w:val="bottom"/>
          </w:tcPr>
          <w:p>
            <w:pPr>
              <w:spacing w:after="0"/>
              <w:rPr>
                <w:sz w:val="24"/>
                <w:szCs w:val="24"/>
                <w:color w:val="auto"/>
              </w:rPr>
            </w:pP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60" w:type="dxa"/>
            <w:vAlign w:val="bottom"/>
          </w:tcPr>
          <w:p>
            <w:pPr>
              <w:spacing w:after="0"/>
              <w:rPr>
                <w:sz w:val="18"/>
                <w:szCs w:val="18"/>
                <w:color w:val="auto"/>
              </w:rPr>
            </w:pPr>
          </w:p>
        </w:tc>
      </w:tr>
      <w:tr>
        <w:trPr>
          <w:trHeight w:val="32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10,429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60" w:type="dxa"/>
            <w:vAlign w:val="bottom"/>
          </w:tcPr>
          <w:p>
            <w:pPr>
              <w:spacing w:after="0"/>
              <w:rPr>
                <w:sz w:val="18"/>
                <w:szCs w:val="18"/>
                <w:color w:val="auto"/>
              </w:rPr>
            </w:pPr>
          </w:p>
        </w:tc>
      </w:tr>
      <w:tr>
        <w:trPr>
          <w:trHeight w:val="202"/>
        </w:trPr>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44,693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44,693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-4259580</wp:posOffset>
            </wp:positionV>
            <wp:extent cx="7132320" cy="1028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-4053840</wp:posOffset>
            </wp:positionV>
            <wp:extent cx="7132320" cy="1289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-3796665</wp:posOffset>
            </wp:positionV>
            <wp:extent cx="7132320" cy="1289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-3539490</wp:posOffset>
            </wp:positionV>
            <wp:extent cx="7132320" cy="1289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-3205480</wp:posOffset>
            </wp:positionV>
            <wp:extent cx="7132320" cy="2057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-2871470</wp:posOffset>
            </wp:positionV>
            <wp:extent cx="7132320" cy="1289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-2605405</wp:posOffset>
            </wp:positionV>
            <wp:extent cx="713232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-1807845</wp:posOffset>
            </wp:positionV>
            <wp:extent cx="7054850" cy="1028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054850" cy="10287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-1602740</wp:posOffset>
            </wp:positionV>
            <wp:extent cx="7054850" cy="1289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-1345565</wp:posOffset>
            </wp:positionV>
            <wp:extent cx="7054850" cy="1289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-1088390</wp:posOffset>
            </wp:positionV>
            <wp:extent cx="7054850" cy="1289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-753745</wp:posOffset>
            </wp:positionV>
            <wp:extent cx="7054850" cy="2057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054850" cy="20574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-419735</wp:posOffset>
            </wp:positionV>
            <wp:extent cx="7054850" cy="1289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-153670</wp:posOffset>
            </wp:positionV>
            <wp:extent cx="7054850" cy="154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1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40" w:space="720"/>
            <w:col w:w="8380"/>
          </w:cols>
          <w:pgMar w:left="320" w:top="1089"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20" w:firstLine="469"/>
        <w:spacing w:after="0" w:line="258"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March 31, 2025 and December 31, 2024, respectively. The use of different market assumptions and/or estimation methodologies may have a material effect on the estimated fair value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529,089</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529,089</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529,089</w:t>
            </w:r>
          </w:p>
        </w:tc>
        <w:tc>
          <w:tcPr>
            <w:tcW w:w="120" w:type="dxa"/>
            <w:vAlign w:val="bottom"/>
          </w:tcPr>
          <w:p>
            <w:pPr>
              <w:spacing w:after="0"/>
              <w:rPr>
                <w:sz w:val="18"/>
                <w:szCs w:val="18"/>
                <w:color w:val="auto"/>
              </w:rPr>
            </w:pPr>
          </w:p>
        </w:tc>
      </w:tr>
      <w:tr>
        <w:trPr>
          <w:trHeight w:val="198"/>
        </w:trPr>
        <w:tc>
          <w:tcPr>
            <w:tcW w:w="432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Interest-earning balances due from</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depository institutions</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20" w:type="dxa"/>
            <w:vAlign w:val="bottom"/>
            <w:shd w:val="clear" w:color="auto" w:fill="CFF0FC"/>
          </w:tcPr>
          <w:p>
            <w:pPr>
              <w:spacing w:after="0"/>
              <w:rPr>
                <w:sz w:val="20"/>
                <w:szCs w:val="20"/>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2,535,066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2,535,066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2,535,066</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2,359,141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1,965,088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1,965,088</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loans, net of allowance for credit losses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8,285,380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8,009,031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8,009,031</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4,805,654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4,802,342</w:t>
            </w:r>
          </w:p>
        </w:tc>
        <w:tc>
          <w:tcPr>
            <w:tcW w:w="28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4,802,342</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776,163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746,328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746,328</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shd w:val="clear" w:color="auto" w:fill="CFF0FC"/>
          </w:tcPr>
          <w:p>
            <w:pPr>
              <w:spacing w:after="0"/>
              <w:rPr>
                <w:sz w:val="18"/>
                <w:szCs w:val="18"/>
                <w:color w:val="auto"/>
              </w:rPr>
            </w:pPr>
          </w:p>
        </w:tc>
      </w:tr>
      <w:tr>
        <w:trPr>
          <w:trHeight w:val="234"/>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20" w:type="dxa"/>
            <w:vAlign w:val="bottom"/>
          </w:tcPr>
          <w:p>
            <w:pPr>
              <w:spacing w:after="0"/>
              <w:rPr>
                <w:sz w:val="20"/>
                <w:szCs w:val="20"/>
                <w:color w:val="auto"/>
              </w:rPr>
            </w:pPr>
          </w:p>
        </w:tc>
      </w:tr>
      <w:tr>
        <w:trPr>
          <w:trHeight w:val="414"/>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204,698</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204,698</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204,698</w:t>
            </w:r>
          </w:p>
        </w:tc>
        <w:tc>
          <w:tcPr>
            <w:tcW w:w="120" w:type="dxa"/>
            <w:vAlign w:val="bottom"/>
          </w:tcPr>
          <w:p>
            <w:pPr>
              <w:spacing w:after="0"/>
              <w:rPr>
                <w:sz w:val="18"/>
                <w:szCs w:val="18"/>
                <w:color w:val="auto"/>
              </w:rPr>
            </w:pPr>
          </w:p>
        </w:tc>
      </w:tr>
      <w:tr>
        <w:trPr>
          <w:trHeight w:val="198"/>
        </w:trPr>
        <w:tc>
          <w:tcPr>
            <w:tcW w:w="432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Interest-earning balances due from</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depository institutions</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shd w:val="clear" w:color="auto" w:fill="CFF0FC"/>
          </w:tcPr>
          <w:p>
            <w:pPr>
              <w:spacing w:after="0"/>
              <w:rPr>
                <w:sz w:val="20"/>
                <w:szCs w:val="20"/>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2,379,668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1,954,345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1,954,345</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loans, net of allowance for credit losses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8,456,310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8,149,801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8,149,801</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4,911,285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4,908,070</w:t>
            </w:r>
          </w:p>
        </w:tc>
        <w:tc>
          <w:tcPr>
            <w:tcW w:w="28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4,908,070</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761,887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716,566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716,566</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20"/>
                <w:szCs w:val="20"/>
                <w:color w:val="auto"/>
              </w:rPr>
            </w:pPr>
          </w:p>
        </w:tc>
      </w:tr>
    </w:tbl>
    <w:p>
      <w:pPr>
        <w:spacing w:after="0" w:line="166"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March 31, 2025 and December 31, 2024.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March 31, 2025, the Bank has entered into 109 interest-rate swap agreements with customers with a notional amount totaling $359.3 million. The Bank then entered into identical offsetting swaps with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87"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4" w:name="page35"/>
    <w:bookmarkEnd w:id="34"/>
    <w:p>
      <w:pPr>
        <w:ind w:right="340"/>
        <w:spacing w:after="0" w:line="282" w:lineRule="auto"/>
        <w:rPr>
          <w:sz w:val="20"/>
          <w:szCs w:val="20"/>
          <w:color w:val="auto"/>
        </w:rPr>
      </w:pPr>
      <w:r>
        <w:rPr>
          <w:rFonts w:ascii="Times New Roman" w:cs="Times New Roman" w:eastAsia="Times New Roman" w:hAnsi="Times New Roman"/>
          <w:sz w:val="18"/>
          <w:szCs w:val="18"/>
          <w:color w:val="auto"/>
        </w:rPr>
        <w:t>are subject to a master netting arrangement with our counterparties. None of our derivative assets and liabilities are offset in the Company’s condensed consolidated balance sheet.</w:t>
      </w:r>
    </w:p>
    <w:p>
      <w:pPr>
        <w:spacing w:after="0" w:line="162" w:lineRule="exact"/>
        <w:rPr>
          <w:sz w:val="20"/>
          <w:szCs w:val="20"/>
          <w:color w:val="auto"/>
        </w:rPr>
      </w:pPr>
    </w:p>
    <w:p>
      <w:pPr>
        <w:ind w:right="260" w:firstLine="469"/>
        <w:spacing w:after="0" w:line="266"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Hedges</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92"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original maturities ranging from four to five years, wherein the Company pays a weighted average fixed rate of approximately 3.8% and receives daily SOFR. In December 2024, we terminated one of these swaps which had a notional value of $300 million, a maturity date of June 2027, and paid a fixed rate of 3.95%. The remaining $700 million notional pay-fixed interest rate swaps had a fair value which totaled $1.1 million and was reflected as a liability at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Hedges</w:t>
      </w:r>
    </w:p>
    <w:p>
      <w:pPr>
        <w:spacing w:after="0" w:line="229" w:lineRule="exact"/>
        <w:rPr>
          <w:sz w:val="20"/>
          <w:szCs w:val="20"/>
          <w:color w:val="auto"/>
        </w:rPr>
      </w:pPr>
    </w:p>
    <w:p>
      <w:pPr>
        <w:ind w:right="160" w:firstLine="469"/>
        <w:spacing w:after="0" w:line="258" w:lineRule="auto"/>
        <w:rPr>
          <w:sz w:val="20"/>
          <w:szCs w:val="20"/>
          <w:color w:val="auto"/>
        </w:rPr>
      </w:pPr>
      <w:r>
        <w:rPr>
          <w:rFonts w:ascii="Times New Roman" w:cs="Times New Roman" w:eastAsia="Times New Roman" w:hAnsi="Times New Roman"/>
          <w:sz w:val="18"/>
          <w:szCs w:val="18"/>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a contractually specified interest rates. During the first quarter of 2024, $300 million of 3-month term brokered CDs were issued and cash flow hedging transactions were also executed in which $300 million notional pay-fixed interest rate swaps were consummated with maturities of three years, wherein the Company pays a weighted average fixed rate of approximately 4.2% and receives daily SOFR.</w:t>
      </w:r>
    </w:p>
    <w:p>
      <w:pPr>
        <w:spacing w:after="0" w:line="183"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229" w:lineRule="exact"/>
        <w:rPr>
          <w:sz w:val="20"/>
          <w:szCs w:val="20"/>
          <w:color w:val="auto"/>
        </w:rPr>
      </w:pPr>
    </w:p>
    <w:p>
      <w:pPr>
        <w:ind w:right="580" w:firstLine="46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notional amount, the location of the asset and liability, and their respective fair values, are summarized in the tables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8"/>
        </w:trPr>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359,311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r>
      <w:tr>
        <w:trPr>
          <w:trHeight w:val="250"/>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derivatives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left w:val="single" w:sz="8" w:color="CFF0FC"/>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r>
      <w:tr>
        <w:trPr>
          <w:trHeight w:val="196"/>
        </w:trPr>
        <w:tc>
          <w:tcPr>
            <w:tcW w:w="39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r>
      <w:tr>
        <w:trPr>
          <w:trHeight w:val="216"/>
        </w:trPr>
        <w:tc>
          <w:tcPr>
            <w:tcW w:w="39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left w:val="single" w:sz="8" w:color="CFF0FC"/>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8"/>
        </w:trPr>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w w:val="99"/>
              </w:rPr>
              <w:t>(Dollars</w:t>
            </w:r>
          </w:p>
        </w:tc>
        <w:tc>
          <w:tcPr>
            <w:tcW w:w="1180" w:type="dxa"/>
            <w:vAlign w:val="bottom"/>
            <w:gridSpan w:val="4"/>
          </w:tcPr>
          <w:p>
            <w:pPr>
              <w:jc w:val="right"/>
              <w:ind w:right="21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363,440</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derivatives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left w:val="single" w:sz="8" w:color="CFF0FC"/>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196"/>
        </w:trPr>
        <w:tc>
          <w:tcPr>
            <w:tcW w:w="3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520" w:type="dxa"/>
            <w:vAlign w:val="bottom"/>
            <w:tcBorders>
              <w:lef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r>
      <w:tr>
        <w:trPr>
          <w:trHeight w:val="230"/>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38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19"/>
                <w:szCs w:val="19"/>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-2605405</wp:posOffset>
            </wp:positionV>
            <wp:extent cx="774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-2588260</wp:posOffset>
            </wp:positionV>
            <wp:extent cx="774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-2030730</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-607695</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-590550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768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Financial Instruments on the Condensed Consolidated Statements of Earnings</w:t>
      </w:r>
    </w:p>
    <w:p>
      <w:pPr>
        <w:spacing w:after="0" w:line="229"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condensed consolidated statements of earnings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tc>
        <w:tc>
          <w:tcPr>
            <w:tcW w:w="220" w:type="dxa"/>
            <w:vAlign w:val="bottom"/>
          </w:tcPr>
          <w:p>
            <w:pPr>
              <w:spacing w:after="0"/>
              <w:rPr>
                <w:sz w:val="13"/>
                <w:szCs w:val="13"/>
                <w:color w:val="auto"/>
              </w:rPr>
            </w:pPr>
          </w:p>
        </w:tc>
        <w:tc>
          <w:tcPr>
            <w:tcW w:w="2660" w:type="dxa"/>
            <w:vAlign w:val="bottom"/>
            <w:gridSpan w:val="4"/>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220" w:type="dxa"/>
            <w:vAlign w:val="bottom"/>
          </w:tcPr>
          <w:p>
            <w:pPr>
              <w:spacing w:after="0"/>
              <w:rPr>
                <w:sz w:val="15"/>
                <w:szCs w:val="15"/>
                <w:color w:val="auto"/>
              </w:rPr>
            </w:pPr>
          </w:p>
        </w:tc>
        <w:tc>
          <w:tcPr>
            <w:tcW w:w="2660" w:type="dxa"/>
            <w:vAlign w:val="bottom"/>
            <w:tcBorders>
              <w:bottom w:val="single" w:sz="8" w:color="auto"/>
            </w:tcBorders>
            <w:gridSpan w:val="4"/>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60" w:type="dxa"/>
            <w:vAlign w:val="bottom"/>
            <w:gridSpan w:val="3"/>
          </w:tcPr>
          <w:p>
            <w:pPr>
              <w:jc w:val="center"/>
              <w:ind w:right="44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w:t>
            </w:r>
          </w:p>
        </w:tc>
        <w:tc>
          <w:tcPr>
            <w:tcW w:w="10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00" w:type="dxa"/>
            <w:vAlign w:val="bottom"/>
            <w:vMerge w:val="continue"/>
          </w:tcPr>
          <w:p>
            <w:pPr>
              <w:spacing w:after="0"/>
              <w:rPr>
                <w:sz w:val="12"/>
                <w:szCs w:val="12"/>
                <w:color w:val="auto"/>
              </w:rPr>
            </w:pPr>
          </w:p>
        </w:tc>
        <w:tc>
          <w:tcPr>
            <w:tcW w:w="10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4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20" w:type="dxa"/>
            <w:vAlign w:val="bottom"/>
            <w:gridSpan w:val="2"/>
          </w:tcPr>
          <w:p>
            <w:pPr>
              <w:jc w:val="right"/>
              <w:ind w:right="6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86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FF0FC"/>
          </w:tcPr>
          <w:p>
            <w:pPr>
              <w:ind w:left="38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spacing w:after="0" w:line="14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-3175</wp:posOffset>
            </wp:positionV>
            <wp:extent cx="151701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71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5" w:lineRule="exact"/>
        <w:rPr>
          <w:sz w:val="20"/>
          <w:szCs w:val="20"/>
          <w:color w:val="auto"/>
        </w:rPr>
      </w:pPr>
    </w:p>
    <w:p>
      <w:pPr>
        <w:ind w:left="140"/>
        <w:spacing w:after="0"/>
        <w:tabs>
          <w:tab w:leader="none" w:pos="4060" w:val="left"/>
        </w:tabs>
        <w:rPr>
          <w:sz w:val="20"/>
          <w:szCs w:val="20"/>
          <w:color w:val="auto"/>
        </w:rPr>
      </w:pPr>
      <w:r>
        <w:rPr>
          <w:rFonts w:ascii="Times New Roman" w:cs="Times New Roman" w:eastAsia="Times New Roman" w:hAnsi="Times New Roman"/>
          <w:sz w:val="14"/>
          <w:szCs w:val="14"/>
          <w:color w:val="auto"/>
        </w:rPr>
        <w:t>Fair value hedges: interest rate swaps</w:t>
      </w:r>
      <w:r>
        <w:rPr>
          <w:sz w:val="20"/>
          <w:szCs w:val="20"/>
          <w:color w:val="auto"/>
        </w:rPr>
        <w:tab/>
      </w:r>
      <w:r>
        <w:rPr>
          <w:rFonts w:ascii="Times New Roman" w:cs="Times New Roman" w:eastAsia="Times New Roman" w:hAnsi="Times New Roman"/>
          <w:sz w:val="14"/>
          <w:szCs w:val="14"/>
          <w:color w:val="auto"/>
        </w:rPr>
        <w:t>Interest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 of Gains (Losses) Recognized in</w:t>
            </w:r>
          </w:p>
        </w:tc>
        <w:tc>
          <w:tcPr>
            <w:tcW w:w="26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OCI Impact on Derivatives-Gains (Losses)</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680" w:type="dxa"/>
            <w:vAlign w:val="bottom"/>
          </w:tcPr>
          <w:p>
            <w:pPr>
              <w:spacing w:after="0"/>
              <w:rPr>
                <w:sz w:val="15"/>
                <w:szCs w:val="15"/>
                <w:color w:val="auto"/>
              </w:rPr>
            </w:pPr>
          </w:p>
        </w:tc>
        <w:tc>
          <w:tcPr>
            <w:tcW w:w="194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recorded in OCI</w:t>
            </w:r>
          </w:p>
        </w:tc>
        <w:tc>
          <w:tcPr>
            <w:tcW w:w="0" w:type="dxa"/>
            <w:vAlign w:val="bottom"/>
          </w:tcPr>
          <w:p>
            <w:pPr>
              <w:spacing w:after="0"/>
              <w:rPr>
                <w:sz w:val="1"/>
                <w:szCs w:val="1"/>
                <w:color w:val="auto"/>
              </w:rPr>
            </w:pPr>
          </w:p>
        </w:tc>
      </w:tr>
      <w:tr>
        <w:trPr>
          <w:trHeight w:val="183"/>
        </w:trPr>
        <w:tc>
          <w:tcPr>
            <w:tcW w:w="2360" w:type="dxa"/>
            <w:vAlign w:val="bottom"/>
            <w:tcBorders>
              <w:top w:val="single" w:sz="8" w:color="auto"/>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2380" w:type="dxa"/>
            <w:vAlign w:val="bottom"/>
            <w:tcBorders>
              <w:top w:val="single" w:sz="8" w:color="auto"/>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75"/>
              </w:rPr>
              <w:t>(Dollars</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0" w:type="dxa"/>
            <w:vAlign w:val="bottom"/>
          </w:tcPr>
          <w:p>
            <w:pPr>
              <w:spacing w:after="0"/>
              <w:rPr>
                <w:sz w:val="1"/>
                <w:szCs w:val="1"/>
                <w:color w:val="auto"/>
              </w:rPr>
            </w:pPr>
          </w:p>
        </w:tc>
      </w:tr>
      <w:tr>
        <w:trPr>
          <w:trHeight w:val="451"/>
        </w:trPr>
        <w:tc>
          <w:tcPr>
            <w:tcW w:w="660" w:type="dxa"/>
            <w:vAlign w:val="bottom"/>
          </w:tcPr>
          <w:p>
            <w:pPr>
              <w:jc w:val="right"/>
              <w:ind w:right="53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280" w:type="dxa"/>
            <w:vAlign w:val="bottom"/>
          </w:tcPr>
          <w:p>
            <w:pPr>
              <w:spacing w:after="0"/>
              <w:rPr>
                <w:sz w:val="24"/>
                <w:szCs w:val="24"/>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(781)</w:t>
            </w:r>
          </w:p>
        </w:tc>
        <w:tc>
          <w:tcPr>
            <w:tcW w:w="2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-693420</wp:posOffset>
            </wp:positionV>
            <wp:extent cx="93980" cy="1625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-693420</wp:posOffset>
            </wp:positionV>
            <wp:extent cx="93980" cy="1625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80" w:space="320"/>
            <w:col w:w="5340"/>
          </w:cols>
          <w:pgMar w:left="320" w:top="1074" w:right="339" w:bottom="1440" w:gutter="0" w:footer="0" w:header="0"/>
        </w:sectPr>
      </w:pPr>
    </w:p>
    <w:tbl>
      <w:tblPr>
        <w:tblLayout w:type="fixed"/>
        <w:tblInd w:w="0" w:type="dxa"/>
        <w:tblCellMar>
          <w:top w:w="0" w:type="dxa"/>
          <w:left w:w="0" w:type="dxa"/>
          <w:bottom w:w="0" w:type="dxa"/>
          <w:right w:w="0" w:type="dxa"/>
        </w:tblCellMar>
      </w:tblPr>
      <w:tr>
        <w:trPr>
          <w:trHeight w:val="155"/>
        </w:trPr>
        <w:tc>
          <w:tcPr>
            <w:tcW w:w="3180" w:type="dxa"/>
            <w:vAlign w:val="bottom"/>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 hedges: interest rate swaps</w:t>
            </w:r>
          </w:p>
        </w:tc>
        <w:tc>
          <w:tcPr>
            <w:tcW w:w="3100" w:type="dxa"/>
            <w:vAlign w:val="bottom"/>
            <w:gridSpan w:val="2"/>
            <w:shd w:val="clear" w:color="auto" w:fill="CFF0FC"/>
          </w:tcPr>
          <w:p>
            <w:pPr>
              <w:jc w:val="right"/>
              <w:ind w:right="1223"/>
              <w:spacing w:after="0" w:line="155" w:lineRule="exact"/>
              <w:rPr>
                <w:sz w:val="20"/>
                <w:szCs w:val="20"/>
                <w:color w:val="auto"/>
              </w:rPr>
            </w:pPr>
            <w:r>
              <w:rPr>
                <w:rFonts w:ascii="Times New Roman" w:cs="Times New Roman" w:eastAsia="Times New Roman" w:hAnsi="Times New Roman"/>
                <w:sz w:val="14"/>
                <w:szCs w:val="14"/>
                <w:color w:val="auto"/>
              </w:rPr>
              <w:t>Interest expense</w:t>
            </w:r>
          </w:p>
        </w:tc>
        <w:tc>
          <w:tcPr>
            <w:tcW w:w="6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168</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178</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ind w:left="280"/>
              <w:spacing w:after="0" w:line="155" w:lineRule="exact"/>
              <w:rPr>
                <w:sz w:val="20"/>
                <w:szCs w:val="20"/>
                <w:color w:val="auto"/>
              </w:rPr>
            </w:pPr>
            <w:r>
              <w:rPr>
                <w:rFonts w:ascii="Times New Roman" w:cs="Times New Roman" w:eastAsia="Times New Roman" w:hAnsi="Times New Roman"/>
                <w:sz w:val="14"/>
                <w:szCs w:val="14"/>
                <w:color w:val="auto"/>
              </w:rPr>
              <w:t>(1,590)</w:t>
            </w:r>
          </w:p>
        </w:tc>
        <w:tc>
          <w:tcPr>
            <w:tcW w:w="3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556</w:t>
            </w:r>
          </w:p>
        </w:tc>
        <w:tc>
          <w:tcPr>
            <w:tcW w:w="320" w:type="dxa"/>
            <w:vAlign w:val="bottom"/>
            <w:shd w:val="clear" w:color="auto" w:fill="CFF0FC"/>
          </w:tcPr>
          <w:p>
            <w:pPr>
              <w:spacing w:after="0"/>
              <w:rPr>
                <w:sz w:val="13"/>
                <w:szCs w:val="13"/>
                <w:color w:val="auto"/>
              </w:rPr>
            </w:pPr>
          </w:p>
        </w:tc>
      </w:tr>
      <w:tr>
        <w:trPr>
          <w:trHeight w:val="142"/>
        </w:trPr>
        <w:tc>
          <w:tcPr>
            <w:tcW w:w="3180" w:type="dxa"/>
            <w:vAlign w:val="bottom"/>
            <w:tcBorders>
              <w:top w:val="single" w:sz="8" w:color="CFF0FC"/>
              <w:bottom w:val="single" w:sz="8" w:color="CFF0FC"/>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72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1,220</w:t>
            </w:r>
          </w:p>
        </w:tc>
        <w:tc>
          <w:tcPr>
            <w:tcW w:w="280" w:type="dxa"/>
            <w:vAlign w:val="bottom"/>
            <w:tcBorders>
              <w:top w:val="single" w:sz="8" w:color="CFF0FC"/>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3,865</w:t>
            </w:r>
          </w:p>
        </w:tc>
        <w:tc>
          <w:tcPr>
            <w:tcW w:w="28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4"/>
                <w:szCs w:val="14"/>
                <w:color w:val="auto"/>
                <w:w w:val="92"/>
              </w:rPr>
              <w:t>(2,371)</w:t>
            </w:r>
          </w:p>
        </w:tc>
        <w:tc>
          <w:tcPr>
            <w:tcW w:w="260" w:type="dxa"/>
            <w:vAlign w:val="bottom"/>
            <w:tcBorders>
              <w:top w:val="single" w:sz="8" w:color="CFF0FC"/>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13,425</w:t>
            </w:r>
          </w:p>
        </w:tc>
        <w:tc>
          <w:tcPr>
            <w:tcW w:w="320" w:type="dxa"/>
            <w:vAlign w:val="bottom"/>
            <w:tcBorders>
              <w:top w:val="single" w:sz="8" w:color="CFF0FC"/>
            </w:tcBorders>
          </w:tcPr>
          <w:p>
            <w:pPr>
              <w:spacing w:after="0"/>
              <w:rPr>
                <w:sz w:val="12"/>
                <w:szCs w:val="12"/>
                <w:color w:val="auto"/>
              </w:rPr>
            </w:pPr>
          </w:p>
        </w:tc>
      </w:tr>
      <w:tr>
        <w:trPr>
          <w:trHeight w:val="20"/>
        </w:trPr>
        <w:tc>
          <w:tcPr>
            <w:tcW w:w="3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-128270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-128270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-128270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-128270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a summary of the components of other comprehensive income (“OCI”) for the periods presented.</w:t>
      </w:r>
    </w:p>
    <w:p>
      <w:pPr>
        <w:sectPr>
          <w:pgSz w:w="11900" w:h="16838" w:orient="portrait"/>
          <w:cols w:equalWidth="0" w:num="1">
            <w:col w:w="11240"/>
          </w:cols>
          <w:pgMar w:left="320" w:top="10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securities:</w:t>
      </w:r>
    </w:p>
    <w:p>
      <w:pPr>
        <w:spacing w:after="0" w:line="4" w:lineRule="exact"/>
        <w:rPr>
          <w:sz w:val="20"/>
          <w:szCs w:val="20"/>
          <w:color w:val="auto"/>
        </w:rPr>
      </w:pPr>
    </w:p>
    <w:p>
      <w:pPr>
        <w:ind w:left="100" w:right="960"/>
        <w:spacing w:after="0" w:line="221" w:lineRule="auto"/>
        <w:rPr>
          <w:sz w:val="20"/>
          <w:szCs w:val="20"/>
          <w:color w:val="auto"/>
        </w:rPr>
      </w:pPr>
      <w:r>
        <w:rPr>
          <w:rFonts w:ascii="Times New Roman" w:cs="Times New Roman" w:eastAsia="Times New Roman" w:hAnsi="Times New Roman"/>
          <w:sz w:val="14"/>
          <w:szCs w:val="14"/>
          <w:color w:val="auto"/>
        </w:rPr>
        <w:t>Net change in fair value recorded in accumulated OCI Amortization of net unrealized losses on securities</w:t>
      </w:r>
    </w:p>
    <w:p>
      <w:pPr>
        <w:ind w:left="200"/>
        <w:spacing w:after="0" w:line="222" w:lineRule="auto"/>
        <w:rPr>
          <w:sz w:val="20"/>
          <w:szCs w:val="20"/>
          <w:color w:val="auto"/>
        </w:rPr>
      </w:pPr>
      <w:r>
        <w:rPr>
          <w:rFonts w:ascii="Times New Roman" w:cs="Times New Roman" w:eastAsia="Times New Roman" w:hAnsi="Times New Roman"/>
          <w:sz w:val="14"/>
          <w:szCs w:val="14"/>
          <w:color w:val="auto"/>
        </w:rPr>
        <w:t>transferred from available-for-sale to held-to-maturity</w:t>
      </w:r>
    </w:p>
    <w:p>
      <w:pPr>
        <w:spacing w:after="0" w:line="221" w:lineRule="auto"/>
        <w:rPr>
          <w:sz w:val="20"/>
          <w:szCs w:val="20"/>
          <w:color w:val="auto"/>
        </w:rPr>
      </w:pPr>
      <w:r>
        <w:rPr>
          <w:rFonts w:ascii="Times New Roman" w:cs="Times New Roman" w:eastAsia="Times New Roman" w:hAnsi="Times New Roman"/>
          <w:sz w:val="14"/>
          <w:szCs w:val="14"/>
          <w:color w:val="auto"/>
        </w:rPr>
        <w:t>Derivatives designated as hedging instruments:</w:t>
      </w:r>
    </w:p>
    <w:p>
      <w:pPr>
        <w:ind w:left="100"/>
        <w:spacing w:after="0" w:line="221" w:lineRule="auto"/>
        <w:rPr>
          <w:sz w:val="20"/>
          <w:szCs w:val="20"/>
          <w:color w:val="auto"/>
        </w:rPr>
      </w:pPr>
      <w:r>
        <w:rPr>
          <w:rFonts w:ascii="Times New Roman" w:cs="Times New Roman" w:eastAsia="Times New Roman" w:hAnsi="Times New Roman"/>
          <w:sz w:val="14"/>
          <w:szCs w:val="14"/>
          <w:color w:val="auto"/>
        </w:rPr>
        <w:t>Fair value hedges:</w:t>
      </w:r>
    </w:p>
    <w:p>
      <w:pPr>
        <w:spacing w:after="0" w:line="1" w:lineRule="exact"/>
        <w:rPr>
          <w:sz w:val="20"/>
          <w:szCs w:val="20"/>
          <w:color w:val="auto"/>
        </w:rPr>
      </w:pPr>
    </w:p>
    <w:p>
      <w:pPr>
        <w:ind w:left="100" w:right="920" w:firstLine="44"/>
        <w:spacing w:after="0" w:line="231" w:lineRule="auto"/>
        <w:rPr>
          <w:sz w:val="20"/>
          <w:szCs w:val="20"/>
          <w:color w:val="auto"/>
        </w:rPr>
      </w:pPr>
      <w:r>
        <w:rPr>
          <w:rFonts w:ascii="Times New Roman" w:cs="Times New Roman" w:eastAsia="Times New Roman" w:hAnsi="Times New Roman"/>
          <w:sz w:val="14"/>
          <w:szCs w:val="14"/>
          <w:color w:val="auto"/>
        </w:rPr>
        <w:t>Net change in fair value recorded in accumulated OCI Cash flow hedges: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Net change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9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10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Pr>
          <w:p>
            <w:pPr>
              <w:spacing w:after="0"/>
              <w:rPr>
                <w:sz w:val="12"/>
                <w:szCs w:val="12"/>
                <w:color w:val="auto"/>
              </w:rPr>
            </w:pP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2"/>
                <w:szCs w:val="12"/>
                <w:color w:val="auto"/>
              </w:rPr>
            </w:pPr>
          </w:p>
        </w:tc>
        <w:tc>
          <w:tcPr>
            <w:tcW w:w="7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vMerge w:val="continue"/>
          </w:tcPr>
          <w:p>
            <w:pPr>
              <w:spacing w:after="0"/>
              <w:rPr>
                <w:sz w:val="15"/>
                <w:szCs w:val="15"/>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59,279</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(17,525)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41,754</w:t>
            </w:r>
          </w:p>
        </w:tc>
        <w:tc>
          <w:tcPr>
            <w:tcW w:w="2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(35,856)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(25,256)</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(8,317)</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(5,861)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(4,962)</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49,360</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(14,596)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34,764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5,357</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-976630</wp:posOffset>
            </wp:positionV>
            <wp:extent cx="7132320" cy="946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-788035</wp:posOffset>
            </wp:positionV>
            <wp:extent cx="7132320" cy="1885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-505460</wp:posOffset>
            </wp:positionV>
            <wp:extent cx="7132320" cy="946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-316230</wp:posOffset>
            </wp:positionV>
            <wp:extent cx="7132320" cy="9398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-119380</wp:posOffset>
            </wp:positionV>
            <wp:extent cx="7132320" cy="1200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80" w:space="720"/>
            <w:col w:w="6340"/>
          </w:cols>
          <w:pgMar w:left="320" w:top="107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11.  BALANCE SHEET OFFSETTING</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92"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original maturities ranging from four to five years, wherein the Company pays a weighted average fixed rate of approximately 3.8% and receives daily SOFR. In December 2024, we terminated one of these swaps which had a notional value of $300 million, a maturity date of June 2027, and paid a fixed rate of 3.95%. The remaining $700 million notional pay-fixed interest rate swaps had a fair value which totaled $1.1 million and were reflected as a liability on March 31, 2025.</w:t>
      </w:r>
    </w:p>
    <w:p>
      <w:pPr>
        <w:spacing w:after="0" w:line="183"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cash flow hedging transactions were executed in which $300 million notional pay-fixed interest rate swaps were consummated with maturities of three years, wherein the Company pays a weighted average fixed rate of approximately 4.2% and receives daily SOFR. The fair value of these instruments totaled $2.3 million and were reflected as a liability on March 31, 2025.</w:t>
      </w:r>
    </w:p>
    <w:p>
      <w:pPr>
        <w:spacing w:after="0" w:line="174" w:lineRule="exact"/>
        <w:rPr>
          <w:sz w:val="20"/>
          <w:szCs w:val="20"/>
          <w:color w:val="auto"/>
        </w:rPr>
      </w:pPr>
    </w:p>
    <w:p>
      <w:pPr>
        <w:ind w:right="580" w:firstLine="374"/>
        <w:spacing w:after="0" w:line="284" w:lineRule="auto"/>
        <w:rPr>
          <w:sz w:val="20"/>
          <w:szCs w:val="20"/>
          <w:color w:val="auto"/>
        </w:rPr>
      </w:pPr>
      <w:r>
        <w:rPr>
          <w:rFonts w:ascii="Times New Roman" w:cs="Times New Roman" w:eastAsia="Times New Roman" w:hAnsi="Times New Roman"/>
          <w:sz w:val="18"/>
          <w:szCs w:val="18"/>
          <w:color w:val="auto"/>
        </w:rPr>
        <w:t xml:space="preserve">Refer to Note 9 –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8" w:name="page39"/>
    <w:bookmarkEnd w:id="38"/>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3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20" w:type="dxa"/>
            <w:vAlign w:val="bottom"/>
          </w:tcPr>
          <w:p>
            <w:pPr>
              <w:spacing w:after="0"/>
              <w:rPr>
                <w:sz w:val="13"/>
                <w:szCs w:val="13"/>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the</w:t>
            </w:r>
          </w:p>
        </w:tc>
        <w:tc>
          <w:tcPr>
            <w:tcW w:w="3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270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the Condensed Consolidated Balance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32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tcPr>
          <w:p>
            <w:pPr>
              <w:spacing w:after="0"/>
              <w:rPr>
                <w:sz w:val="10"/>
                <w:szCs w:val="10"/>
                <w:color w:val="auto"/>
              </w:rPr>
            </w:pPr>
          </w:p>
        </w:tc>
        <w:tc>
          <w:tcPr>
            <w:tcW w:w="13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0"/>
                <w:szCs w:val="10"/>
                <w:color w:val="auto"/>
              </w:rPr>
            </w:pPr>
          </w:p>
        </w:tc>
        <w:tc>
          <w:tcPr>
            <w:tcW w:w="12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0"/>
                <w:szCs w:val="10"/>
                <w:color w:val="auto"/>
              </w:rPr>
            </w:pPr>
          </w:p>
        </w:tc>
        <w:tc>
          <w:tcPr>
            <w:tcW w:w="1020" w:type="dxa"/>
            <w:vAlign w:val="bottom"/>
          </w:tcPr>
          <w:p>
            <w:pPr>
              <w:jc w:val="right"/>
              <w:ind w:right="248"/>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320" w:type="dxa"/>
            <w:vAlign w:val="bottom"/>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jc w:val="right"/>
              <w:ind w:right="568"/>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35,382</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(35,304)</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35,843</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(35,850)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designated as</w:t>
            </w:r>
          </w:p>
        </w:tc>
        <w:tc>
          <w:tcPr>
            <w:tcW w:w="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 hedges: interest rate swaps</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flow hedges: interest rate swaps</w:t>
            </w: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right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35,382</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(35,304)</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35,843</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(32,532)</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3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designated as</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 hedges: interest rate swaps</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w:t>
            </w:r>
          </w:p>
        </w:tc>
        <w:tc>
          <w:tcPr>
            <w:tcW w:w="320" w:type="dxa"/>
            <w:vAlign w:val="bottom"/>
            <w:tcBorders>
              <w:right w:val="single" w:sz="8" w:color="CFF0FC"/>
            </w:tcBorders>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flow hedges: interest rate swaps</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w:t>
            </w: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Repurchase agreements</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276,164</w:t>
            </w:r>
          </w:p>
        </w:tc>
        <w:tc>
          <w:tcPr>
            <w:tcW w:w="320" w:type="dxa"/>
            <w:vAlign w:val="bottom"/>
            <w:tcBorders>
              <w:right w:val="single" w:sz="8" w:color="CFF0FC"/>
            </w:tcBorders>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276,164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(310,246)</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(34,082)</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279,594</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279,594</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(310,136)</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(30,542)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41,933</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(41,903)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42,538</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(42,390)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designated as</w:t>
            </w:r>
          </w:p>
        </w:tc>
        <w:tc>
          <w:tcPr>
            <w:tcW w:w="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 hedges: interest rate swaps</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7,222</w:t>
            </w: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(6,899)</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flow hedges: interest rate swaps</w:t>
            </w: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right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49,155</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(41,903)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7,252</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42,538</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(49,289)</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3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Derivatives designated as</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 hedges: interest rate swaps</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FF0FC"/>
            </w:tcBorders>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flow hedges: interest rate swaps</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3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Repurchase agreements</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261,887</w:t>
            </w:r>
          </w:p>
        </w:tc>
        <w:tc>
          <w:tcPr>
            <w:tcW w:w="320" w:type="dxa"/>
            <w:vAlign w:val="bottom"/>
            <w:tcBorders>
              <w:right w:val="single" w:sz="8" w:color="CFF0FC"/>
            </w:tcBorders>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261,887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(306,401)</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(44,514)</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262,434</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262,434</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(306,401)</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(43,967)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-3436620</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-3436620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-3436620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-3436620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-3436620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-2365375</wp:posOffset>
            </wp:positionV>
            <wp:extent cx="768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-2365375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-2365375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-2365375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-2365375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-1199515</wp:posOffset>
            </wp:positionV>
            <wp:extent cx="768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-1199515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-1199515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-1199515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-1199515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-128270</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-128270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-128270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-128270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-128270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right="80" w:firstLine="374"/>
        <w:spacing w:after="0" w:line="289" w:lineRule="auto"/>
        <w:rPr>
          <w:sz w:val="20"/>
          <w:szCs w:val="20"/>
          <w:color w:val="auto"/>
        </w:rPr>
      </w:pPr>
      <w:r>
        <w:rPr>
          <w:rFonts w:ascii="Times New Roman" w:cs="Times New Roman" w:eastAsia="Times New Roman" w:hAnsi="Times New Roman"/>
          <w:sz w:val="17"/>
          <w:szCs w:val="17"/>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58" w:lineRule="exact"/>
        <w:rPr>
          <w:sz w:val="20"/>
          <w:szCs w:val="20"/>
          <w:color w:val="auto"/>
        </w:rPr>
      </w:pPr>
    </w:p>
    <w:p>
      <w:pPr>
        <w:ind w:right="840" w:firstLine="374"/>
        <w:spacing w:after="0" w:line="282" w:lineRule="auto"/>
        <w:rPr>
          <w:sz w:val="20"/>
          <w:szCs w:val="20"/>
          <w:color w:val="auto"/>
        </w:rPr>
      </w:pPr>
      <w:r>
        <w:rPr>
          <w:rFonts w:ascii="Times New Roman" w:cs="Times New Roman" w:eastAsia="Times New Roman" w:hAnsi="Times New Roman"/>
          <w:sz w:val="18"/>
          <w:szCs w:val="18"/>
          <w:color w:val="auto"/>
        </w:rPr>
        <w:t>While the Company has, as a lessor, certain equipment finance leases, such leases are not material to the Company’s consolidated financial statements.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3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20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w:t>
            </w: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2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ROU assets</w:t>
            </w:r>
          </w:p>
        </w:tc>
        <w:tc>
          <w:tcPr>
            <w:tcW w:w="364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45,174</w:t>
            </w: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100" w:type="dxa"/>
            <w:vAlign w:val="bottom"/>
            <w:shd w:val="clear" w:color="auto" w:fill="CFF0FC"/>
          </w:tcPr>
          <w:p>
            <w:pPr>
              <w:spacing w:after="0"/>
              <w:rPr>
                <w:sz w:val="18"/>
                <w:szCs w:val="18"/>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8"/>
                <w:szCs w:val="18"/>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w:t>
            </w:r>
          </w:p>
        </w:tc>
        <w:tc>
          <w:tcPr>
            <w:tcW w:w="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36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3"/>
              </w:rPr>
              <w:t>thousands)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1440" w:type="dxa"/>
            <w:vAlign w:val="bottom"/>
            <w:gridSpan w:val="2"/>
          </w:tcPr>
          <w:p>
            <w:pPr>
              <w:jc w:val="right"/>
              <w:ind w:right="127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440" w:type="dxa"/>
            <w:vAlign w:val="bottom"/>
            <w:gridSpan w:val="2"/>
          </w:tcPr>
          <w:p>
            <w:pPr>
              <w:jc w:val="right"/>
              <w:ind w:right="127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198"/>
        </w:trPr>
        <w:tc>
          <w:tcPr>
            <w:tcW w:w="79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measurement of</w:t>
            </w:r>
          </w:p>
        </w:tc>
        <w:tc>
          <w:tcPr>
            <w:tcW w:w="6500" w:type="dxa"/>
            <w:vAlign w:val="bottom"/>
            <w:gridSpan w:val="2"/>
          </w:tcPr>
          <w:p>
            <w:pPr>
              <w:jc w:val="right"/>
              <w:ind w:right="5250"/>
              <w:spacing w:after="0"/>
              <w:rPr>
                <w:sz w:val="20"/>
                <w:szCs w:val="20"/>
                <w:color w:val="auto"/>
              </w:rPr>
            </w:pPr>
            <w:r>
              <w:rPr>
                <w:rFonts w:ascii="Times New Roman" w:cs="Times New Roman" w:eastAsia="Times New Roman" w:hAnsi="Times New Roman"/>
                <w:sz w:val="18"/>
                <w:szCs w:val="18"/>
                <w:color w:val="auto"/>
              </w:rPr>
              <w:t>lease liabilities: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7900" w:type="dxa"/>
            <w:vAlign w:val="bottom"/>
            <w:gridSpan w:val="3"/>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 cash outflows from operating</w:t>
            </w: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1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leases, net</w:t>
            </w:r>
          </w:p>
        </w:tc>
        <w:tc>
          <w:tcPr>
            <w:tcW w:w="650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2,270</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1,864</w:t>
            </w:r>
          </w:p>
        </w:tc>
      </w:tr>
      <w:tr>
        <w:trPr>
          <w:trHeight w:val="383"/>
        </w:trPr>
        <w:tc>
          <w:tcPr>
            <w:tcW w:w="1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r>
      <w:tr>
        <w:trPr>
          <w:trHeight w:val="210"/>
        </w:trPr>
        <w:tc>
          <w:tcPr>
            <w:tcW w:w="7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198"/>
        </w:trPr>
        <w:tc>
          <w:tcPr>
            <w:tcW w:w="79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w:t>
            </w:r>
          </w:p>
        </w:tc>
        <w:tc>
          <w:tcPr>
            <w:tcW w:w="4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9.99</w:t>
            </w:r>
          </w:p>
        </w:tc>
        <w:tc>
          <w:tcPr>
            <w:tcW w:w="180" w:type="dxa"/>
            <w:vAlign w:val="bottom"/>
          </w:tcPr>
          <w:p>
            <w:pPr>
              <w:spacing w:after="0"/>
              <w:rPr>
                <w:sz w:val="20"/>
                <w:szCs w:val="20"/>
                <w:color w:val="auto"/>
              </w:rPr>
            </w:pPr>
          </w:p>
        </w:tc>
      </w:tr>
      <w:tr>
        <w:trPr>
          <w:trHeight w:val="216"/>
        </w:trPr>
        <w:tc>
          <w:tcPr>
            <w:tcW w:w="7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6.01%</w:t>
            </w:r>
          </w:p>
        </w:tc>
        <w:tc>
          <w:tcPr>
            <w:tcW w:w="4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5.95%</w:t>
            </w:r>
          </w:p>
        </w:tc>
      </w:tr>
      <w:tr>
        <w:trPr>
          <w:trHeight w:val="432"/>
        </w:trPr>
        <w:tc>
          <w:tcPr>
            <w:tcW w:w="1400" w:type="dxa"/>
            <w:vAlign w:val="bottom"/>
          </w:tcPr>
          <w:p>
            <w:pPr>
              <w:spacing w:after="0"/>
              <w:rPr>
                <w:sz w:val="24"/>
                <w:szCs w:val="24"/>
                <w:color w:val="auto"/>
              </w:rPr>
            </w:pPr>
          </w:p>
        </w:tc>
        <w:tc>
          <w:tcPr>
            <w:tcW w:w="4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March 31, 2025 and the Company’s short-term lease costs and variable lease costs, for the three months ended March 31, 2025 and 2024 are not material to the consolidated financial statements. The future lease payments required for leases that have initial or remaining non-cancelable lease terms in excess of one year as of March 31, 2025, excluding property taxes and insurance,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4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Pr>
          <w:p>
            <w:pPr>
              <w:spacing w:after="0"/>
              <w:rPr>
                <w:sz w:val="18"/>
                <w:szCs w:val="18"/>
                <w:color w:val="auto"/>
              </w:rPr>
            </w:pPr>
          </w:p>
        </w:tc>
      </w:tr>
      <w:tr>
        <w:trPr>
          <w:trHeight w:val="176"/>
        </w:trPr>
        <w:tc>
          <w:tcPr>
            <w:tcW w:w="664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w:t>
            </w:r>
          </w:p>
        </w:tc>
        <w:tc>
          <w:tcPr>
            <w:tcW w:w="2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440" w:type="dxa"/>
            <w:vAlign w:val="bottom"/>
            <w:tcBorders>
              <w:top w:val="single" w:sz="8" w:color="auto"/>
            </w:tcBorders>
            <w:shd w:val="clear" w:color="auto" w:fill="CFF0FC"/>
          </w:tcPr>
          <w:p>
            <w:pPr>
              <w:spacing w:after="0" w:line="20" w:lineRule="exact"/>
              <w:rPr>
                <w:sz w:val="1"/>
                <w:szCs w:val="1"/>
                <w:color w:val="auto"/>
              </w:rPr>
            </w:pPr>
          </w:p>
        </w:tc>
        <w:tc>
          <w:tcPr>
            <w:tcW w:w="620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2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2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2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tcPr>
          <w:p>
            <w:pPr>
              <w:spacing w:after="0"/>
              <w:rPr>
                <w:sz w:val="18"/>
                <w:szCs w:val="18"/>
                <w:color w:val="auto"/>
              </w:rPr>
            </w:pPr>
          </w:p>
        </w:tc>
      </w:tr>
      <w:tr>
        <w:trPr>
          <w:trHeight w:val="209"/>
        </w:trPr>
        <w:tc>
          <w:tcPr>
            <w:tcW w:w="6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(19,337)</w:t>
            </w:r>
          </w:p>
        </w:tc>
      </w:tr>
      <w:tr>
        <w:trPr>
          <w:trHeight w:val="250"/>
        </w:trPr>
        <w:tc>
          <w:tcPr>
            <w:tcW w:w="6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Topic 606,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36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83"/>
              </w:rPr>
              <w:t>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Bankcard services</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OREO, net</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3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3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-453390</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22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included in our Annual Report on Form 10-K for the year ended December 31, 2024 for a more detailed discussion about noninterest revenue streams that are in-scope of Topic 606.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invests in low income housing tax credit and solar tax funds that are designed to generate a return primarily through the realization of federal tax credits. The company accounts for these investments by amortizing the cost of tax credit investments over the life of the investment using a proportional amortization method and tax credit investment amortization expense is a component of the provision for income taxes.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balances of the Company's tax credit investments and related unfunded commitments at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w:t>
            </w: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360" w:type="dxa"/>
            <w:vAlign w:val="bottom"/>
            <w:vMerge w:val="continue"/>
          </w:tcPr>
          <w:p>
            <w:pPr>
              <w:spacing w:after="0"/>
              <w:rPr>
                <w:sz w:val="18"/>
                <w:szCs w:val="18"/>
                <w:color w:val="auto"/>
              </w:rPr>
            </w:pPr>
          </w:p>
        </w:tc>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 investments</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79,424</w:t>
            </w:r>
          </w:p>
        </w:tc>
        <w:tc>
          <w:tcPr>
            <w:tcW w:w="5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 - tax credit investments</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71,797</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other information related to the Company's tax credit investments as of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w:t>
            </w: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320" w:type="dxa"/>
            <w:vAlign w:val="bottom"/>
            <w:vMerge w:val="continue"/>
          </w:tcPr>
          <w:p>
            <w:pPr>
              <w:spacing w:after="0"/>
              <w:rPr>
                <w:sz w:val="18"/>
                <w:szCs w:val="18"/>
                <w:color w:val="auto"/>
              </w:rPr>
            </w:pPr>
          </w:p>
        </w:tc>
        <w:tc>
          <w:tcPr>
            <w:tcW w:w="1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 and other tax benefits recognized</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Tax credit amortization expense included in provision for income taxes</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33,451</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40" w:type="dxa"/>
            <w:vAlign w:val="bottom"/>
          </w:tcPr>
          <w:p>
            <w:pPr>
              <w:spacing w:after="0"/>
              <w:rPr>
                <w:sz w:val="24"/>
                <w:szCs w:val="24"/>
                <w:color w:val="auto"/>
              </w:rPr>
            </w:pPr>
          </w:p>
        </w:tc>
        <w:tc>
          <w:tcPr>
            <w:tcW w:w="17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2024 and the unaudited condensed consolidated financial statements and accompanying notes presented elsewhere in this report.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3" w:lineRule="exact"/>
        <w:rPr>
          <w:sz w:val="20"/>
          <w:szCs w:val="20"/>
          <w:color w:val="auto"/>
        </w:rPr>
      </w:pPr>
    </w:p>
    <w:p>
      <w:pPr>
        <w:ind w:right="220" w:firstLine="469"/>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83" w:lineRule="exact"/>
        <w:rPr>
          <w:sz w:val="20"/>
          <w:szCs w:val="20"/>
          <w:color w:val="auto"/>
        </w:rPr>
      </w:pPr>
    </w:p>
    <w:p>
      <w:pPr>
        <w:ind w:left="1040" w:hanging="47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(“ACL”)</w:t>
      </w:r>
    </w:p>
    <w:p>
      <w:pPr>
        <w:spacing w:after="0" w:line="2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9"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Recoverability of Goodwill</w:t>
      </w:r>
    </w:p>
    <w:p>
      <w:pPr>
        <w:spacing w:after="0" w:line="207"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greater detail in our 2024 Annual Report on Form 10-K in the “Critical Accounting Policies” section of Management’s Discussion and Analysis of Financial Condition and Results of Operations and in Note 3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included in our Annual Report on Form 10-K for the year ended December 31, 2024, which are essential to understanding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but Not Adopted as of March 31, 2025</w:t>
      </w:r>
    </w:p>
    <w:p>
      <w:pPr>
        <w:sectPr>
          <w:pgSz w:w="11900" w:h="16838" w:orient="portrait"/>
          <w:cols w:equalWidth="0" w:num="1">
            <w:col w:w="11240"/>
          </w:cols>
          <w:pgMar w:left="320" w:top="1089" w:right="339" w:bottom="1440" w:gutter="0" w:footer="0" w:header="0"/>
        </w:sectPr>
      </w:pPr>
    </w:p>
    <w:p>
      <w:pPr>
        <w:spacing w:after="0" w:line="3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555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14"/>
          <w:szCs w:val="14"/>
          <w:color w:val="auto"/>
        </w:rPr>
        <w:t>ASU 2023-09 Income Taxes (Topic 740): Improvements to Income Tax Disclosures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Issued December 2023</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70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Impact on Financial Statements</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3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On December 14, 2023, the FASB issued ASU 2023-09 Income Taxes (Topic</w:t>
            </w:r>
          </w:p>
        </w:tc>
        <w:tc>
          <w:tcPr>
            <w:tcW w:w="12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December</w:t>
            </w:r>
          </w:p>
        </w:tc>
        <w:tc>
          <w:tcPr>
            <w:tcW w:w="370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The adoption of this ASU is not expected to have a material</w:t>
            </w: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740) - Improvements to Income Tax Disclosures. This ASU enhances annual</w:t>
            </w:r>
          </w:p>
        </w:tc>
        <w:tc>
          <w:tcPr>
            <w:tcW w:w="9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impact on our consolidated financial statements.</w:t>
            </w: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disclosures to address investor requests for more detailed</w:t>
            </w:r>
          </w:p>
        </w:tc>
        <w:tc>
          <w:tcPr>
            <w:tcW w:w="9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information about tax risks and improved transparency of income tax</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disclosures. The two primary enhancements disaggregate existing income tax</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disclosures related to the effective tax rate reconciliation and information 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paid disaggregated by jurisdiction. This ASU is effective for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annual reporting periods beginning after December 15, 2024 and are to be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applied on a prospective basis; early adoption is permitted.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83820</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320"/>
            <w:col w:w="9180"/>
          </w:cols>
          <w:pgMar w:left="320" w:top="1089" w:right="33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ASU 2024-03, Income Statement</w:t>
            </w:r>
          </w:p>
        </w:tc>
        <w:tc>
          <w:tcPr>
            <w:tcW w:w="4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 November 4, 2024, the FASB issued ASU 2024-03, Income Statement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w:t>
            </w:r>
          </w:p>
        </w:tc>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adoption of this ASU is not expected to have a material</w:t>
            </w: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—Reporting Comprehensive</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Reporting Comprehensive Income - Expense Disaggregation Disclosures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impact on our consolidated financial statements.</w:t>
            </w: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Income—Expense</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(Subtopic 220-40 Disaggregation of Income Statement Expenses. This ASU</w:t>
            </w:r>
          </w:p>
        </w:tc>
        <w:tc>
          <w:tcPr>
            <w:tcW w:w="8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3700" w:type="dxa"/>
            <w:vAlign w:val="bottom"/>
          </w:tcPr>
          <w:p>
            <w:pPr>
              <w:spacing w:after="0"/>
              <w:rPr>
                <w:sz w:val="12"/>
                <w:szCs w:val="12"/>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Disaggregation Disclosures</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requires disaggregated disclosure of income statement expenses for public</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(Subtopic 220-40):</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business entities. This ASU does not change the expense captions an entity</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Disaggregation of Income</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presents on the face of the income statement; rather, it requires disaggregation</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Statement Expenses</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of certain expense captions into specified categories in disclosures in tabular</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8"/>
        </w:trPr>
        <w:tc>
          <w:tcPr>
            <w:tcW w:w="2000" w:type="dxa"/>
            <w:vAlign w:val="bottom"/>
          </w:tcPr>
          <w:p>
            <w:pPr>
              <w:spacing w:after="0"/>
              <w:rPr>
                <w:sz w:val="12"/>
                <w:szCs w:val="12"/>
                <w:color w:val="auto"/>
              </w:rPr>
            </w:pP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format within the footnotes to the financial statements. The prescribed</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58"/>
        </w:trPr>
        <w:tc>
          <w:tcPr>
            <w:tcW w:w="2000" w:type="dxa"/>
            <w:vAlign w:val="bottom"/>
          </w:tcPr>
          <w:p>
            <w:pPr>
              <w:spacing w:after="0" w:line="158" w:lineRule="exact"/>
              <w:rPr>
                <w:sz w:val="20"/>
                <w:szCs w:val="20"/>
                <w:color w:val="auto"/>
              </w:rPr>
            </w:pPr>
            <w:r>
              <w:rPr>
                <w:rFonts w:ascii="Times New Roman" w:cs="Times New Roman" w:eastAsia="Times New Roman" w:hAnsi="Times New Roman"/>
                <w:sz w:val="15"/>
                <w:szCs w:val="15"/>
                <w:i w:val="1"/>
                <w:iCs w:val="1"/>
                <w:color w:val="auto"/>
              </w:rPr>
              <w:t>Issued November 2024</w:t>
            </w:r>
          </w:p>
        </w:tc>
        <w:tc>
          <w:tcPr>
            <w:tcW w:w="470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auto"/>
              </w:rPr>
              <w:t>categories include employee compensation, depreciation, and intangible asset</w:t>
            </w:r>
          </w:p>
        </w:tc>
        <w:tc>
          <w:tcPr>
            <w:tcW w:w="84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139"/>
        </w:trPr>
        <w:tc>
          <w:tcPr>
            <w:tcW w:w="2000" w:type="dxa"/>
            <w:vAlign w:val="bottom"/>
          </w:tcPr>
          <w:p>
            <w:pPr>
              <w:spacing w:after="0"/>
              <w:rPr>
                <w:sz w:val="12"/>
                <w:szCs w:val="12"/>
                <w:color w:val="auto"/>
              </w:rPr>
            </w:pPr>
          </w:p>
        </w:tc>
        <w:tc>
          <w:tcPr>
            <w:tcW w:w="470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amortization. This ASU is effective for annual reporting periods beginning</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8"/>
        </w:trPr>
        <w:tc>
          <w:tcPr>
            <w:tcW w:w="2000" w:type="dxa"/>
            <w:vAlign w:val="bottom"/>
          </w:tcPr>
          <w:p>
            <w:pPr>
              <w:spacing w:after="0"/>
              <w:rPr>
                <w:sz w:val="12"/>
                <w:szCs w:val="12"/>
                <w:color w:val="auto"/>
              </w:rPr>
            </w:pP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after December 15, 2026, and interim periods within fiscal years beginning in</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8"/>
        </w:trPr>
        <w:tc>
          <w:tcPr>
            <w:tcW w:w="2000" w:type="dxa"/>
            <w:vAlign w:val="bottom"/>
          </w:tcPr>
          <w:p>
            <w:pPr>
              <w:spacing w:after="0"/>
              <w:rPr>
                <w:sz w:val="12"/>
                <w:szCs w:val="12"/>
                <w:color w:val="auto"/>
              </w:rPr>
            </w:pP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2028. This ASU is to be applied on a prospective basis, though early adoption</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88"/>
        </w:trPr>
        <w:tc>
          <w:tcPr>
            <w:tcW w:w="2000" w:type="dxa"/>
            <w:vAlign w:val="bottom"/>
          </w:tcPr>
          <w:p>
            <w:pPr>
              <w:spacing w:after="0"/>
              <w:rPr>
                <w:sz w:val="16"/>
                <w:szCs w:val="16"/>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retrospective application are permitted.</w:t>
            </w:r>
          </w:p>
        </w:tc>
        <w:tc>
          <w:tcPr>
            <w:tcW w:w="84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32"/>
        </w:trPr>
        <w:tc>
          <w:tcPr>
            <w:tcW w:w="200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r>
      <w:tr>
        <w:trPr>
          <w:trHeight w:val="26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ASU 2025-01, Income Statement</w:t>
            </w:r>
          </w:p>
        </w:tc>
        <w:tc>
          <w:tcPr>
            <w:tcW w:w="4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 January 06, 2025, the FASB issued ASU 2025-01, which amends the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See ASU</w:t>
            </w:r>
          </w:p>
        </w:tc>
        <w:tc>
          <w:tcPr>
            <w:tcW w:w="3700" w:type="dxa"/>
            <w:vAlign w:val="bottom"/>
          </w:tcPr>
          <w:p>
            <w:pPr>
              <w:spacing w:after="0"/>
              <w:rPr>
                <w:sz w:val="23"/>
                <w:szCs w:val="23"/>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—Reporting Comprehensive</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effective date of ASU 2024-03 to clarify that all public business entities are</w:t>
            </w:r>
          </w:p>
        </w:tc>
        <w:tc>
          <w:tcPr>
            <w:tcW w:w="8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2024-03</w:t>
            </w:r>
          </w:p>
        </w:tc>
        <w:tc>
          <w:tcPr>
            <w:tcW w:w="3700" w:type="dxa"/>
            <w:vAlign w:val="bottom"/>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Income—Expense</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required to adopt the guidance in annual periods after December 15, 2026, and</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Disaggregation Disclosures</w:t>
            </w:r>
          </w:p>
        </w:tc>
        <w:tc>
          <w:tcPr>
            <w:tcW w:w="47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interim periods in fiscal years beginning after December 15, 2027.</w:t>
            </w: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(Subtopic 220-40): Clarifying</w:t>
            </w:r>
          </w:p>
        </w:tc>
        <w:tc>
          <w:tcPr>
            <w:tcW w:w="4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8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the Effective Date</w:t>
            </w:r>
          </w:p>
        </w:tc>
        <w:tc>
          <w:tcPr>
            <w:tcW w:w="4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00" w:type="dxa"/>
            <w:vAlign w:val="bottom"/>
          </w:tcPr>
          <w:p>
            <w:pPr>
              <w:spacing w:after="0"/>
              <w:rPr>
                <w:sz w:val="16"/>
                <w:szCs w:val="16"/>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Issued January 2025</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For the first quarter of 2025, we reported net earnings of $51.1 million, compared with $50.9 million for the fourth quarter of 2024 and $48.6 million for the first quarter of 2024. Diluted earnings per share were $0.36 for the first quarter, and prior quarter and $0.35 for the same period last year. Net income of $51.1 million for the first quarter of 2025 produced an annualized return on average equity (“ROAE”) of 9.31%, an annualized return on average tangible common equity (“ROATCE”) of 14.51%, and an annualized return on average assets (“ROAA”) of 1.37%. Our net interest margin, tax equivalent (“NIM”), was 3.31% for the first quarter of 2025, while our efficiency ratio was 46.69%.</w:t>
      </w:r>
    </w:p>
    <w:p>
      <w:pPr>
        <w:spacing w:after="0" w:line="183"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Net interest income was $110.4 million for the first quarter of 2025 consistent with the fourth quarter of 2024, and a $2.0 million, or 1.79%, decrease from the first quarter of 2024. Our net interest margin increased by 21 basis points compared to the first quarter of 2024, primarily driven by lower cost of funds as a result of balance sheet deleveraging that occurred in the second half of 2024. This balance sheet deleveraging impacted average earning assets, which declined from the first quarter of 2024 by $1.1 billion. Interest expense from borrowings decreased by approximately $17.1 million compared to the first quarter of 2024, as average borrowings declined by $1.5 billion.</w:t>
      </w:r>
    </w:p>
    <w:p>
      <w:pPr>
        <w:spacing w:after="0" w:line="183" w:lineRule="exact"/>
        <w:rPr>
          <w:sz w:val="20"/>
          <w:szCs w:val="20"/>
          <w:color w:val="auto"/>
        </w:rPr>
      </w:pPr>
    </w:p>
    <w:p>
      <w:pPr>
        <w:ind w:right="60" w:firstLine="469"/>
        <w:spacing w:after="0" w:line="282" w:lineRule="auto"/>
        <w:rPr>
          <w:sz w:val="20"/>
          <w:szCs w:val="20"/>
          <w:color w:val="auto"/>
        </w:rPr>
      </w:pPr>
      <w:r>
        <w:rPr>
          <w:rFonts w:ascii="Times New Roman" w:cs="Times New Roman" w:eastAsia="Times New Roman" w:hAnsi="Times New Roman"/>
          <w:sz w:val="18"/>
          <w:szCs w:val="18"/>
          <w:color w:val="auto"/>
        </w:rPr>
        <w:t>Noninterest income was $16.2 million for the first quarter of 2025, compared with $13.1 million for the fourth quarter of 2024 and $14.1 million for the first quarter of 2024. During the first quarter of 2025, the Bank sold four OREO properties resulting in a net gain of $2.2 million.</w:t>
      </w:r>
    </w:p>
    <w:p>
      <w:pPr>
        <w:spacing w:after="0" w:line="162"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Noninterest expense for the first quarter of 2025 was $59.1 million, compared to $58.5 million for the fourth quarter of 2024 and $59.8 million for the first quarter of 2024. The quarter-over-quarter increase includes a $500 thousand provision for unfunded commitments in the first quarter of 2025. The decrease of $627,000 compared to first quarter of 2024 is inclusive of lower regulatory assessment expense, as the first quarter of 2024 included an additional accrual of $2.3 million for the FDIC special assessment associated with the bank failures in 2023.</w:t>
      </w:r>
    </w:p>
    <w:p>
      <w:pPr>
        <w:spacing w:after="0" w:line="180" w:lineRule="exact"/>
        <w:rPr>
          <w:sz w:val="20"/>
          <w:szCs w:val="20"/>
          <w:color w:val="auto"/>
        </w:rPr>
      </w:pPr>
    </w:p>
    <w:p>
      <w:pPr>
        <w:ind w:right="240" w:firstLine="469"/>
        <w:spacing w:after="0" w:line="261" w:lineRule="auto"/>
        <w:rPr>
          <w:sz w:val="20"/>
          <w:szCs w:val="20"/>
          <w:color w:val="auto"/>
        </w:rPr>
      </w:pPr>
      <w:r>
        <w:rPr>
          <w:rFonts w:ascii="Times New Roman" w:cs="Times New Roman" w:eastAsia="Times New Roman" w:hAnsi="Times New Roman"/>
          <w:sz w:val="18"/>
          <w:szCs w:val="18"/>
          <w:color w:val="auto"/>
        </w:rPr>
        <w:t>At March 31, 2025, total assets of $15.26 billion increased by $102.9 million, or 0.68%, from total assets of $15.15 billion at December 31, 2024. Interest-earning assets of $13.62 billion at March 31, 2025, increased by $92.9 million, or 0.69%, when compared with $13.53 billion at December 31, 2024. The increase in interest-earning assets was primarily due to a $290.3 million increase in interest-earning balances due from the Federal Reserve, offset by a $27.6 million decrease in investment securities, and a $172.8 million decrease in total loans.</w:t>
      </w:r>
    </w:p>
    <w:p>
      <w:pPr>
        <w:spacing w:after="0" w:line="180"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Total investment securities were $4.9 billion at March 31, 2025, a decrease of $27.6 million, or 0.56%, from $4.92 billion at December 31, 2024. At March 31, 2025, investment securities held-to-maturity (“HTM”) totaled $2.36 billion, a decrease of $20.5 million, or 0.86%, from December 31, 2024. At March 31, 2025, investment securities available-for-sale (“AFS”) totaled $2.54 billion, inclusive of a pre-tax net unrealized loss of $338.4 million. AFS securities decreased by $7.0 million, or 0.28%, from $2.54 billion at December 31, 2024. Pre-tax unrealized loss decreased by $58.9 million from December 31, 2024. Our tax equivalent yield on investments was 2.63% for the quarter ended March 31, 2025, compared to 2.58% for the fourth quarter of 2024 and 2.64% for the first quarter of 2024.</w:t>
      </w:r>
    </w:p>
    <w:p>
      <w:pPr>
        <w:spacing w:after="0" w:line="187" w:lineRule="exact"/>
        <w:rPr>
          <w:sz w:val="20"/>
          <w:szCs w:val="20"/>
          <w:color w:val="auto"/>
        </w:rPr>
      </w:pPr>
    </w:p>
    <w:p>
      <w:pPr>
        <w:ind w:right="120" w:firstLine="469"/>
        <w:spacing w:after="0" w:line="258" w:lineRule="auto"/>
        <w:rPr>
          <w:sz w:val="20"/>
          <w:szCs w:val="20"/>
          <w:color w:val="auto"/>
        </w:rPr>
      </w:pPr>
      <w:r>
        <w:rPr>
          <w:rFonts w:ascii="Times New Roman" w:cs="Times New Roman" w:eastAsia="Times New Roman" w:hAnsi="Times New Roman"/>
          <w:sz w:val="18"/>
          <w:szCs w:val="18"/>
          <w:color w:val="auto"/>
        </w:rPr>
        <w:t>Total loans and leases, at amortized cost, of $8.36 billion at March 31, 2025, decreased by $172.8 million, or 2.02%, from December 31, 2024. The quarter-over-quarter decline in loans included decreases of $16.8 million in commercial real estate loans, $167.8 million in dairy &amp; livestock loans, offset by an increase of $17.1 million in commercial and industrial loans. The decline in dairy and livestock loans primarily relates to the seasonal peak in line utilization at the end of every calendar year, demonstrated by a decline in utilization from 81% at the end of 2024 to 64% at March 31, 2025. Our yield on loans was 5.22% for the quarter ended March 31, 2025, compared to 5.15% for the fourth quarter of 2024 and 5.30% for the first quarter of 2024.</w:t>
      </w:r>
    </w:p>
    <w:p>
      <w:pPr>
        <w:spacing w:after="0" w:line="183"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totaled $78.3 million at March 31, 2025, compared to $80.1 million at December 31, 2024. There was $2.0 million recapture of credit losses in the first quarter of 2025. The decline in the allowance was due primarily to improved credit ratings for dairy and livestock loans. The allowance for credit losses as a percentage of total loans was .94% at both March 31, 2025 and December 31, 2024.</w:t>
      </w:r>
    </w:p>
    <w:p>
      <w:pPr>
        <w:spacing w:after="0" w:line="176" w:lineRule="exact"/>
        <w:rPr>
          <w:sz w:val="20"/>
          <w:szCs w:val="20"/>
          <w:color w:val="auto"/>
        </w:rPr>
      </w:pPr>
    </w:p>
    <w:p>
      <w:pPr>
        <w:ind w:right="440" w:firstLine="469"/>
        <w:spacing w:after="0" w:line="282" w:lineRule="auto"/>
        <w:rPr>
          <w:sz w:val="20"/>
          <w:szCs w:val="20"/>
          <w:color w:val="auto"/>
        </w:rPr>
      </w:pPr>
      <w:r>
        <w:rPr>
          <w:rFonts w:ascii="Times New Roman" w:cs="Times New Roman" w:eastAsia="Times New Roman" w:hAnsi="Times New Roman"/>
          <w:sz w:val="18"/>
          <w:szCs w:val="18"/>
          <w:color w:val="auto"/>
        </w:rPr>
        <w:t>Noninterest-bearing deposits were $7.18 billion at March 31, 2025, an increase of $147.1 million, or 2.09%, when compared to $7.04 billion at December 31, 2024 . At March 31, 2025, noninterest-bearing deposits were 59.92% of total deposits, compared to 58.90% at December 31, 2024.</w:t>
      </w:r>
    </w:p>
    <w:p>
      <w:pPr>
        <w:spacing w:after="0" w:line="162"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Interest-bearing deposits were $4.81 billion at March 31, 2025, a decrease of $105.6 million, or 2.15%, when compared to $4.91 billion at December 31, 2024. Customer repurchase agreements totaled $276.2 million at March 31, 2025, compared</w:t>
      </w: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5" w:name="page46"/>
    <w:bookmarkEnd w:id="45"/>
    <w:p>
      <w:pPr>
        <w:ind w:right="240"/>
        <w:spacing w:after="0" w:line="282" w:lineRule="auto"/>
        <w:rPr>
          <w:sz w:val="20"/>
          <w:szCs w:val="20"/>
          <w:color w:val="auto"/>
        </w:rPr>
      </w:pPr>
      <w:r>
        <w:rPr>
          <w:rFonts w:ascii="Times New Roman" w:cs="Times New Roman" w:eastAsia="Times New Roman" w:hAnsi="Times New Roman"/>
          <w:sz w:val="18"/>
          <w:szCs w:val="18"/>
          <w:color w:val="auto"/>
        </w:rPr>
        <w:t>to $261.9 million at December 31, 2024. Our average cost of total deposits including customer repurchase agreements was 0.87% for the first quarter of 2025, compared to 0.97% for the fourth quarter of 2024 and 0.73% for the first quarter of 2024.</w:t>
      </w:r>
    </w:p>
    <w:p>
      <w:pPr>
        <w:spacing w:after="0" w:line="162" w:lineRule="exact"/>
        <w:rPr>
          <w:sz w:val="20"/>
          <w:szCs w:val="20"/>
          <w:color w:val="auto"/>
        </w:rPr>
      </w:pPr>
    </w:p>
    <w:p>
      <w:pPr>
        <w:ind w:right="40" w:firstLine="464"/>
        <w:spacing w:after="0" w:line="282" w:lineRule="auto"/>
        <w:rPr>
          <w:sz w:val="20"/>
          <w:szCs w:val="20"/>
          <w:color w:val="auto"/>
        </w:rPr>
      </w:pPr>
      <w:r>
        <w:rPr>
          <w:rFonts w:ascii="Times New Roman" w:cs="Times New Roman" w:eastAsia="Times New Roman" w:hAnsi="Times New Roman"/>
          <w:sz w:val="18"/>
          <w:szCs w:val="18"/>
          <w:color w:val="auto"/>
        </w:rPr>
        <w:t>At March 31, 2025, total borrowings, consisted of $500.0 million of FHLB advances, at a weighted average cost of approximately 4.6%. The FHLB advances include maturities of $300 million in May 2026 and $200 million in May 2027.</w:t>
      </w:r>
    </w:p>
    <w:p>
      <w:pPr>
        <w:spacing w:after="0" w:line="162"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The Company’s total equity was $2.23 billion at March 31, 2025. This represented an overall increase of $42.1 million from total equity of $2.19 billion at December 31, 2024. Increases to equity included $51.1 million in net earnings and a $34.8 million increase in other comprehensive income, that were partially offset by $27.9 million in cash dividends. During the first quarter of 2025, we repurchased 782,063 shares at an average price of $19.55, totaling $15.3 million. We engaged in no stock repurchases during the first quarter of 2024 other than the shares repurchased pursuant to net settlement by employees in satisfaction of income tax withholding obligations incurred through the vesting of Company stock awards. Our tangible book value per share at March 31, 2025 was $10.45.</w:t>
      </w:r>
    </w:p>
    <w:p>
      <w:pPr>
        <w:spacing w:after="0" w:line="187"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 xml:space="preserve">Our capital ratios under the revised capital framework referred to as Basel III remain well-above regulatory requirements. As of March 31, 2025, the Company’s Tier 1 leverage capital ratio was 11.81%, common equity Tier 1 ratio was 16.52%, Tier 1 risk-based capital ratio was 16.52%, and total risk-based capital ratio was 17.33%. Refer to our </w:t>
      </w:r>
      <w:r>
        <w:rPr>
          <w:rFonts w:ascii="Times New Roman" w:cs="Times New Roman" w:eastAsia="Times New Roman" w:hAnsi="Times New Roman"/>
          <w:sz w:val="18"/>
          <w:szCs w:val="18"/>
          <w:i w:val="1"/>
          <w:iCs w:val="1"/>
          <w:color w:val="auto"/>
        </w:rPr>
        <w:t>Analysis of Financial Condition –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3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r>
      <w:tr>
        <w:trPr>
          <w:trHeight w:val="182"/>
        </w:trPr>
        <w:tc>
          <w:tcPr>
            <w:tcW w:w="3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w w:val="72"/>
              </w:rPr>
              <w:t>(Dollars</w:t>
            </w:r>
          </w:p>
        </w:tc>
        <w:tc>
          <w:tcPr>
            <w:tcW w:w="3380" w:type="dxa"/>
            <w:vAlign w:val="bottom"/>
            <w:gridSpan w:val="7"/>
          </w:tcPr>
          <w:p>
            <w:pPr>
              <w:ind w:left="160"/>
              <w:spacing w:after="0" w:line="182" w:lineRule="exact"/>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110,444</w:t>
            </w:r>
          </w:p>
        </w:tc>
        <w:tc>
          <w:tcPr>
            <w:tcW w:w="240" w:type="dxa"/>
            <w:vAlign w:val="bottom"/>
          </w:tcPr>
          <w:p>
            <w:pPr>
              <w:spacing w:after="0"/>
              <w:rPr>
                <w:sz w:val="18"/>
                <w:szCs w:val="18"/>
                <w:color w:val="auto"/>
              </w:rPr>
            </w:pPr>
          </w:p>
        </w:tc>
        <w:tc>
          <w:tcPr>
            <w:tcW w:w="60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112,461</w:t>
            </w:r>
          </w:p>
        </w:tc>
        <w:tc>
          <w:tcPr>
            <w:tcW w:w="34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(2,017)</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r>
      <w:tr>
        <w:trPr>
          <w:trHeight w:val="20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Recapture of (provision for) credit losses</w:t>
            </w: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14.99%</w:t>
            </w: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6"/>
                <w:szCs w:val="16"/>
                <w:color w:val="auto"/>
              </w:rPr>
              <w:t>(59,144)</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(59,771)</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color w:val="auto"/>
              </w:rPr>
              <w:t>(18,425)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(18,204)</w:t>
            </w:r>
          </w:p>
        </w:tc>
        <w:tc>
          <w:tcPr>
            <w:tcW w:w="3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(221)</w:t>
            </w:r>
          </w:p>
        </w:tc>
        <w:tc>
          <w:tcPr>
            <w:tcW w:w="3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51,104</w:t>
            </w:r>
          </w:p>
        </w:tc>
        <w:tc>
          <w:tcPr>
            <w:tcW w:w="2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48,599</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5.15%</w:t>
            </w:r>
          </w:p>
        </w:tc>
      </w:tr>
      <w:tr>
        <w:trPr>
          <w:trHeight w:val="183"/>
        </w:trPr>
        <w:tc>
          <w:tcPr>
            <w:tcW w:w="3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2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r>
      <w:tr>
        <w:trPr>
          <w:trHeight w:val="203"/>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240" w:type="dxa"/>
            <w:vAlign w:val="bottom"/>
          </w:tcPr>
          <w:p>
            <w:pPr>
              <w:spacing w:after="0"/>
              <w:rPr>
                <w:sz w:val="17"/>
                <w:szCs w:val="17"/>
                <w:color w:val="auto"/>
              </w:rPr>
            </w:pPr>
          </w:p>
        </w:tc>
        <w:tc>
          <w:tcPr>
            <w:tcW w:w="60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3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Return on average assets</w:t>
            </w: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1.21%</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0.16%</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9.31%</w:t>
            </w: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0.00%</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Efficiency ratio</w:t>
            </w: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6"/>
                <w:szCs w:val="16"/>
                <w:color w:val="auto"/>
              </w:rPr>
              <w:t>46.69%</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47.22%</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-0.53%</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1.48%</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0.10%</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-930275</wp:posOffset>
            </wp:positionV>
            <wp:extent cx="9461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-913130</wp:posOffset>
            </wp:positionV>
            <wp:extent cx="9461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-930275</wp:posOffset>
            </wp:positionV>
            <wp:extent cx="9461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-913130</wp:posOffset>
            </wp:positionV>
            <wp:extent cx="9461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-930275</wp:posOffset>
            </wp:positionV>
            <wp:extent cx="9461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-913130</wp:posOffset>
            </wp:positionV>
            <wp:extent cx="9461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6"/>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142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6"/>
        </w:trPr>
        <w:tc>
          <w:tcPr>
            <w:tcW w:w="3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r>
      <w:tr>
        <w:trPr>
          <w:trHeight w:val="188"/>
        </w:trPr>
        <w:tc>
          <w:tcPr>
            <w:tcW w:w="3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w w:val="72"/>
              </w:rPr>
              <w:t>(Dollars</w:t>
            </w:r>
          </w:p>
        </w:tc>
        <w:tc>
          <w:tcPr>
            <w:tcW w:w="3380" w:type="dxa"/>
            <w:vAlign w:val="bottom"/>
            <w:gridSpan w:val="7"/>
          </w:tcPr>
          <w:p>
            <w:pPr>
              <w:ind w:left="16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110,444</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110,418</w:t>
            </w:r>
          </w:p>
        </w:tc>
        <w:tc>
          <w:tcPr>
            <w:tcW w:w="34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r>
      <w:tr>
        <w:trPr>
          <w:trHeight w:val="20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Recapture of (provision for) credit losses</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-33.33%</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23.86%</w:t>
            </w: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6"/>
                <w:szCs w:val="16"/>
                <w:color w:val="auto"/>
              </w:rPr>
              <w:t>(59,144)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(58,480)</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(664)</w:t>
            </w:r>
          </w:p>
        </w:tc>
        <w:tc>
          <w:tcPr>
            <w:tcW w:w="3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color w:val="auto"/>
              </w:rPr>
              <w:t>(18,425)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(17,183)</w:t>
            </w:r>
          </w:p>
        </w:tc>
        <w:tc>
          <w:tcPr>
            <w:tcW w:w="3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(1,242)</w:t>
            </w:r>
          </w:p>
        </w:tc>
        <w:tc>
          <w:tcPr>
            <w:tcW w:w="3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-7.23%</w:t>
            </w:r>
          </w:p>
        </w:tc>
      </w:tr>
      <w:tr>
        <w:trPr>
          <w:trHeight w:val="20"/>
        </w:trPr>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51,104</w:t>
            </w:r>
          </w:p>
        </w:tc>
        <w:tc>
          <w:tcPr>
            <w:tcW w:w="2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50,858</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0.48%</w:t>
            </w:r>
          </w:p>
        </w:tc>
      </w:tr>
      <w:tr>
        <w:trPr>
          <w:trHeight w:val="183"/>
        </w:trPr>
        <w:tc>
          <w:tcPr>
            <w:tcW w:w="3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2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r>
      <w:tr>
        <w:trPr>
          <w:trHeight w:val="203"/>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2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Return on average assets</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1.30%</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0.07%</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9.14%</w:t>
            </w: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0.17%</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Efficiency ratio</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6"/>
                <w:szCs w:val="16"/>
                <w:color w:val="auto"/>
              </w:rPr>
              <w:t>46.69%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47.34%</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-0.65%</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1.49%</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0.09%</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-930275</wp:posOffset>
            </wp:positionV>
            <wp:extent cx="9461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-913130</wp:posOffset>
            </wp:positionV>
            <wp:extent cx="9461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-930275</wp:posOffset>
            </wp:positionV>
            <wp:extent cx="9461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-913130</wp:posOffset>
            </wp:positionV>
            <wp:extent cx="9461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-930275</wp:posOffset>
            </wp:positionV>
            <wp:extent cx="9461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-913130</wp:posOffset>
            </wp:positionV>
            <wp:extent cx="9461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 (Non-GAAP)</w:t>
      </w:r>
    </w:p>
    <w:p>
      <w:pPr>
        <w:spacing w:after="0" w:line="229"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6"/>
        </w:trPr>
        <w:tc>
          <w:tcPr>
            <w:tcW w:w="4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r>
      <w:tr>
        <w:trPr>
          <w:trHeight w:val="212"/>
        </w:trPr>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202"/>
        </w:trPr>
        <w:tc>
          <w:tcPr>
            <w:tcW w:w="4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w w:val="91"/>
              </w:rPr>
              <w:t>(Dollars in thousands)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51,104</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50,858</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48,599</w:t>
            </w:r>
          </w:p>
        </w:tc>
        <w:tc>
          <w:tcPr>
            <w:tcW w:w="140" w:type="dxa"/>
            <w:vAlign w:val="bottom"/>
            <w:shd w:val="clear" w:color="auto" w:fill="CFF0FC"/>
          </w:tcPr>
          <w:p>
            <w:pPr>
              <w:spacing w:after="0"/>
              <w:rPr>
                <w:sz w:val="17"/>
                <w:szCs w:val="17"/>
                <w:color w:val="auto"/>
              </w:rPr>
            </w:pPr>
          </w:p>
        </w:tc>
      </w:tr>
      <w:tr>
        <w:trPr>
          <w:trHeight w:val="20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 Amortization of intangible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40" w:type="dxa"/>
            <w:vAlign w:val="bottom"/>
          </w:tcPr>
          <w:p>
            <w:pPr>
              <w:spacing w:after="0"/>
              <w:rPr>
                <w:sz w:val="17"/>
                <w:szCs w:val="17"/>
                <w:color w:val="auto"/>
              </w:rPr>
            </w:pPr>
          </w:p>
        </w:tc>
      </w:tr>
      <w:tr>
        <w:trPr>
          <w:trHeight w:val="203"/>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Tax effect of amortization of intangible assets (1)</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(344)</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(425)</w:t>
            </w:r>
          </w:p>
        </w:tc>
      </w:tr>
      <w:tr>
        <w:trPr>
          <w:trHeight w:val="196"/>
        </w:trPr>
        <w:tc>
          <w:tcPr>
            <w:tcW w:w="49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Tangible net income</w:t>
            </w:r>
          </w:p>
        </w:tc>
        <w:tc>
          <w:tcPr>
            <w:tcW w:w="1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51,918</w:t>
            </w: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51,677</w:t>
            </w:r>
          </w:p>
        </w:tc>
        <w:tc>
          <w:tcPr>
            <w:tcW w:w="3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49,612</w:t>
            </w:r>
          </w:p>
        </w:tc>
        <w:tc>
          <w:tcPr>
            <w:tcW w:w="140" w:type="dxa"/>
            <w:vAlign w:val="bottom"/>
            <w:tcBorders>
              <w:top w:val="single" w:sz="8" w:color="CFF0FC"/>
            </w:tcBorders>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1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2,226,948</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2,213,556</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2,098,868</w:t>
            </w:r>
          </w:p>
        </w:tc>
        <w:tc>
          <w:tcPr>
            <w:tcW w:w="140" w:type="dxa"/>
            <w:vAlign w:val="bottom"/>
            <w:shd w:val="clear" w:color="auto" w:fill="CFF0FC"/>
          </w:tcPr>
          <w:p>
            <w:pPr>
              <w:spacing w:after="0"/>
              <w:rPr>
                <w:sz w:val="17"/>
                <w:szCs w:val="17"/>
                <w:color w:val="auto"/>
              </w:rPr>
            </w:pPr>
          </w:p>
        </w:tc>
      </w:tr>
      <w:tr>
        <w:trPr>
          <w:trHeight w:val="20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Average goodwill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(765,822)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(765,822)</w:t>
            </w:r>
          </w:p>
        </w:tc>
        <w:tc>
          <w:tcPr>
            <w:tcW w:w="2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(765,822)</w:t>
            </w:r>
          </w:p>
        </w:tc>
      </w:tr>
      <w:tr>
        <w:trPr>
          <w:trHeight w:val="203"/>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Average intangible assets</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(9,518)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(10,650)</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(14,585)</w:t>
            </w:r>
          </w:p>
        </w:tc>
      </w:tr>
      <w:tr>
        <w:trPr>
          <w:trHeight w:val="196"/>
        </w:trPr>
        <w:tc>
          <w:tcPr>
            <w:tcW w:w="49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1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1,451,608</w:t>
            </w: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1,437,084</w:t>
            </w:r>
          </w:p>
        </w:tc>
        <w:tc>
          <w:tcPr>
            <w:tcW w:w="3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1,318,461</w:t>
            </w:r>
          </w:p>
        </w:tc>
        <w:tc>
          <w:tcPr>
            <w:tcW w:w="140" w:type="dxa"/>
            <w:vAlign w:val="bottom"/>
            <w:tcBorders>
              <w:top w:val="single" w:sz="8" w:color="CFF0FC"/>
            </w:tcBorders>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Return on average equity, annualized (2)</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9.14%</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9.31%</w:t>
            </w: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Return on average tangible common equity, annualized (2)</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14.31%</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-1229995</wp:posOffset>
            </wp:positionV>
            <wp:extent cx="939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-1229995</wp:posOffset>
            </wp:positionV>
            <wp:extent cx="939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-1229995</wp:posOffset>
            </wp:positionV>
            <wp:extent cx="939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-553085</wp:posOffset>
            </wp:positionV>
            <wp:extent cx="939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-553085</wp:posOffset>
            </wp:positionV>
            <wp:extent cx="939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-553085</wp:posOffset>
            </wp:positionV>
            <wp:extent cx="939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61"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16"/>
          <w:szCs w:val="16"/>
          <w:color w:val="auto"/>
        </w:rPr>
        <w:t>(1)</w:t>
        <w:tab/>
        <w:t>Tax effected at respective statutory rates.</w:t>
      </w:r>
    </w:p>
    <w:p>
      <w:pPr>
        <w:spacing w:after="0" w:line="26"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16"/>
          <w:szCs w:val="16"/>
          <w:color w:val="auto"/>
        </w:rPr>
        <w:t>(2)</w:t>
        <w:tab/>
        <w:t>Annualized where applicable.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02"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months ended March 31, 2025 and 2024.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Times New Roman" w:cs="Times New Roman" w:eastAsia="Times New Roman" w:hAnsi="Times New Roman"/>
          <w:sz w:val="18"/>
          <w:szCs w:val="18"/>
          <w:i w:val="1"/>
          <w:iCs w:val="1"/>
          <w:color w:val="auto"/>
        </w:rPr>
        <w:t>Management’s Discussion and Analysis of Financial Condition and Results of Operations – Asset/Liability and Market Risk Management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Rate Sensitivity Management </w:t>
      </w:r>
      <w:r>
        <w:rPr>
          <w:rFonts w:ascii="Times New Roman" w:cs="Times New Roman" w:eastAsia="Times New Roman" w:hAnsi="Times New Roman"/>
          <w:sz w:val="18"/>
          <w:szCs w:val="18"/>
          <w:color w:val="auto"/>
        </w:rPr>
        <w:t>included 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ind w:right="380" w:firstLine="464"/>
        <w:spacing w:after="0" w:line="266" w:lineRule="auto"/>
        <w:rPr>
          <w:sz w:val="20"/>
          <w:szCs w:val="20"/>
          <w:color w:val="auto"/>
        </w:rPr>
      </w:pPr>
      <w:r>
        <w:rPr>
          <w:rFonts w:ascii="Times New Roman" w:cs="Times New Roman" w:eastAsia="Times New Roman" w:hAnsi="Times New Roman"/>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0"/>
                <w:szCs w:val="10"/>
                <w:color w:val="auto"/>
              </w:rPr>
            </w:pPr>
          </w:p>
        </w:tc>
        <w:tc>
          <w:tcPr>
            <w:tcW w:w="780" w:type="dxa"/>
            <w:vAlign w:val="bottom"/>
          </w:tcPr>
          <w:p>
            <w:pPr>
              <w:jc w:val="right"/>
              <w:ind w:right="129"/>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4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0"/>
                <w:szCs w:val="10"/>
                <w:color w:val="auto"/>
              </w:rPr>
            </w:pPr>
          </w:p>
        </w:tc>
        <w:tc>
          <w:tcPr>
            <w:tcW w:w="820" w:type="dxa"/>
            <w:vAlign w:val="bottom"/>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1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 securities (1)</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Taxable</w:t>
            </w:r>
          </w:p>
        </w:tc>
        <w:tc>
          <w:tcPr>
            <w:tcW w:w="9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2,518,657</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18,590</w:t>
            </w:r>
          </w:p>
        </w:tc>
        <w:tc>
          <w:tcPr>
            <w:tcW w:w="12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2,874,642</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21,280</w:t>
            </w: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Tax-advantaged</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2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48"/>
        </w:trPr>
        <w:tc>
          <w:tcPr>
            <w:tcW w:w="3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Held-to-maturity securities: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Taxable</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2,003,206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10,659</w:t>
            </w:r>
          </w:p>
        </w:tc>
        <w:tc>
          <w:tcPr>
            <w:tcW w:w="12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2,080,985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10,984</w:t>
            </w: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48"/>
        </w:trPr>
        <w:tc>
          <w:tcPr>
            <w:tcW w:w="37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Tax-advantaged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2,362</w:t>
            </w:r>
          </w:p>
        </w:tc>
        <w:tc>
          <w:tcPr>
            <w:tcW w:w="12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w:t>
            </w: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 in FHLB stock</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2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48"/>
        </w:trPr>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162,389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w:t>
            </w:r>
          </w:p>
        </w:tc>
        <w:tc>
          <w:tcPr>
            <w:tcW w:w="12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444,101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6,073</w:t>
            </w: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48"/>
        </w:trPr>
        <w:tc>
          <w:tcPr>
            <w:tcW w:w="376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Loans (2)</w:t>
            </w:r>
          </w:p>
        </w:tc>
        <w:tc>
          <w:tcPr>
            <w:tcW w:w="8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8,467,465</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109,071</w:t>
            </w:r>
          </w:p>
        </w:tc>
        <w:tc>
          <w:tcPr>
            <w:tcW w:w="1200" w:type="dxa"/>
            <w:vAlign w:val="bottom"/>
            <w:tcBorders>
              <w:bottom w:val="single" w:sz="8" w:color="CFF0FC"/>
            </w:tcBorders>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8,824,579</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116,349</w:t>
            </w:r>
          </w:p>
        </w:tc>
        <w:tc>
          <w:tcPr>
            <w:tcW w:w="1180" w:type="dxa"/>
            <w:vAlign w:val="bottom"/>
            <w:tcBorders>
              <w:bottom w:val="single" w:sz="8" w:color="CFF0FC"/>
            </w:tcBorders>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42"/>
        </w:trPr>
        <w:tc>
          <w:tcPr>
            <w:tcW w:w="37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13,556,584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143,002</w:t>
            </w:r>
          </w:p>
        </w:tc>
        <w:tc>
          <w:tcPr>
            <w:tcW w:w="120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14,644,400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157,689</w:t>
            </w:r>
          </w:p>
        </w:tc>
        <w:tc>
          <w:tcPr>
            <w:tcW w:w="11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48"/>
        </w:trPr>
        <w:tc>
          <w:tcPr>
            <w:tcW w:w="376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noninterest-earning assets</w:t>
            </w:r>
          </w:p>
        </w:tc>
        <w:tc>
          <w:tcPr>
            <w:tcW w:w="8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1,612,722</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1,561,013</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0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15,169,306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16,205,413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INTEREST-BEARING LIABILITIES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Savings deposits (3)</w:t>
            </w:r>
          </w:p>
        </w:tc>
        <w:tc>
          <w:tcPr>
            <w:tcW w:w="9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4,303,105</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21,375</w:t>
            </w:r>
          </w:p>
        </w:tc>
        <w:tc>
          <w:tcPr>
            <w:tcW w:w="12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4,007,124</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18,529</w:t>
            </w: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9"/>
        </w:trPr>
        <w:tc>
          <w:tcPr>
            <w:tcW w:w="376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8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563,213</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3,947</w:t>
            </w:r>
          </w:p>
        </w:tc>
        <w:tc>
          <w:tcPr>
            <w:tcW w:w="1200" w:type="dxa"/>
            <w:vAlign w:val="bottom"/>
            <w:tcBorders>
              <w:bottom w:val="single" w:sz="8" w:color="CFF0FC"/>
            </w:tcBorders>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447,011</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1180" w:type="dxa"/>
            <w:vAlign w:val="bottom"/>
            <w:tcBorders>
              <w:bottom w:val="single" w:sz="8" w:color="CFF0FC"/>
            </w:tcBorders>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42"/>
        </w:trPr>
        <w:tc>
          <w:tcPr>
            <w:tcW w:w="37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4,866,318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25,322</w:t>
            </w:r>
          </w:p>
        </w:tc>
        <w:tc>
          <w:tcPr>
            <w:tcW w:w="120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4,454,135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21,366</w:t>
            </w:r>
          </w:p>
        </w:tc>
        <w:tc>
          <w:tcPr>
            <w:tcW w:w="11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26"/>
        </w:trPr>
        <w:tc>
          <w:tcPr>
            <w:tcW w:w="376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8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830,400</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120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2,301,250</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18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71"/>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0" w:type="dxa"/>
            <w:vAlign w:val="bottom"/>
            <w:gridSpan w:val="3"/>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180" w:type="dxa"/>
            <w:vAlign w:val="bottom"/>
            <w:gridSpan w:val="3"/>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40,284</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2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8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5,737,002</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32,558</w:t>
            </w:r>
          </w:p>
        </w:tc>
        <w:tc>
          <w:tcPr>
            <w:tcW w:w="1200" w:type="dxa"/>
            <w:vAlign w:val="bottom"/>
            <w:tcBorders>
              <w:bottom w:val="single" w:sz="8" w:color="CFF0FC"/>
            </w:tcBorders>
            <w:gridSpan w:val="3"/>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2.30%</w:t>
            </w: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6,755,385</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45,228</w:t>
            </w:r>
          </w:p>
        </w:tc>
        <w:tc>
          <w:tcPr>
            <w:tcW w:w="1180" w:type="dxa"/>
            <w:vAlign w:val="bottom"/>
            <w:tcBorders>
              <w:bottom w:val="single" w:sz="8" w:color="CFF0FC"/>
            </w:tcBorders>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2"/>
        </w:trPr>
        <w:tc>
          <w:tcPr>
            <w:tcW w:w="37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Noninterest-bearing deposits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7,006,357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7,182,718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198,999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168,442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2,226,948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2,098,868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15,169,306</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16,205,413</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110,444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112,461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Net interest spread - tax equivalent</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8"/>
        </w:trPr>
        <w:tc>
          <w:tcPr>
            <w:tcW w:w="37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Net interest margin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49"/>
        </w:trPr>
        <w:tc>
          <w:tcPr>
            <w:tcW w:w="376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Net interest margin - tax equivalent</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-2202815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-2202815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-2202815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-2202815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-2005330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-2005330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-1499235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-1499235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-1499235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-1499235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-1010920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-1010920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-1010920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-1010920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-616585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-599440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-616585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-599440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ind w:left="1040" w:right="80" w:hanging="470"/>
        <w:spacing w:after="0" w:line="233"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three months ended March 31, 2025 and March 31, 2024. The non TE rates for total investment securities were 2.59% and 2.60% for the three months ended March 31, 2025 and March 31, 2024, respectively.</w:t>
      </w:r>
    </w:p>
    <w:p>
      <w:pPr>
        <w:ind w:left="1040" w:right="80" w:hanging="462"/>
        <w:spacing w:after="0" w:line="221"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$700,000 and $706,000 for the three months ended March 31, 2025 and March 31, 2024, respectively. Prepayment penalty fees of $931,000 and $630,000 are included in interest income for the three months ended March 31, 2025 and March 31, 2024, respectively.</w:t>
      </w:r>
    </w:p>
    <w:p>
      <w:pPr>
        <w:ind w:left="1040" w:hanging="470"/>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219" w:lineRule="exact"/>
        <w:rPr>
          <w:sz w:val="20"/>
          <w:szCs w:val="20"/>
          <w:color w:val="auto"/>
        </w:rPr>
      </w:pPr>
    </w:p>
    <w:p>
      <w:pPr>
        <w:ind w:right="200" w:firstLine="562"/>
        <w:spacing w:after="0" w:line="258" w:lineRule="auto"/>
        <w:rPr>
          <w:sz w:val="20"/>
          <w:szCs w:val="20"/>
          <w:color w:val="auto"/>
        </w:rPr>
      </w:pPr>
      <w:r>
        <w:rPr>
          <w:rFonts w:ascii="Times New Roman" w:cs="Times New Roman" w:eastAsia="Times New Roman" w:hAnsi="Times New Roman"/>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8"/>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Comparison of Three Months Ended March 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2025 Compared to 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4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44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(2,602)</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(2,690)</w:t>
            </w:r>
          </w:p>
        </w:tc>
      </w:tr>
      <w:tr>
        <w:trPr>
          <w:trHeight w:val="203"/>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28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4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8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w:t>
            </w:r>
          </w:p>
        </w:tc>
      </w:tr>
      <w:tr>
        <w:trPr>
          <w:trHeight w:val="203"/>
        </w:trPr>
        <w:tc>
          <w:tcPr>
            <w:tcW w:w="4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in FHLB stock</w:t>
            </w:r>
          </w:p>
        </w:tc>
        <w:tc>
          <w:tcPr>
            <w:tcW w:w="2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4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(3,820)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(4,276)</w:t>
            </w:r>
          </w:p>
        </w:tc>
      </w:tr>
      <w:tr>
        <w:trPr>
          <w:trHeight w:val="203"/>
        </w:trPr>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28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(4,669)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(1,741)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(7,278)</w:t>
            </w:r>
          </w:p>
        </w:tc>
      </w:tr>
      <w:tr>
        <w:trPr>
          <w:trHeight w:val="20"/>
        </w:trPr>
        <w:tc>
          <w:tcPr>
            <w:tcW w:w="4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interest income</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(11,593)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(14,687)</w:t>
            </w:r>
          </w:p>
        </w:tc>
      </w:tr>
      <w:tr>
        <w:trPr>
          <w:trHeight w:val="20"/>
        </w:trPr>
        <w:tc>
          <w:tcPr>
            <w:tcW w:w="4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-8255</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Savings deposits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Time deposits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FHLB advances, other borrowings, and</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customer repurchase agreements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Interest expense - Other interest-bearing liabilities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1,357</w:t>
            </w: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1,529</w:t>
            </w:r>
          </w:p>
        </w:tc>
        <w:tc>
          <w:tcPr>
            <w:tcW w:w="16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(40)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r>
      <w:tr>
        <w:trPr>
          <w:trHeight w:val="210"/>
        </w:trPr>
        <w:tc>
          <w:tcPr>
            <w:tcW w:w="11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731</w:t>
            </w: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319</w:t>
            </w:r>
          </w:p>
        </w:tc>
        <w:tc>
          <w:tcPr>
            <w:tcW w:w="16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97"/>
        </w:trPr>
        <w:tc>
          <w:tcPr>
            <w:tcW w:w="118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8"/>
              </w:rPr>
              <w:t>(15,125)</w:t>
            </w:r>
          </w:p>
        </w:tc>
        <w:tc>
          <w:tcPr>
            <w:tcW w:w="17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(4,820)</w:t>
            </w:r>
          </w:p>
        </w:tc>
        <w:tc>
          <w:tcPr>
            <w:tcW w:w="16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2,883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w:t>
            </w:r>
          </w:p>
        </w:tc>
      </w:tr>
      <w:tr>
        <w:trPr>
          <w:trHeight w:val="311"/>
        </w:trPr>
        <w:tc>
          <w:tcPr>
            <w:tcW w:w="11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436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-638810</wp:posOffset>
            </wp:positionV>
            <wp:extent cx="7132320" cy="1289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-381635</wp:posOffset>
            </wp:positionV>
            <wp:extent cx="7132320" cy="2571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00" w:space="720"/>
            <w:col w:w="582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480" w:type="dxa"/>
            <w:vAlign w:val="bottom"/>
            <w:shd w:val="clear" w:color="auto" w:fill="CFF0FC"/>
          </w:tcPr>
          <w:p>
            <w:pPr>
              <w:jc w:val="center"/>
              <w:ind w:right="2619"/>
              <w:spacing w:after="0" w:line="182" w:lineRule="exact"/>
              <w:rPr>
                <w:sz w:val="20"/>
                <w:szCs w:val="20"/>
                <w:color w:val="auto"/>
              </w:rPr>
            </w:pPr>
            <w:r>
              <w:rPr>
                <w:rFonts w:ascii="Times New Roman" w:cs="Times New Roman" w:eastAsia="Times New Roman" w:hAnsi="Times New Roman"/>
                <w:sz w:val="16"/>
                <w:szCs w:val="16"/>
                <w:color w:val="auto"/>
              </w:rPr>
              <w:t>Total interest expense</w:t>
            </w:r>
          </w:p>
        </w:tc>
        <w:tc>
          <w:tcPr>
            <w:tcW w:w="5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6"/>
                <w:szCs w:val="16"/>
                <w:color w:val="auto"/>
              </w:rPr>
              <w:t>(13,037)</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(2,972)</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3,339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(12,670)</w:t>
            </w: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480" w:type="dxa"/>
            <w:vAlign w:val="bottom"/>
          </w:tcPr>
          <w:p>
            <w:pPr>
              <w:jc w:val="center"/>
              <w:ind w:right="2619"/>
              <w:spacing w:after="0"/>
              <w:rPr>
                <w:sz w:val="20"/>
                <w:szCs w:val="20"/>
                <w:color w:val="auto"/>
              </w:rPr>
            </w:pPr>
            <w:r>
              <w:rPr>
                <w:rFonts w:ascii="Times New Roman" w:cs="Times New Roman" w:eastAsia="Times New Roman" w:hAnsi="Times New Roman"/>
                <w:sz w:val="16"/>
                <w:szCs w:val="16"/>
                <w:color w:val="auto"/>
              </w:rPr>
              <w:t>Net interest income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tcPr>
          <w:p>
            <w:pPr>
              <w:spacing w:after="0"/>
              <w:rPr>
                <w:sz w:val="17"/>
                <w:szCs w:val="17"/>
                <w:color w:val="auto"/>
              </w:rPr>
            </w:pP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(3,596)</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(2,017)</w:t>
            </w:r>
          </w:p>
        </w:tc>
      </w:tr>
      <w:tr>
        <w:trPr>
          <w:trHeight w:val="20"/>
        </w:trPr>
        <w:tc>
          <w:tcPr>
            <w:tcW w:w="4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-162560</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-162560</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2025 Compared to the First Quarter of 2024</w:t>
      </w:r>
    </w:p>
    <w:p>
      <w:pPr>
        <w:spacing w:after="0" w:line="200"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8"/>
          <w:szCs w:val="18"/>
          <w:color w:val="auto"/>
        </w:rPr>
        <w:t>Net interest income, before provision for credit losses, of $110.4 million for the first quarter of 2025 decreased by $2.02 million, or 1.79%, from the first quarter of 2024. The decline in net interest income compared to the first quarter of 2024 was the net result of a $1.09 billion decline in earning assets and a 21 basis point increase in net interest margin. The expansion of the net interest margin was the result of an 27 basis point decrease in funding costs, which offset a 6 basis point decrease in the earning asset yield. The decrease in funding costs includes interest expense from borrowings, which decreased by approximately $17.1 million compared to the first quarter of 2024, as average borrowings declined by approximately $1.5 billion.</w:t>
      </w:r>
    </w:p>
    <w:p>
      <w:pPr>
        <w:spacing w:after="0" w:line="183" w:lineRule="exact"/>
        <w:rPr>
          <w:sz w:val="20"/>
          <w:szCs w:val="20"/>
          <w:color w:val="auto"/>
        </w:rPr>
      </w:pPr>
    </w:p>
    <w:p>
      <w:pPr>
        <w:ind w:right="80" w:firstLine="469"/>
        <w:spacing w:after="0" w:line="255" w:lineRule="auto"/>
        <w:rPr>
          <w:sz w:val="20"/>
          <w:szCs w:val="20"/>
          <w:color w:val="auto"/>
        </w:rPr>
      </w:pPr>
      <w:r>
        <w:rPr>
          <w:rFonts w:ascii="Times New Roman" w:cs="Times New Roman" w:eastAsia="Times New Roman" w:hAnsi="Times New Roman"/>
          <w:sz w:val="18"/>
          <w:szCs w:val="18"/>
          <w:color w:val="auto"/>
        </w:rPr>
        <w:t>Total interest income of $143.0 million decreased by $14.7 million, or 9.31%, when compared to the first quarter of 2024. This decrease was primarily due to a $1.09 billion decline in earning assets. Average loan balances declined by $357.1 million, while total investment securities declined by an average of $449 million and funds held at the Federal Reserve declined by $272.0 million on average. Earning asset yields decreased from 4.34% in the first quarter of 2024 to 4.28% in the first quarter of 2025. Loan yields declined from 5.30% for the first quarter of 2024 to 5.22% for the first quarter of 2025, as the Federal Reserve decreased the federal funds rate by 100 basis points during the second half of 2024. The yield on investment securities increased by 17 basis points from the prior year quarter, as certain low yielding AFS securities were sold during the second half of 2024 and new higher yielding investments were purchased during the fourth quarter of 2024.</w:t>
      </w:r>
    </w:p>
    <w:p>
      <w:pPr>
        <w:spacing w:after="0" w:line="189" w:lineRule="exact"/>
        <w:rPr>
          <w:sz w:val="20"/>
          <w:szCs w:val="20"/>
          <w:color w:val="auto"/>
        </w:rPr>
      </w:pPr>
    </w:p>
    <w:p>
      <w:pPr>
        <w:jc w:val="both"/>
        <w:ind w:right="20" w:firstLine="469"/>
        <w:spacing w:after="0" w:line="261" w:lineRule="auto"/>
        <w:rPr>
          <w:sz w:val="20"/>
          <w:szCs w:val="20"/>
          <w:color w:val="auto"/>
        </w:rPr>
      </w:pPr>
      <w:r>
        <w:rPr>
          <w:rFonts w:ascii="Times New Roman" w:cs="Times New Roman" w:eastAsia="Times New Roman" w:hAnsi="Times New Roman"/>
          <w:sz w:val="18"/>
          <w:szCs w:val="18"/>
          <w:color w:val="auto"/>
        </w:rPr>
        <w:t>Total interest income and fees on loans for the first quarter of 2025 was $109.1 million, a decrease of $7.3 million, or 6.26%, from the first quarter of 2024. This decrease in income was primarily due to $357.1 million decrease in average loans outstanding, as well as an 8 basis point decline in loan yields. Loan yields decreased from 5.30% in the first quarter of 2024 to 5.22% in the first quarter of 2025, as declining short term interest rates, such as the Prime rate impacted variable indexed loans.</w:t>
      </w:r>
    </w:p>
    <w:p>
      <w:pPr>
        <w:spacing w:after="0" w:line="180" w:lineRule="exact"/>
        <w:rPr>
          <w:sz w:val="20"/>
          <w:szCs w:val="20"/>
          <w:color w:val="auto"/>
        </w:rPr>
      </w:pPr>
    </w:p>
    <w:p>
      <w:pPr>
        <w:ind w:right="100" w:firstLine="469"/>
        <w:spacing w:after="0" w:line="254" w:lineRule="auto"/>
        <w:rPr>
          <w:sz w:val="20"/>
          <w:szCs w:val="20"/>
          <w:color w:val="auto"/>
        </w:rPr>
      </w:pPr>
      <w:r>
        <w:rPr>
          <w:rFonts w:ascii="Times New Roman" w:cs="Times New Roman" w:eastAsia="Times New Roman" w:hAnsi="Times New Roman"/>
          <w:sz w:val="18"/>
          <w:szCs w:val="18"/>
          <w:color w:val="auto"/>
        </w:rPr>
        <w:t>Interest income from investment securities was $31.8 million, a decrease of $3.1 million, or 8.88%, from the first quarter of 2024. The decrease includes a $2.6 million decrease in the positive carry from pay-fixed swaps that are fair value hedges of our AFS investment portfolio. This decrease was due to both a reduction in the positive carry between the fixed rate on the swaps and daily SOFR and a decrease in the notional value of the swaps from $1 billion during the first quarter of 2024 to $700 million in the first quarter of 2025, after a $300 million swap was terminated at the end of 2024. Excluding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fair value hedges, the yield on investment securities increased by 17 basis points when compared to the first quarter of 2024. The increase in the investment yields was offset by a $449 million year over year decline in average investments.</w:t>
      </w:r>
    </w:p>
    <w:p>
      <w:pPr>
        <w:spacing w:after="0" w:line="162" w:lineRule="exact"/>
        <w:rPr>
          <w:sz w:val="20"/>
          <w:szCs w:val="20"/>
          <w:color w:val="auto"/>
        </w:rPr>
      </w:pPr>
    </w:p>
    <w:p>
      <w:pPr>
        <w:ind w:right="180" w:firstLine="469"/>
        <w:spacing w:after="0" w:line="277" w:lineRule="auto"/>
        <w:rPr>
          <w:sz w:val="20"/>
          <w:szCs w:val="20"/>
          <w:color w:val="auto"/>
        </w:rPr>
      </w:pPr>
      <w:r>
        <w:rPr>
          <w:rFonts w:ascii="Times New Roman" w:cs="Times New Roman" w:eastAsia="Times New Roman" w:hAnsi="Times New Roman"/>
          <w:sz w:val="17"/>
          <w:szCs w:val="17"/>
          <w:color w:val="auto"/>
        </w:rPr>
        <w:t>Interest expense of $32.6 million for the first quarter of 2025, decreased $12.7 million, compared to the first quarter of 2024. Total cost of funds of 1.04% for the first quarter of 2025 decreased from 1.31% for the year ago quarter. This 27 basis point decrease in cost of funds was the result of a $1.5 billion decline in average borrowings that had a cost of 4.76% on average in the first quarter of 2024 and an average cost of 4.61% in the first quarter of 2025. The cost of total deposit and customer repurchase agreements increased from .73% in the first quarter of 2024 to .87% in the first quarter of 2025. Average noninterest-bearing deposits were 59.01% of total deposits for the first quarter of 2025, compared to 61.72% for the first quarter of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229" w:lineRule="exact"/>
        <w:rPr>
          <w:sz w:val="20"/>
          <w:szCs w:val="20"/>
          <w:color w:val="auto"/>
        </w:rPr>
      </w:pPr>
    </w:p>
    <w:p>
      <w:pPr>
        <w:ind w:right="960" w:firstLine="469"/>
        <w:spacing w:after="0" w:line="282" w:lineRule="auto"/>
        <w:rPr>
          <w:sz w:val="20"/>
          <w:szCs w:val="20"/>
          <w:color w:val="auto"/>
        </w:rPr>
      </w:pPr>
      <w:r>
        <w:rPr>
          <w:rFonts w:ascii="Times New Roman" w:cs="Times New Roman" w:eastAsia="Times New Roman" w:hAnsi="Times New Roman"/>
          <w:sz w:val="18"/>
          <w:szCs w:val="18"/>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62"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 xml:space="preserve">There was $2.0 million recapture of credit losses in the first quarter of 2025, compared to no provision in the first quarter of 2024. Projected loss rates were 0.94% at March 31, 2025, compared to 0.94% at March 31, 2024. Refer to the discussion of “Allowance for Credit Losses” in Item 2 –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contained herein for discussion concerning observed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credit quality of various components of our loan portfolio as well as changes and refinements to our methodology.</w:t>
      </w:r>
    </w:p>
    <w:p>
      <w:pPr>
        <w:spacing w:after="0" w:line="180"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the recent rise in interest rates, geopolitical events in Europe, and global inflation will have on future interest rates, unemployment, the overall economy and resulting impact on our customers. See “Allowance for Credit Losses” under </w:t>
      </w:r>
      <w:r>
        <w:rPr>
          <w:rFonts w:ascii="Times New Roman" w:cs="Times New Roman" w:eastAsia="Times New Roman" w:hAnsi="Times New Roman"/>
          <w:sz w:val="18"/>
          <w:szCs w:val="18"/>
          <w:i w:val="1"/>
          <w:iCs w:val="1"/>
          <w:color w:val="auto"/>
        </w:rPr>
        <w:t>Analysis of Financial Condition</w:t>
      </w:r>
      <w:r>
        <w:rPr>
          <w:rFonts w:ascii="Times New Roman" w:cs="Times New Roman" w:eastAsia="Times New Roman" w:hAnsi="Times New Roman"/>
          <w:sz w:val="18"/>
          <w:szCs w:val="18"/>
          <w:color w:val="auto"/>
        </w:rPr>
        <w:t xml:space="preserve"> herein.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right="180" w:firstLine="469"/>
        <w:spacing w:after="0" w:line="261" w:lineRule="auto"/>
        <w:rPr>
          <w:sz w:val="20"/>
          <w:szCs w:val="20"/>
          <w:color w:val="auto"/>
        </w:rPr>
      </w:pPr>
      <w:r>
        <w:rPr>
          <w:rFonts w:ascii="Times New Roman" w:cs="Times New Roman" w:eastAsia="Times New Roman" w:hAnsi="Times New Roman"/>
          <w:sz w:val="18"/>
          <w:szCs w:val="18"/>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 in</w:t>
            </w:r>
          </w:p>
        </w:tc>
        <w:tc>
          <w:tcPr>
            <w:tcW w:w="1040" w:type="dxa"/>
            <w:vAlign w:val="bottom"/>
            <w:gridSpan w:val="2"/>
          </w:tcPr>
          <w:p>
            <w:pPr>
              <w:jc w:val="right"/>
              <w:ind w:right="276"/>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Noninterest income:</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Service charges on deposit</w:t>
            </w:r>
          </w:p>
        </w:tc>
        <w:tc>
          <w:tcPr>
            <w:tcW w:w="2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4,908</w:t>
            </w:r>
          </w:p>
        </w:tc>
        <w:tc>
          <w:tcPr>
            <w:tcW w:w="70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5,036</w:t>
            </w:r>
          </w:p>
        </w:tc>
        <w:tc>
          <w:tcPr>
            <w:tcW w:w="1040" w:type="dxa"/>
            <w:vAlign w:val="bottom"/>
            <w:gridSpan w:val="2"/>
            <w:vMerge w:val="restart"/>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71"/>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w:t>
            </w: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Trust and investment services</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3,411</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3,224</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Bankcard services</w:t>
            </w:r>
          </w:p>
        </w:tc>
        <w:tc>
          <w:tcPr>
            <w:tcW w:w="26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63.64%</w:t>
            </w:r>
          </w:p>
        </w:tc>
        <w:tc>
          <w:tcPr>
            <w:tcW w:w="0" w:type="dxa"/>
            <w:vAlign w:val="bottom"/>
          </w:tcPr>
          <w:p>
            <w:pPr>
              <w:spacing w:after="0"/>
              <w:rPr>
                <w:sz w:val="1"/>
                <w:szCs w:val="1"/>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BOLI income</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2,831</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0" w:type="dxa"/>
            <w:vAlign w:val="bottom"/>
          </w:tcPr>
          <w:p>
            <w:pPr>
              <w:spacing w:after="0"/>
              <w:rPr>
                <w:sz w:val="1"/>
                <w:szCs w:val="1"/>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OREO, net</w:t>
            </w:r>
          </w:p>
        </w:tc>
        <w:tc>
          <w:tcPr>
            <w:tcW w:w="26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6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2,266</w:t>
            </w:r>
          </w:p>
        </w:tc>
        <w:tc>
          <w:tcPr>
            <w:tcW w:w="2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2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391</w:t>
            </w:r>
          </w:p>
        </w:tc>
        <w:tc>
          <w:tcPr>
            <w:tcW w:w="1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142"/>
        </w:trPr>
        <w:tc>
          <w:tcPr>
            <w:tcW w:w="51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noninterest income</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16,229</w:t>
            </w:r>
          </w:p>
        </w:tc>
        <w:tc>
          <w:tcPr>
            <w:tcW w:w="240" w:type="dxa"/>
            <w:vAlign w:val="bottom"/>
          </w:tcPr>
          <w:p>
            <w:pPr>
              <w:spacing w:after="0"/>
              <w:rPr>
                <w:sz w:val="12"/>
                <w:szCs w:val="12"/>
                <w:color w:val="auto"/>
              </w:rPr>
            </w:pPr>
          </w:p>
        </w:tc>
        <w:tc>
          <w:tcPr>
            <w:tcW w:w="460" w:type="dxa"/>
            <w:vAlign w:val="bottom"/>
            <w:tcBorders>
              <w:bottom w:val="single" w:sz="8" w:color="auto"/>
            </w:tcBorders>
          </w:tcPr>
          <w:p>
            <w:pPr>
              <w:jc w:val="right"/>
              <w:ind w:right="3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14,113</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2,116</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-127635</wp:posOffset>
            </wp:positionV>
            <wp:extent cx="15430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-127635</wp:posOffset>
            </wp:positionV>
            <wp:extent cx="14605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-127635</wp:posOffset>
            </wp:positionV>
            <wp:extent cx="12001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2025 Compared to the First Quarter of 2024</w:t>
      </w:r>
    </w:p>
    <w:p>
      <w:pPr>
        <w:spacing w:after="0" w:line="187" w:lineRule="exact"/>
        <w:rPr>
          <w:sz w:val="20"/>
          <w:szCs w:val="20"/>
          <w:color w:val="auto"/>
        </w:rPr>
      </w:pPr>
    </w:p>
    <w:p>
      <w:pPr>
        <w:ind w:right="60" w:firstLine="469"/>
        <w:spacing w:after="0" w:line="282" w:lineRule="auto"/>
        <w:rPr>
          <w:sz w:val="20"/>
          <w:szCs w:val="20"/>
          <w:color w:val="auto"/>
        </w:rPr>
      </w:pPr>
      <w:r>
        <w:rPr>
          <w:rFonts w:ascii="Times New Roman" w:cs="Times New Roman" w:eastAsia="Times New Roman" w:hAnsi="Times New Roman"/>
          <w:sz w:val="18"/>
          <w:szCs w:val="18"/>
          <w:color w:val="auto"/>
        </w:rPr>
        <w:t>The $2.1 million increase in noninterest income included a $2.2 million gain on sale of OREO. CRA investment income increased by approximately $450,000, due to changes in the net asset value of certain equity investments.</w:t>
      </w:r>
    </w:p>
    <w:p>
      <w:pPr>
        <w:spacing w:after="0" w:line="162"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8"/>
          <w:szCs w:val="18"/>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March 31, 2025, CitizensTrust had approximately $4.7 billion in assets under management and administration, including $3.38 billion in assets under management. CitizensTrust generated fees of $3.4 million for the first quarter of 2025, compared to $3.2 million for the first quarter of 2024.</w:t>
      </w:r>
    </w:p>
    <w:p>
      <w:pPr>
        <w:spacing w:after="0" w:line="187"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The Bank’s investment in BOLI includes life insurance policies generally acquired through acquisitions or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The $762,000 decrease in BOLI income was primarily due to receiving in the first quarter of 2024 $531,000 in death benefits that exceeded the asset value on certain policies.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8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right"/>
              <w:ind w:right="3"/>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Noninterest expense:</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2180" w:type="dxa"/>
            <w:vAlign w:val="bottom"/>
            <w:gridSpan w:val="2"/>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36,477</w:t>
            </w:r>
          </w:p>
        </w:tc>
        <w:tc>
          <w:tcPr>
            <w:tcW w:w="1040" w:type="dxa"/>
            <w:vAlign w:val="bottom"/>
            <w:gridSpan w:val="2"/>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36,401</w:t>
            </w:r>
          </w:p>
        </w:tc>
        <w:tc>
          <w:tcPr>
            <w:tcW w:w="780" w:type="dxa"/>
            <w:vAlign w:val="bottom"/>
            <w:gridSpan w:val="2"/>
          </w:tcPr>
          <w:p>
            <w:pPr>
              <w:jc w:val="right"/>
              <w:ind w:right="4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4,763</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4,570</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48"/>
        </w:trPr>
        <w:tc>
          <w:tcPr>
            <w:tcW w:w="3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24.12%</w:t>
            </w: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2,255</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48"/>
        </w:trPr>
        <w:tc>
          <w:tcPr>
            <w:tcW w:w="3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Computer software expense</w:t>
            </w: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4,221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3,525</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w:t>
            </w: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Marketing and promotion</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1,988</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1,630</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0" w:type="dxa"/>
            <w:vAlign w:val="bottom"/>
          </w:tcPr>
          <w:p>
            <w:pPr>
              <w:spacing w:after="0"/>
              <w:rPr>
                <w:sz w:val="1"/>
                <w:szCs w:val="1"/>
                <w:color w:val="auto"/>
              </w:rPr>
            </w:pPr>
          </w:p>
        </w:tc>
      </w:tr>
      <w:tr>
        <w:trPr>
          <w:trHeight w:val="149"/>
        </w:trPr>
        <w:tc>
          <w:tcPr>
            <w:tcW w:w="3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w:t>
            </w: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Telecommunications expense</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48"/>
        </w:trPr>
        <w:tc>
          <w:tcPr>
            <w:tcW w:w="3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Regulatory assessments</w:t>
            </w: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4,445</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-54.62%</w:t>
            </w: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Insurance</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26"/>
        </w:trPr>
        <w:tc>
          <w:tcPr>
            <w:tcW w:w="33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Provision for unfunded loan</w:t>
            </w:r>
          </w:p>
        </w:tc>
        <w:tc>
          <w:tcPr>
            <w:tcW w:w="1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commitments</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Directors' expenses</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48"/>
        </w:trPr>
        <w:tc>
          <w:tcPr>
            <w:tcW w:w="3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3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3,409</w:t>
            </w:r>
          </w:p>
        </w:tc>
        <w:tc>
          <w:tcPr>
            <w:tcW w:w="2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3,184</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noninterest expense</w:t>
            </w:r>
          </w:p>
        </w:tc>
        <w:tc>
          <w:tcPr>
            <w:tcW w:w="13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6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59,144</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6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59,771</w:t>
            </w:r>
          </w:p>
        </w:tc>
        <w:tc>
          <w:tcPr>
            <w:tcW w:w="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(627)</w:t>
            </w:r>
          </w:p>
        </w:tc>
        <w:tc>
          <w:tcPr>
            <w:tcW w:w="1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55"/>
        </w:trPr>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Noninterest expense to average</w:t>
            </w:r>
          </w:p>
        </w:tc>
        <w:tc>
          <w:tcPr>
            <w:tcW w:w="1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assets</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Efficiency ratio (1)</w:t>
            </w:r>
          </w:p>
        </w:tc>
        <w:tc>
          <w:tcPr>
            <w:tcW w:w="1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46.69%</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47.22%</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-402590</wp:posOffset>
            </wp:positionV>
            <wp:extent cx="14605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-385445</wp:posOffset>
            </wp:positionV>
            <wp:extent cx="14605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-402590</wp:posOffset>
            </wp:positionV>
            <wp:extent cx="14541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-385445</wp:posOffset>
            </wp:positionV>
            <wp:extent cx="14541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-402590</wp:posOffset>
            </wp:positionV>
            <wp:extent cx="11112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-385445</wp:posOffset>
            </wp:positionV>
            <wp:extent cx="11112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3" w:lineRule="exact"/>
        <w:rPr>
          <w:sz w:val="20"/>
          <w:szCs w:val="20"/>
          <w:color w:val="auto"/>
        </w:rPr>
      </w:pPr>
    </w:p>
    <w:p>
      <w:pPr>
        <w:ind w:left="1500" w:hanging="369"/>
        <w:spacing w:after="0"/>
        <w:tabs>
          <w:tab w:leader="none" w:pos="1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divided by net interest income before provision for credit losses plus noninterest income.</w:t>
      </w:r>
    </w:p>
    <w:p>
      <w:pPr>
        <w:spacing w:after="0" w:line="194" w:lineRule="exact"/>
        <w:rPr>
          <w:sz w:val="20"/>
          <w:szCs w:val="20"/>
          <w:color w:val="auto"/>
        </w:rPr>
      </w:pPr>
    </w:p>
    <w:p>
      <w:pPr>
        <w:ind w:right="300" w:firstLine="469"/>
        <w:spacing w:after="0" w:line="261"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1.58% for the first quarter of 2025, compared to 1.48% for the first quarter of 2024. This ratio was impacted by the deleveraging strategy that culminated at the end of 2024 and resulted in a $1.04 billion decrease in average assets between the first quarter of 2024 and the first quarter of 2025.</w:t>
      </w:r>
    </w:p>
    <w:p>
      <w:pPr>
        <w:spacing w:after="0" w:line="180"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for the first quarter of 2025 was 46.69%, compared to 47.22% for the first quarter of 2024.</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2025 Compared to the First Quarter of 2024</w:t>
      </w:r>
    </w:p>
    <w:p>
      <w:pPr>
        <w:spacing w:after="0" w:line="200"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8"/>
          <w:szCs w:val="18"/>
          <w:color w:val="auto"/>
        </w:rPr>
        <w:t>Noninterest expense of $59.1 million for the first quarter of 2025 was $627,000, or 1.05%, lower than the first quarter of 2024. Noninterest expense in the first quarter of 2024 included an additional accrual of $2.3 million for the FDIC special assessment resulting from a 25% increase in the FDIC's initial loss estimate, which was $9.2 million as reflected in the fourth quarter of 2023. Year-over-year expense growth included a $500,000 provision for unfunded loan commitments in the first quarter of 2025, in addition to approximately $700,000 higher software expense and a $433,000 increase in occupancy and equipment expense. There was no provision for unfunded loan commitments in the first quarter of 2024. The increase in occupancy expense included the higher rent expense for the four buildings that were sold and leased back during the second half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2025 was 26.50%, compared to 27.25% for the three months ended March 31, 2024, respectively. The decrease in the effective tax rate was a result of increased investments in tax credits during 2024 and 2025. Our estimated annual effective tax rate also varies depending upon the level of tax-advantaged income from municipal securities and BOLI, as well as available tax credits.</w:t>
      </w:r>
    </w:p>
    <w:p>
      <w:pPr>
        <w:spacing w:after="0" w:line="180"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Total assets of $15.26 billion at March 31, 2025 increased by $102.9 million, or 0.68%, from total assets of $15.15 billion at December 31, 2024. Interest-earning assets of $13.6 billion at March 31, 2025, increased by $92.9 million, or 0.69%, when compared with $13.53 billion at December 31, 2024. The increase in interest-earning assets was primarily due to a $290.3 million increase in interest-earning balances due from the Federal Reserve, offset by a $27.6 million decrease in investment securities, and a $170.9 million decrease in net loans.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Total liabilities were $13.03 billion at March 31, 2025, an increase of $60.8 million, or 0.47%, from total liabilities of $12.97 billion at December 31,</w:t>
      </w:r>
    </w:p>
    <w:p>
      <w:pPr>
        <w:spacing w:after="0" w:line="39"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2024. Total deposits increased by $41.5 million, or 0.35%, with noninterest-bearing deposits increasing by $147.2 million, or 2.09%. Interest-bearing deposits declined by $105.6 million, or 2.15%. Borrowings remained the same balance as of December 31, 2024. At March 31, 2025, total borrowings consisted of $500 million of FHLB advances, at an average cost of approximately 4.6%.</w:t>
      </w:r>
    </w:p>
    <w:p>
      <w:pPr>
        <w:spacing w:after="0" w:line="186" w:lineRule="exact"/>
        <w:rPr>
          <w:sz w:val="20"/>
          <w:szCs w:val="20"/>
          <w:color w:val="auto"/>
        </w:rPr>
      </w:pPr>
    </w:p>
    <w:p>
      <w:pPr>
        <w:jc w:val="both"/>
        <w:ind w:right="20" w:firstLine="469"/>
        <w:spacing w:after="0" w:line="261" w:lineRule="auto"/>
        <w:rPr>
          <w:sz w:val="20"/>
          <w:szCs w:val="20"/>
          <w:color w:val="auto"/>
        </w:rPr>
      </w:pPr>
      <w:r>
        <w:rPr>
          <w:rFonts w:ascii="Times New Roman" w:cs="Times New Roman" w:eastAsia="Times New Roman" w:hAnsi="Times New Roman"/>
          <w:sz w:val="18"/>
          <w:szCs w:val="18"/>
          <w:color w:val="auto"/>
        </w:rPr>
        <w:t>Total equity increased $42.1 million to $2.23 billion at March 31, 2025, compared to total equity of $2.19 billion at December 31, 2024. Increases to equity included $51.1 million in net earnings and a $34.8 million increase in other comprehensive income that were partially offset by $27.9 million in cash dividends. In the first quarter of 2025, we repurchased, under our stock repurchase plan, 782,063 shares of common stock, at an average repurchase price of $19.55, totaling $15.3 million. We engaged in no stock repurchases during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right="60" w:firstLine="469"/>
        <w:spacing w:after="0" w:line="253"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its ongoing operations. We continued to shrink our investment portfolio. At March 31, 2025, total investment securities were $4.89 billion. This represented a decrease of $27.6 million, or 0.56%, from $4.92 billion at December 31, 2024. The overall decrease in investment securities was primarily due to a $20.5 million decline in our HTM securities. At March 31, 2025, investment securities HTM totaled $2.36 billion. At March 31, 2025, our AFS investment securities totaled $2.54 billion, inclusive of a pre-tax net unrealized loss of $388.4 million, compared to $447.7 million at December 31, 2024. The $59.3 million increase in fair value of our AFS securities was partially offset by an $8.3 million decrease in the fair value of our derivatives that hedge the change in value of our AFS portfolio. The after-tax unrealized loss reported in AOCI on our AFS investment securities and fair-value hedges at March 31, 2025 was $272.8 million. The changes in the net unrealized holding loss resulted primarily from fluctuations in market interest rates. For the three months ended March 31, 2025 and 2024, repayments/maturities of investment securities totaled $84.7 million and $115.5 million, respectively. The Company purchased $1.7 million and $11.5 million of HTM securities during the first quarter of 2025 and 2024 respectively. There were no investment securities sold during the first quarter of 2025 and 2024.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left="48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Total Percent</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2,398,291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(274,693)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2,124,656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467,263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353,862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1"/>
        </w:trPr>
        <w:tc>
          <w:tcPr>
            <w:tcW w:w="3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(1)</w:t>
            </w: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vMerge w:val="continue"/>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2,922,404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(389,564)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2,535,066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510,593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416,948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603,927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504,656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617,755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454,075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412,574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 (2)</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13,155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13,155</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2,359,141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(394,535)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1,965,088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-1302385</wp:posOffset>
            </wp:positionV>
            <wp:extent cx="1371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-1302385</wp:posOffset>
            </wp:positionV>
            <wp:extent cx="12890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-1302385</wp:posOffset>
            </wp:positionV>
            <wp:extent cx="12890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-1302385</wp:posOffset>
            </wp:positionV>
            <wp:extent cx="939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-25400</wp:posOffset>
            </wp:positionV>
            <wp:extent cx="13716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1371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12890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12890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12890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2890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939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939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left="1020" w:right="40" w:hanging="503"/>
        <w:spacing w:after="0" w:line="241"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portfolio layer method basis adjustments related to AFS MBS securities hedged in a closed portfolio. Under the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6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Commercial Property Assessed Clean Energy ("C-PACE") bonds.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Total Percent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2,460,573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(326,376)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2,134,534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351,522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20,377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30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1"/>
        </w:trPr>
        <w:tc>
          <w:tcPr>
            <w:tcW w:w="3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(1)</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2,997,047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2,542,115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agency/GSE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514,572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408,257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614,383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(110,020)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504,363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CMO/REMIC</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613,938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455,199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416,332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securities (2)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49"/>
        </w:trPr>
        <w:tc>
          <w:tcPr>
            <w:tcW w:w="3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2,379,668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(426,481)</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1,954,345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413"/>
        </w:trPr>
        <w:tc>
          <w:tcPr>
            <w:tcW w:w="39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-2073910</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-2073910</wp:posOffset>
            </wp:positionV>
            <wp:extent cx="12890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-2073910</wp:posOffset>
            </wp:positionV>
            <wp:extent cx="12890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-2073910</wp:posOffset>
            </wp:positionV>
            <wp:extent cx="12827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-796290</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-779145</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-796290</wp:posOffset>
            </wp:positionV>
            <wp:extent cx="12890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-779145</wp:posOffset>
            </wp:positionV>
            <wp:extent cx="12890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-796290</wp:posOffset>
            </wp:positionV>
            <wp:extent cx="12890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-779145</wp:posOffset>
            </wp:positionV>
            <wp:extent cx="12890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-796290</wp:posOffset>
            </wp:positionV>
            <wp:extent cx="1282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-779145</wp:posOffset>
            </wp:positionV>
            <wp:extent cx="12827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82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left="1020" w:right="40" w:hanging="503"/>
        <w:spacing w:after="0" w:line="241"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portfolio layer method basis adjustments related to AFS MBS securities hedged in a closed portfolio. Under the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6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Commercial Property Assessed Clean Energy ("C-PACE") bonds.</w:t>
      </w:r>
    </w:p>
    <w:p>
      <w:pPr>
        <w:spacing w:after="0" w:line="208"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As of March 31, 2025, approximately $25.5 million in U.S. government agency bonds are callable. The Agency CMO/REMIC securities are backed by agency-pooled collateral. Municipal bonds, which represented approximately 10% of the total investment portfolio, are predominately AA or higher rated securities.</w:t>
      </w:r>
    </w:p>
    <w:p>
      <w:pPr>
        <w:spacing w:after="0" w:line="176" w:lineRule="exact"/>
        <w:rPr>
          <w:sz w:val="20"/>
          <w:szCs w:val="20"/>
          <w:color w:val="auto"/>
        </w:rPr>
      </w:pPr>
    </w:p>
    <w:p>
      <w:pPr>
        <w:ind w:right="1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and held-to-maturity investment securities, by investment category, in an unrealized loss position for which an allowance for credit losses has not been recorded as of March 31,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3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5"/>
                <w:szCs w:val="15"/>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15"/>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85,194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1,756,443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(274,534)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1,841,637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(274,693)</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353,861</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(113,401)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353,861</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(113,401)</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19,409</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(1,470)</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85,194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2,129,713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(389,405)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2,214,907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(389,564)</w:t>
            </w:r>
          </w:p>
        </w:tc>
      </w:tr>
      <w:tr>
        <w:trPr>
          <w:trHeight w:val="383"/>
        </w:trPr>
        <w:tc>
          <w:tcPr>
            <w:tcW w:w="3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5"/>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416,948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(93,645)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416,948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(93,645)</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502,640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(99,254)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504,656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(99,271)</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617,755</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(159,636)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617,755</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(159,636)</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(2,413)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298,020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(39,569)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373,626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(41,983)</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77,622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1,835,363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(392,105)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1,912,984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(394,535)</w:t>
            </w: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6"/>
        </w:trPr>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3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5"/>
                <w:szCs w:val="15"/>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15"/>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1,757,066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(325,677)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1,961,494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(326,377)</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351,521</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(120,399)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351,522</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(120,399)</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(1,405)</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207,644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2,124,849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(447,326)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2,332,493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(448,181)</w:t>
            </w:r>
          </w:p>
        </w:tc>
      </w:tr>
      <w:tr>
        <w:trPr>
          <w:trHeight w:val="383"/>
        </w:trPr>
        <w:tc>
          <w:tcPr>
            <w:tcW w:w="3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5"/>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408,257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(106,315)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408,257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(106,315)</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502,292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(109,978)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(110,020)</w:t>
            </w:r>
          </w:p>
        </w:tc>
      </w:tr>
      <w:tr>
        <w:trPr>
          <w:trHeight w:val="203"/>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613,937</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(170,121)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613,937</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(170,121)</w:t>
            </w:r>
          </w:p>
        </w:tc>
      </w:tr>
      <w:tr>
        <w:trPr>
          <w:trHeight w:val="20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286,868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(38,958)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350,536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(40,025)</w:t>
            </w:r>
          </w:p>
        </w:tc>
      </w:tr>
      <w:tr>
        <w:trPr>
          <w:trHeight w:val="20"/>
        </w:trPr>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65,740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1,811,354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(425,372)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1,877,094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(426,481)</w:t>
            </w: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-3634105</wp:posOffset>
            </wp:positionV>
            <wp:extent cx="768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-3616960</wp:posOffset>
            </wp:positionV>
            <wp:extent cx="7683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-3634105</wp:posOffset>
            </wp:positionV>
            <wp:extent cx="7683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-3616960</wp:posOffset>
            </wp:positionV>
            <wp:extent cx="7683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-3634105</wp:posOffset>
            </wp:positionV>
            <wp:extent cx="7747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-3616960</wp:posOffset>
            </wp:positionV>
            <wp:extent cx="7747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-3634105</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-3616960</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-3634105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-3616960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-2699385</wp:posOffset>
            </wp:positionV>
            <wp:extent cx="7683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-2682240</wp:posOffset>
            </wp:positionV>
            <wp:extent cx="7683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-2699385</wp:posOffset>
            </wp:positionV>
            <wp:extent cx="7683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-2682240</wp:posOffset>
            </wp:positionV>
            <wp:extent cx="7683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-2699385</wp:posOffset>
            </wp:positionV>
            <wp:extent cx="7747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-2682240</wp:posOffset>
            </wp:positionV>
            <wp:extent cx="7747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-2699385</wp:posOffset>
            </wp:positionV>
            <wp:extent cx="685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-2682240</wp:posOffset>
            </wp:positionV>
            <wp:extent cx="685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-2699385</wp:posOffset>
            </wp:positionV>
            <wp:extent cx="6858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-2682240</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-959485</wp:posOffset>
            </wp:positionV>
            <wp:extent cx="7683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-942340</wp:posOffset>
            </wp:positionV>
            <wp:extent cx="7683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-959485</wp:posOffset>
            </wp:positionV>
            <wp:extent cx="7683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-942340</wp:posOffset>
            </wp:positionV>
            <wp:extent cx="7683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-959485</wp:posOffset>
            </wp:positionV>
            <wp:extent cx="7747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-942340</wp:posOffset>
            </wp:positionV>
            <wp:extent cx="774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-959485</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-942340</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-959485</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-942340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-25400</wp:posOffset>
            </wp:positionV>
            <wp:extent cx="7683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-8255</wp:posOffset>
            </wp:positionV>
            <wp:extent cx="7683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7747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7747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420" w:firstLine="469"/>
        <w:spacing w:after="0" w:line="266" w:lineRule="auto"/>
        <w:rPr>
          <w:sz w:val="20"/>
          <w:szCs w:val="20"/>
          <w:color w:val="auto"/>
        </w:rPr>
      </w:pPr>
      <w:r>
        <w:rPr>
          <w:rFonts w:ascii="Times New Roman" w:cs="Times New Roman" w:eastAsia="Times New Roman" w:hAnsi="Times New Roman"/>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March 31, 2025 and December 31, 2024.</w:t>
      </w:r>
    </w:p>
    <w:p>
      <w:pPr>
        <w:spacing w:after="0" w:line="174" w:lineRule="exact"/>
        <w:rPr>
          <w:sz w:val="20"/>
          <w:szCs w:val="20"/>
          <w:color w:val="auto"/>
        </w:rPr>
      </w:pPr>
    </w:p>
    <w:p>
      <w:pPr>
        <w:ind w:right="700" w:firstLine="374"/>
        <w:spacing w:after="0" w:line="262" w:lineRule="auto"/>
        <w:rPr>
          <w:sz w:val="20"/>
          <w:szCs w:val="20"/>
          <w:color w:val="auto"/>
        </w:rPr>
      </w:pPr>
      <w:r>
        <w:rPr>
          <w:rFonts w:ascii="Times New Roman" w:cs="Times New Roman" w:eastAsia="Times New Roman" w:hAnsi="Times New Roman"/>
          <w:sz w:val="18"/>
          <w:szCs w:val="18"/>
          <w:color w:val="auto"/>
        </w:rPr>
        <w:t xml:space="preserve">Refer to Note 4 –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 on our investment securities portfolio.</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Total loans and leases, at amortized cost, of $8.36 billion at March 31, 2025 decreased by $172.8 million, or 2.02%, from December 31, 2024. The decrease in total loans quarter-over-quarter included decreases of $16.8 million in commercial real estate loans and $167.4 million in dairy &amp; livestock and agribusiness loans, offset by an increase of $17.1 million in commercial and industrial loans. The decline in dairy and livestock loans primarily relates to the seasonal peak in line utilization at the end of every calendar year, demonstrated by a decline in the utilization rate from 81% at the end of 2024 to 64% at March 31, 2025.</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loan portfolio by type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06"/>
        </w:trPr>
        <w:tc>
          <w:tcPr>
            <w:tcW w:w="38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300" w:type="dxa"/>
            <w:vAlign w:val="bottom"/>
            <w:gridSpan w:val="4"/>
          </w:tcPr>
          <w:p>
            <w:pPr>
              <w:jc w:val="right"/>
              <w:ind w:right="131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7"/>
                <w:szCs w:val="17"/>
                <w:color w:val="auto"/>
              </w:rPr>
            </w:pPr>
          </w:p>
        </w:tc>
      </w:tr>
      <w:tr>
        <w:trPr>
          <w:trHeight w:val="220"/>
        </w:trPr>
        <w:tc>
          <w:tcPr>
            <w:tcW w:w="38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6,490,604</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6,507,452</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SBA</w:t>
            </w:r>
          </w:p>
        </w:tc>
        <w:tc>
          <w:tcPr>
            <w:tcW w:w="3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273,013</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925,178</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419,904</w:t>
            </w:r>
          </w:p>
        </w:tc>
        <w:tc>
          <w:tcPr>
            <w:tcW w:w="10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3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66,114</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SFR mortgage</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269,172</w:t>
            </w:r>
          </w:p>
        </w:tc>
        <w:tc>
          <w:tcPr>
            <w:tcW w:w="100" w:type="dxa"/>
            <w:vAlign w:val="bottom"/>
          </w:tcPr>
          <w:p>
            <w:pPr>
              <w:spacing w:after="0"/>
              <w:rPr>
                <w:sz w:val="18"/>
                <w:szCs w:val="18"/>
                <w:color w:val="auto"/>
              </w:rPr>
            </w:pPr>
          </w:p>
        </w:tc>
      </w:tr>
      <w:tr>
        <w:trPr>
          <w:trHeight w:val="216"/>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and other loans</w:t>
            </w:r>
          </w:p>
        </w:tc>
        <w:tc>
          <w:tcPr>
            <w:tcW w:w="30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8,363,632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8,536,432</w:t>
            </w:r>
          </w:p>
        </w:tc>
        <w:tc>
          <w:tcPr>
            <w:tcW w:w="10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(78,252)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(80,122)</w:t>
            </w:r>
          </w:p>
        </w:tc>
      </w:tr>
      <w:tr>
        <w:trPr>
          <w:trHeight w:val="210"/>
        </w:trPr>
        <w:tc>
          <w:tcPr>
            <w:tcW w:w="38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30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8,285,380</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8,456,310</w:t>
            </w:r>
          </w:p>
        </w:tc>
        <w:tc>
          <w:tcPr>
            <w:tcW w:w="100" w:type="dxa"/>
            <w:vAlign w:val="bottom"/>
            <w:tcBorders>
              <w:top w:val="single" w:sz="8" w:color="CFF0FC"/>
            </w:tcBorders>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-453390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As of March 31, 2025, $437.3 million, or 6.70% of the total commercial real estate loans included loans secured by farmland, compared to $449.8 million, or 6.91%, at December 31, 2024. The loans secured by farmland included $103.6 million for loans secured by dairy &amp; livestock land and $333.7 million secured by agricultural land at March 31, 2025, compared to $109.1 million for loans secured by dairy &amp; livestock land and $340.7 million for loans secured by agricultural land at December 31, 2024. As of March 31, 2025, dairy &amp; livestock and agribusiness loans of $252.5 million were comprised of $217.4 million for dairy &amp; livestock loans and $35.1 million for agribusiness loans, compared to $419.9 million were comprised of $385.3 million for dairy &amp; livestock loans and $34.6 million for agribusiness loans at December 31, 2024.</w:t>
      </w:r>
    </w:p>
    <w:p>
      <w:pPr>
        <w:spacing w:after="0" w:line="187"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83"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As of March 31, 2025, the Company had $207.2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March 31, 2025, the Company had $64.6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92" w:lineRule="exact"/>
        <w:rPr>
          <w:sz w:val="20"/>
          <w:szCs w:val="20"/>
          <w:color w:val="auto"/>
        </w:rPr>
      </w:pPr>
    </w:p>
    <w:p>
      <w:pPr>
        <w:ind w:right="640" w:firstLine="469"/>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$15.7 million in construction loans. This represents 0.19% of total gross loans held-for-investment. Although our construction loans are located throughout our market footprint, the majority of</w:t>
      </w: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ind w:right="300"/>
        <w:spacing w:after="0" w:line="282" w:lineRule="auto"/>
        <w:rPr>
          <w:sz w:val="20"/>
          <w:szCs w:val="20"/>
          <w:color w:val="auto"/>
        </w:rPr>
      </w:pPr>
      <w:r>
        <w:rPr>
          <w:rFonts w:ascii="Times New Roman" w:cs="Times New Roman" w:eastAsia="Times New Roman" w:hAnsi="Times New Roman"/>
          <w:sz w:val="18"/>
          <w:szCs w:val="18"/>
          <w:color w:val="auto"/>
        </w:rPr>
        <w:t>construction loans consist of commercial land development and construction projects throughout California. There were no nonperforming construction loans at March 31, 2025.</w:t>
      </w:r>
    </w:p>
    <w:p>
      <w:pPr>
        <w:spacing w:after="0" w:line="162" w:lineRule="exact"/>
        <w:rPr>
          <w:sz w:val="20"/>
          <w:szCs w:val="20"/>
          <w:color w:val="auto"/>
        </w:rPr>
      </w:pPr>
    </w:p>
    <w:p>
      <w:pPr>
        <w:ind w:right="380" w:firstLine="464"/>
        <w:spacing w:after="0" w:line="282"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and commercial real estate loans, by region as of March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83"/>
        </w:trPr>
        <w:tc>
          <w:tcPr>
            <w:tcW w:w="5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Commercial Real</w:t>
            </w:r>
          </w:p>
        </w:tc>
        <w:tc>
          <w:tcPr>
            <w:tcW w:w="740" w:type="dxa"/>
            <w:vAlign w:val="bottom"/>
          </w:tcPr>
          <w:p>
            <w:pPr>
              <w:spacing w:after="0"/>
              <w:rPr>
                <w:sz w:val="15"/>
                <w:szCs w:val="15"/>
                <w:color w:val="auto"/>
              </w:rPr>
            </w:pPr>
          </w:p>
        </w:tc>
      </w:tr>
      <w:tr>
        <w:trPr>
          <w:trHeight w:val="215"/>
        </w:trPr>
        <w:tc>
          <w:tcPr>
            <w:tcW w:w="50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Estate Loans</w:t>
            </w:r>
          </w:p>
        </w:tc>
        <w:tc>
          <w:tcPr>
            <w:tcW w:w="740" w:type="dxa"/>
            <w:vAlign w:val="bottom"/>
            <w:tcBorders>
              <w:bottom w:val="single" w:sz="8" w:color="auto"/>
            </w:tcBorders>
          </w:tcPr>
          <w:p>
            <w:pPr>
              <w:spacing w:after="0"/>
              <w:rPr>
                <w:sz w:val="18"/>
                <w:szCs w:val="18"/>
                <w:color w:val="auto"/>
              </w:rPr>
            </w:pPr>
          </w:p>
        </w:tc>
      </w:tr>
      <w:tr>
        <w:trPr>
          <w:trHeight w:val="199"/>
        </w:trPr>
        <w:tc>
          <w:tcPr>
            <w:tcW w:w="5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 Angeles County</w:t>
            </w: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3,073,314</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2,219,262</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Central Valley and Sacramento</w:t>
            </w:r>
          </w:p>
        </w:tc>
        <w:tc>
          <w:tcPr>
            <w:tcW w:w="4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1,912,918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1,541,963</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Orange County</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1,167,750</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718,216</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Inland Empire</w:t>
            </w:r>
          </w:p>
        </w:tc>
        <w:tc>
          <w:tcPr>
            <w:tcW w:w="4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997,739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884,975</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Central Coast</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441,117</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377,555</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San Diego</w:t>
            </w:r>
          </w:p>
        </w:tc>
        <w:tc>
          <w:tcPr>
            <w:tcW w:w="4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314,550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315,939</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California</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148,875</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91,943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Out of State</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307,369</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340,751</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6"/>
        </w:trPr>
        <w:tc>
          <w:tcPr>
            <w:tcW w:w="50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8,363,632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6,490,604</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-25400</wp:posOffset>
            </wp:positionV>
            <wp:extent cx="10287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10287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13716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1371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10287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10287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breaks down our commercial real estate portfolio.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3"/>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Owner-</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2"/>
        </w:trPr>
        <w:tc>
          <w:tcPr>
            <w:tcW w:w="5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Loan Balance</w:t>
            </w:r>
          </w:p>
        </w:tc>
      </w:tr>
      <w:tr>
        <w:trPr>
          <w:trHeight w:val="202"/>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16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5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2,216,922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1,631</w:t>
            </w:r>
          </w:p>
        </w:tc>
      </w:tr>
      <w:tr>
        <w:trPr>
          <w:trHeight w:val="203"/>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1,021,513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1,664</w:t>
            </w:r>
          </w:p>
        </w:tc>
      </w:tr>
      <w:tr>
        <w:trPr>
          <w:trHeight w:val="203"/>
        </w:trPr>
        <w:tc>
          <w:tcPr>
            <w:tcW w:w="5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899,386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r>
      <w:tr>
        <w:trPr>
          <w:trHeight w:val="203"/>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813,032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1,549</w:t>
            </w:r>
          </w:p>
        </w:tc>
      </w:tr>
      <w:tr>
        <w:trPr>
          <w:trHeight w:val="203"/>
        </w:trPr>
        <w:tc>
          <w:tcPr>
            <w:tcW w:w="5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Secured by farmland (2)</w:t>
            </w:r>
          </w:p>
        </w:tc>
        <w:tc>
          <w:tcPr>
            <w:tcW w:w="2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437,295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1,438</w:t>
            </w:r>
          </w:p>
        </w:tc>
      </w:tr>
      <w:tr>
        <w:trPr>
          <w:trHeight w:val="203"/>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Medical</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293,287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1,424</w:t>
            </w:r>
          </w:p>
        </w:tc>
      </w:tr>
      <w:tr>
        <w:trPr>
          <w:trHeight w:val="203"/>
        </w:trPr>
        <w:tc>
          <w:tcPr>
            <w:tcW w:w="5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(3)</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809,169</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1,790</w:t>
            </w:r>
          </w:p>
        </w:tc>
      </w:tr>
      <w:tr>
        <w:trPr>
          <w:trHeight w:val="236"/>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6,490,604</w:t>
            </w:r>
          </w:p>
        </w:tc>
        <w:tc>
          <w:tcPr>
            <w:tcW w:w="1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-24765</wp:posOffset>
            </wp:positionV>
            <wp:extent cx="1028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10287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10287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10287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3" w:lineRule="exact"/>
        <w:rPr>
          <w:sz w:val="20"/>
          <w:szCs w:val="20"/>
          <w:color w:val="auto"/>
        </w:rPr>
      </w:pPr>
    </w:p>
    <w:p>
      <w:pPr>
        <w:ind w:left="1320" w:hanging="473"/>
        <w:spacing w:after="0"/>
        <w:tabs>
          <w:tab w:leader="none" w:pos="1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reported owner-occupied at origination in each real estate loan category.</w:t>
      </w:r>
    </w:p>
    <w:p>
      <w:pPr>
        <w:spacing w:after="0" w:line="3" w:lineRule="exact"/>
        <w:rPr>
          <w:rFonts w:ascii="Times New Roman" w:cs="Times New Roman" w:eastAsia="Times New Roman" w:hAnsi="Times New Roman"/>
          <w:sz w:val="14"/>
          <w:szCs w:val="14"/>
          <w:color w:val="auto"/>
        </w:rPr>
      </w:pPr>
    </w:p>
    <w:p>
      <w:pPr>
        <w:ind w:left="1320" w:right="140" w:hanging="470"/>
        <w:spacing w:after="0" w:line="221" w:lineRule="auto"/>
        <w:tabs>
          <w:tab w:leader="none" w:pos="1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secured by farmland included $103.6 million for loans secured by dairy &amp; livestock land and $333.7 million for loans secured by agricultural land at March 31, 2025.</w:t>
      </w:r>
    </w:p>
    <w:p>
      <w:pPr>
        <w:ind w:left="1320" w:hanging="470"/>
        <w:spacing w:after="0"/>
        <w:tabs>
          <w:tab w:leader="none" w:pos="1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loans consist of a variety of loan types, none of which exceeded 2.0% of total commercial real estate loans at March 31,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2"/>
        </w:trPr>
        <w:tc>
          <w:tcPr>
            <w:tcW w:w="6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1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40" w:type="dxa"/>
            <w:vAlign w:val="bottom"/>
          </w:tcPr>
          <w:p>
            <w:pPr>
              <w:spacing w:after="0"/>
              <w:rPr>
                <w:sz w:val="17"/>
                <w:szCs w:val="17"/>
                <w:color w:val="auto"/>
              </w:rPr>
            </w:pPr>
          </w:p>
        </w:tc>
      </w:tr>
      <w:tr>
        <w:trPr>
          <w:trHeight w:val="20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Nonaccrual loans</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25,636</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27,795</w:t>
            </w:r>
          </w:p>
        </w:tc>
        <w:tc>
          <w:tcPr>
            <w:tcW w:w="14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Nonperforming modified loans to borrowers experiencing financial difficulty</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10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25,636</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27,795</w:t>
            </w:r>
          </w:p>
        </w:tc>
        <w:tc>
          <w:tcPr>
            <w:tcW w:w="140" w:type="dxa"/>
            <w:vAlign w:val="bottom"/>
            <w:tcBorders>
              <w:top w:val="single" w:sz="8" w:color="CFF0FC"/>
            </w:tcBorders>
          </w:tcPr>
          <w:p>
            <w:pPr>
              <w:spacing w:after="0"/>
              <w:rPr>
                <w:sz w:val="17"/>
                <w:szCs w:val="17"/>
                <w:color w:val="auto"/>
              </w:rPr>
            </w:pPr>
          </w:p>
        </w:tc>
      </w:tr>
      <w:tr>
        <w:trPr>
          <w:trHeight w:val="20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OREO, net</w:t>
            </w:r>
          </w:p>
        </w:tc>
        <w:tc>
          <w:tcPr>
            <w:tcW w:w="10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19,303</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26,131</w:t>
            </w:r>
          </w:p>
        </w:tc>
        <w:tc>
          <w:tcPr>
            <w:tcW w:w="2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47,098</w:t>
            </w:r>
          </w:p>
        </w:tc>
        <w:tc>
          <w:tcPr>
            <w:tcW w:w="14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Modified loans to borrowers experiencing financial difficulty</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6,467</w:t>
            </w:r>
          </w:p>
        </w:tc>
        <w:tc>
          <w:tcPr>
            <w:tcW w:w="140" w:type="dxa"/>
            <w:vAlign w:val="bottom"/>
            <w:shd w:val="clear" w:color="auto" w:fill="CFF0FC"/>
          </w:tcPr>
          <w:p>
            <w:pPr>
              <w:spacing w:after="0"/>
              <w:rPr>
                <w:sz w:val="19"/>
                <w:szCs w:val="19"/>
                <w:color w:val="auto"/>
              </w:rPr>
            </w:pPr>
          </w:p>
        </w:tc>
      </w:tr>
      <w:tr>
        <w:trPr>
          <w:trHeight w:val="372"/>
        </w:trPr>
        <w:tc>
          <w:tcPr>
            <w:tcW w:w="6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nonperforming loans and performing modified loans to borrowers</w:t>
            </w:r>
          </w:p>
        </w:tc>
        <w:tc>
          <w:tcPr>
            <w:tcW w:w="10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210"/>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experiencing financial difficulty</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37,585</w:t>
            </w:r>
          </w:p>
        </w:tc>
        <w:tc>
          <w:tcPr>
            <w:tcW w:w="22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34,262</w:t>
            </w:r>
          </w:p>
        </w:tc>
        <w:tc>
          <w:tcPr>
            <w:tcW w:w="140" w:type="dxa"/>
            <w:vAlign w:val="bottom"/>
          </w:tcPr>
          <w:p>
            <w:pPr>
              <w:spacing w:after="0"/>
              <w:rPr>
                <w:sz w:val="18"/>
                <w:szCs w:val="18"/>
                <w:color w:val="auto"/>
              </w:rPr>
            </w:pPr>
          </w:p>
        </w:tc>
      </w:tr>
      <w:tr>
        <w:trPr>
          <w:trHeight w:val="208"/>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nonperforming loans and performing modified loans to</w:t>
            </w: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borrowers experiencing financial difficulty to total loans, at amortized cost</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0.40%</w:t>
            </w:r>
          </w:p>
        </w:tc>
      </w:tr>
      <w:tr>
        <w:trPr>
          <w:trHeight w:val="3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nonperforming assets to total loans, at amortized cost,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OREO</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0.55%</w:t>
            </w:r>
          </w:p>
        </w:tc>
      </w:tr>
      <w:tr>
        <w:trPr>
          <w:trHeight w:val="20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-1868170</wp:posOffset>
            </wp:positionV>
            <wp:extent cx="939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-1868170</wp:posOffset>
            </wp:positionV>
            <wp:extent cx="939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-1602105</wp:posOffset>
            </wp:positionV>
            <wp:extent cx="939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-1602105</wp:posOffset>
            </wp:positionV>
            <wp:extent cx="939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-1310640</wp:posOffset>
            </wp:positionV>
            <wp:extent cx="939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-1293495</wp:posOffset>
            </wp:positionV>
            <wp:extent cx="939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-1310640</wp:posOffset>
            </wp:positionV>
            <wp:extent cx="939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-1293495</wp:posOffset>
            </wp:positionV>
            <wp:extent cx="939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There were three loans to borrowers experiencing financial difficulty that were modified during the three months ended March 31, 2025 with an amortized cost totaling $6.2 million as of March 31, 2025, including two commercial real estate loans totaling $6.0 million and one dairy &amp; livestock and agribusiness loan of $225,000.</w:t>
      </w:r>
    </w:p>
    <w:p>
      <w:pPr>
        <w:spacing w:after="0" w:line="176" w:lineRule="exact"/>
        <w:rPr>
          <w:sz w:val="20"/>
          <w:szCs w:val="20"/>
          <w:color w:val="auto"/>
        </w:rPr>
      </w:pPr>
    </w:p>
    <w:p>
      <w:pPr>
        <w:ind w:right="520" w:firstLine="464"/>
        <w:spacing w:after="0" w:line="282" w:lineRule="auto"/>
        <w:rPr>
          <w:sz w:val="20"/>
          <w:szCs w:val="20"/>
          <w:color w:val="auto"/>
        </w:rPr>
      </w:pPr>
      <w:r>
        <w:rPr>
          <w:rFonts w:ascii="Times New Roman" w:cs="Times New Roman" w:eastAsia="Times New Roman" w:hAnsi="Times New Roman"/>
          <w:sz w:val="18"/>
          <w:szCs w:val="18"/>
          <w:color w:val="auto"/>
        </w:rPr>
        <w:t>The table below reflects the amortized cost of loans by type made to borrowers experiencing financial difficulty that were modified as of three months ended March 31, 2025 and March 31, 2024, and the financial effect of those modifications.</w:t>
      </w:r>
    </w:p>
    <w:p>
      <w:pPr>
        <w:sectPr>
          <w:pgSz w:w="11900" w:h="16838" w:orient="portrait"/>
          <w:cols w:equalWidth="0" w:num="1">
            <w:col w:w="11240"/>
          </w:cols>
          <w:pgMar w:left="320" w:top="1089"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 of Total Class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Financing</w:t>
            </w:r>
          </w:p>
        </w:tc>
        <w:tc>
          <w:tcPr>
            <w:tcW w:w="0" w:type="dxa"/>
            <w:vAlign w:val="bottom"/>
          </w:tcPr>
          <w:p>
            <w:pPr>
              <w:spacing w:after="0"/>
              <w:rPr>
                <w:sz w:val="1"/>
                <w:szCs w:val="1"/>
                <w:color w:val="auto"/>
              </w:rPr>
            </w:pPr>
          </w:p>
        </w:tc>
      </w:tr>
      <w:tr>
        <w:trPr>
          <w:trHeight w:val="238"/>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Cost Basis</w:t>
            </w:r>
          </w:p>
        </w:tc>
        <w:tc>
          <w:tcPr>
            <w:tcW w:w="24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0" w:type="dxa"/>
            <w:vAlign w:val="bottom"/>
          </w:tcPr>
          <w:p>
            <w:pPr>
              <w:spacing w:after="0"/>
              <w:rPr>
                <w:sz w:val="1"/>
                <w:szCs w:val="1"/>
                <w:color w:val="auto"/>
              </w:rPr>
            </w:pPr>
          </w:p>
        </w:tc>
      </w:tr>
      <w:tr>
        <w:trPr>
          <w:trHeight w:val="187"/>
        </w:trPr>
        <w:tc>
          <w:tcPr>
            <w:tcW w:w="2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371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2743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2743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44614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260" w:firstLine="45"/>
        <w:spacing w:after="0" w:line="261" w:lineRule="auto"/>
        <w:rPr>
          <w:sz w:val="20"/>
          <w:szCs w:val="20"/>
          <w:color w:val="auto"/>
        </w:rPr>
      </w:pPr>
      <w:r>
        <w:rPr>
          <w:rFonts w:ascii="Times New Roman" w:cs="Times New Roman" w:eastAsia="Times New Roman" w:hAnsi="Times New Roman"/>
          <w:sz w:val="18"/>
          <w:szCs w:val="18"/>
          <w:color w:val="auto"/>
        </w:rPr>
        <w:t>Added a weighted-average 1.2 years to the life of loans, which reduced monthly payment amounts for the borrowers.</w:t>
      </w:r>
    </w:p>
    <w:p>
      <w:pPr>
        <w:ind w:right="260" w:firstLine="45"/>
        <w:spacing w:after="0" w:line="250" w:lineRule="auto"/>
        <w:rPr>
          <w:sz w:val="20"/>
          <w:szCs w:val="20"/>
          <w:color w:val="auto"/>
        </w:rPr>
      </w:pPr>
      <w:r>
        <w:rPr>
          <w:rFonts w:ascii="Times New Roman" w:cs="Times New Roman" w:eastAsia="Times New Roman" w:hAnsi="Times New Roman"/>
          <w:sz w:val="18"/>
          <w:szCs w:val="18"/>
          <w:color w:val="auto"/>
        </w:rPr>
        <w:t>Added a weighted-average 1.2 years to the life of loans, which reduced monthly payment amounts for the borrowers.</w:t>
      </w:r>
    </w:p>
    <w:p>
      <w:pPr>
        <w:spacing w:after="0" w:line="1" w:lineRule="exact"/>
        <w:rPr>
          <w:sz w:val="20"/>
          <w:szCs w:val="20"/>
          <w:color w:val="auto"/>
        </w:rPr>
      </w:pPr>
    </w:p>
    <w:p>
      <w:pPr>
        <w:ind w:right="260" w:firstLine="45"/>
        <w:spacing w:after="0" w:line="245" w:lineRule="auto"/>
        <w:rPr>
          <w:sz w:val="20"/>
          <w:szCs w:val="20"/>
          <w:color w:val="auto"/>
        </w:rPr>
      </w:pPr>
      <w:r>
        <w:rPr>
          <w:rFonts w:ascii="Times New Roman" w:cs="Times New Roman" w:eastAsia="Times New Roman" w:hAnsi="Times New Roman"/>
          <w:sz w:val="18"/>
          <w:szCs w:val="18"/>
          <w:color w:val="auto"/>
        </w:rPr>
        <w:t>Added a weighted-average 1.6 years to the life of loans, which reduced monthly payment amounts for the borrowers.</w:t>
      </w:r>
    </w:p>
    <w:p>
      <w:pPr>
        <w:spacing w:after="0" w:line="1" w:lineRule="exact"/>
        <w:rPr>
          <w:sz w:val="20"/>
          <w:szCs w:val="20"/>
          <w:color w:val="auto"/>
        </w:rPr>
      </w:pPr>
    </w:p>
    <w:p>
      <w:pPr>
        <w:sectPr>
          <w:pgSz w:w="11900" w:h="16838" w:orient="portrait"/>
          <w:cols w:equalWidth="0" w:num="2">
            <w:col w:w="5680" w:space="140"/>
            <w:col w:w="542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920" w:type="dxa"/>
            <w:vAlign w:val="bottom"/>
          </w:tcPr>
          <w:p>
            <w:pPr>
              <w:ind w:left="1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11,269</w:t>
            </w:r>
          </w:p>
        </w:tc>
        <w:tc>
          <w:tcPr>
            <w:tcW w:w="7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 Extension and Interest Rate</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7340" w:type="dxa"/>
            <w:vAlign w:val="bottom"/>
            <w:shd w:val="clear" w:color="auto" w:fill="CFF0FC"/>
          </w:tcPr>
          <w:p>
            <w:pPr>
              <w:ind w:left="1920"/>
              <w:spacing w:after="0" w:line="198" w:lineRule="exact"/>
              <w:rPr>
                <w:sz w:val="20"/>
                <w:szCs w:val="20"/>
                <w:color w:val="auto"/>
              </w:rPr>
            </w:pPr>
            <w:r>
              <w:rPr>
                <w:rFonts w:ascii="Times New Roman" w:cs="Times New Roman" w:eastAsia="Times New Roman" w:hAnsi="Times New Roman"/>
                <w:sz w:val="18"/>
                <w:szCs w:val="18"/>
                <w:color w:val="auto"/>
              </w:rPr>
              <w:t>Added a weighted-average 1.4 years to the life of loans, which reduced</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734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0.01%  monthly payment amounts for the borrowers; reduced weighted-average</w:t>
            </w:r>
          </w:p>
        </w:tc>
        <w:tc>
          <w:tcPr>
            <w:tcW w:w="0" w:type="dxa"/>
            <w:vAlign w:val="bottom"/>
          </w:tcPr>
          <w:p>
            <w:pPr>
              <w:spacing w:after="0"/>
              <w:rPr>
                <w:sz w:val="1"/>
                <w:szCs w:val="1"/>
                <w:color w:val="auto"/>
              </w:rPr>
            </w:pPr>
          </w:p>
        </w:tc>
      </w:tr>
      <w:tr>
        <w:trPr>
          <w:trHeight w:val="221"/>
        </w:trPr>
        <w:tc>
          <w:tcPr>
            <w:tcW w:w="29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7340" w:type="dxa"/>
            <w:vAlign w:val="bottom"/>
            <w:tcBorders>
              <w:bottom w:val="single" w:sz="8" w:color="CFF0FC"/>
            </w:tcBorders>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contractual interest rate from 10.00% to 7.25%.</w:t>
            </w:r>
          </w:p>
        </w:tc>
        <w:tc>
          <w:tcPr>
            <w:tcW w:w="0" w:type="dxa"/>
            <w:vAlign w:val="bottom"/>
          </w:tcPr>
          <w:p>
            <w:pPr>
              <w:spacing w:after="0"/>
              <w:rPr>
                <w:sz w:val="1"/>
                <w:szCs w:val="1"/>
                <w:color w:val="auto"/>
              </w:rPr>
            </w:pPr>
          </w:p>
        </w:tc>
      </w:tr>
      <w:tr>
        <w:trPr>
          <w:trHeight w:val="20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7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Modified</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73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3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763"/>
        </w:trPr>
        <w:tc>
          <w:tcPr>
            <w:tcW w:w="2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-1087755</wp:posOffset>
            </wp:positionV>
            <wp:extent cx="6858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-796290</wp:posOffset>
            </wp:positionV>
            <wp:extent cx="6858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-779145</wp:posOffset>
            </wp:positionV>
            <wp:extent cx="685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of</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238"/>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Cost Basis</w:t>
            </w:r>
          </w:p>
        </w:tc>
        <w:tc>
          <w:tcPr>
            <w:tcW w:w="24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0" w:type="dxa"/>
            <w:vAlign w:val="bottom"/>
          </w:tcPr>
          <w:p>
            <w:pPr>
              <w:spacing w:after="0"/>
              <w:rPr>
                <w:sz w:val="1"/>
                <w:szCs w:val="1"/>
                <w:color w:val="auto"/>
              </w:rPr>
            </w:pPr>
          </w:p>
        </w:tc>
      </w:tr>
      <w:tr>
        <w:trPr>
          <w:trHeight w:val="187"/>
        </w:trPr>
        <w:tc>
          <w:tcPr>
            <w:tcW w:w="2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13716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2743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50583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360" w:firstLine="45"/>
        <w:spacing w:after="0" w:line="261" w:lineRule="auto"/>
        <w:rPr>
          <w:sz w:val="20"/>
          <w:szCs w:val="20"/>
          <w:color w:val="auto"/>
        </w:rPr>
      </w:pPr>
      <w:r>
        <w:rPr>
          <w:rFonts w:ascii="Times New Roman" w:cs="Times New Roman" w:eastAsia="Times New Roman" w:hAnsi="Times New Roman"/>
          <w:sz w:val="18"/>
          <w:szCs w:val="18"/>
          <w:color w:val="auto"/>
        </w:rPr>
        <w:t>Added a weighted-average 1.3 years to the life of loans, which reduced monthly payment amounts for the borrowers.</w:t>
      </w:r>
    </w:p>
    <w:p>
      <w:pPr>
        <w:ind w:right="360" w:firstLine="45"/>
        <w:spacing w:after="0" w:line="250" w:lineRule="auto"/>
        <w:rPr>
          <w:sz w:val="20"/>
          <w:szCs w:val="20"/>
          <w:color w:val="auto"/>
        </w:rPr>
      </w:pPr>
      <w:r>
        <w:rPr>
          <w:rFonts w:ascii="Times New Roman" w:cs="Times New Roman" w:eastAsia="Times New Roman" w:hAnsi="Times New Roman"/>
          <w:sz w:val="18"/>
          <w:szCs w:val="18"/>
          <w:color w:val="auto"/>
        </w:rPr>
        <w:t>Added a weighted-average 0.7 years to the life of loans, which reduced monthly payment amounts for the borrowers.</w:t>
      </w:r>
    </w:p>
    <w:p>
      <w:pPr>
        <w:spacing w:after="0" w:line="1" w:lineRule="exact"/>
        <w:rPr>
          <w:sz w:val="20"/>
          <w:szCs w:val="20"/>
          <w:color w:val="auto"/>
        </w:rPr>
      </w:pPr>
    </w:p>
    <w:p>
      <w:pPr>
        <w:ind w:right="360" w:firstLine="45"/>
        <w:spacing w:after="0" w:line="245" w:lineRule="auto"/>
        <w:rPr>
          <w:sz w:val="20"/>
          <w:szCs w:val="20"/>
          <w:color w:val="auto"/>
        </w:rPr>
      </w:pPr>
      <w:r>
        <w:rPr>
          <w:rFonts w:ascii="Times New Roman" w:cs="Times New Roman" w:eastAsia="Times New Roman" w:hAnsi="Times New Roman"/>
          <w:sz w:val="18"/>
          <w:szCs w:val="18"/>
          <w:color w:val="auto"/>
        </w:rPr>
        <w:t>Added a weighted-average 0.6 years to the life of loans, which reduced monthly payment amounts for the borrowers.</w:t>
      </w:r>
    </w:p>
    <w:p>
      <w:pPr>
        <w:spacing w:after="0" w:line="16" w:lineRule="exact"/>
        <w:rPr>
          <w:sz w:val="20"/>
          <w:szCs w:val="20"/>
          <w:color w:val="auto"/>
        </w:rPr>
      </w:pPr>
    </w:p>
    <w:p>
      <w:pPr>
        <w:sectPr>
          <w:pgSz w:w="11900" w:h="16838" w:orient="portrait"/>
          <w:cols w:equalWidth="0" w:num="2">
            <w:col w:w="5580" w:space="140"/>
            <w:col w:w="5520"/>
          </w:cols>
          <w:pgMar w:left="320" w:top="1305"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6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9,837</w:t>
            </w:r>
          </w:p>
        </w:tc>
        <w:tc>
          <w:tcPr>
            <w:tcW w:w="7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3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 Extension and Interest Rate</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7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340" w:type="dxa"/>
            <w:vAlign w:val="bottom"/>
          </w:tcPr>
          <w:p>
            <w:pPr>
              <w:ind w:left="1860"/>
              <w:spacing w:after="0" w:line="198" w:lineRule="exact"/>
              <w:rPr>
                <w:sz w:val="20"/>
                <w:szCs w:val="20"/>
                <w:color w:val="auto"/>
              </w:rPr>
            </w:pPr>
            <w:r>
              <w:rPr>
                <w:rFonts w:ascii="Times New Roman" w:cs="Times New Roman" w:eastAsia="Times New Roman" w:hAnsi="Times New Roman"/>
                <w:sz w:val="18"/>
                <w:szCs w:val="18"/>
                <w:color w:val="auto"/>
              </w:rPr>
              <w:t>Added a weighted-average 7.6 years to the life of loans, which reduced</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73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0.01%  monthly payment amounts for the borrowers; reduced weighted-average</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3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contractual interest rate from 10% to 7.25%.</w:t>
            </w:r>
          </w:p>
        </w:tc>
        <w:tc>
          <w:tcPr>
            <w:tcW w:w="0" w:type="dxa"/>
            <w:vAlign w:val="bottom"/>
          </w:tcPr>
          <w:p>
            <w:pPr>
              <w:spacing w:after="0"/>
              <w:rPr>
                <w:sz w:val="1"/>
                <w:szCs w:val="1"/>
                <w:color w:val="auto"/>
              </w:rPr>
            </w:pPr>
          </w:p>
        </w:tc>
      </w:tr>
      <w:tr>
        <w:trPr>
          <w:trHeight w:val="198"/>
        </w:trPr>
        <w:tc>
          <w:tcPr>
            <w:tcW w:w="2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7340" w:type="dxa"/>
            <w:vAlign w:val="bottom"/>
            <w:shd w:val="clear" w:color="auto" w:fill="CFF0FC"/>
          </w:tcPr>
          <w:p>
            <w:pPr>
              <w:ind w:left="1860"/>
              <w:spacing w:after="0" w:line="198" w:lineRule="exact"/>
              <w:rPr>
                <w:sz w:val="20"/>
                <w:szCs w:val="20"/>
                <w:color w:val="auto"/>
              </w:rPr>
            </w:pPr>
            <w:r>
              <w:rPr>
                <w:rFonts w:ascii="Times New Roman" w:cs="Times New Roman" w:eastAsia="Times New Roman" w:hAnsi="Times New Roman"/>
                <w:sz w:val="18"/>
                <w:szCs w:val="18"/>
                <w:color w:val="auto"/>
              </w:rPr>
              <w:t>Added a weighted-average 2.0 years to the life of loans, which reduced</w:t>
            </w: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734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0.00%  monthly payment amounts for the borrowers; reduced weighted-average</w:t>
            </w:r>
          </w:p>
        </w:tc>
        <w:tc>
          <w:tcPr>
            <w:tcW w:w="0" w:type="dxa"/>
            <w:vAlign w:val="bottom"/>
          </w:tcPr>
          <w:p>
            <w:pPr>
              <w:spacing w:after="0"/>
              <w:rPr>
                <w:sz w:val="1"/>
                <w:szCs w:val="1"/>
                <w:color w:val="auto"/>
              </w:rPr>
            </w:pPr>
          </w:p>
        </w:tc>
      </w:tr>
      <w:tr>
        <w:trPr>
          <w:trHeight w:val="221"/>
        </w:trPr>
        <w:tc>
          <w:tcPr>
            <w:tcW w:w="2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7340" w:type="dxa"/>
            <w:vAlign w:val="bottom"/>
            <w:tcBorders>
              <w:bottom w:val="single" w:sz="8" w:color="CFF0FC"/>
            </w:tcBorders>
            <w:shd w:val="clear" w:color="auto" w:fill="CFF0FC"/>
          </w:tcPr>
          <w:p>
            <w:pPr>
              <w:ind w:left="1820"/>
              <w:spacing w:after="0"/>
              <w:rPr>
                <w:sz w:val="20"/>
                <w:szCs w:val="20"/>
                <w:color w:val="auto"/>
              </w:rPr>
            </w:pPr>
            <w:r>
              <w:rPr>
                <w:rFonts w:ascii="Times New Roman" w:cs="Times New Roman" w:eastAsia="Times New Roman" w:hAnsi="Times New Roman"/>
                <w:sz w:val="18"/>
                <w:szCs w:val="18"/>
                <w:color w:val="auto"/>
              </w:rPr>
              <w:t>contractual interest rate from 8.75% to 7.75%.</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7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Modified</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7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73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-1550670</wp:posOffset>
            </wp:positionV>
            <wp:extent cx="6858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-316865</wp:posOffset>
            </wp:positionV>
            <wp:extent cx="6858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-25400</wp:posOffset>
            </wp:positionV>
            <wp:extent cx="685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6858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20" w:firstLine="464"/>
        <w:spacing w:after="0" w:line="266" w:lineRule="auto"/>
        <w:rPr>
          <w:sz w:val="20"/>
          <w:szCs w:val="20"/>
          <w:color w:val="auto"/>
        </w:rPr>
      </w:pPr>
      <w:r>
        <w:rPr>
          <w:rFonts w:ascii="Times New Roman" w:cs="Times New Roman" w:eastAsia="Times New Roman" w:hAnsi="Times New Roman"/>
          <w:sz w:val="18"/>
          <w:szCs w:val="18"/>
          <w:color w:val="auto"/>
        </w:rPr>
        <w:t>As of March 31, 2025 and March 31, 2024, the Company did not have any loans made to borrowers experiencing financial difficulty that were modified during the first quarter of 2025 and 2024 that subsequently defaulted. Payment default is defined as movement to nonaccrual (nonperforming) status, foreclosure or charge-off, whichever occurs first.</w:t>
      </w:r>
    </w:p>
    <w:p>
      <w:pPr>
        <w:spacing w:after="0" w:line="176"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March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30-89 Days</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6"/>
                <w:szCs w:val="16"/>
                <w:color w:val="auto"/>
              </w:rPr>
            </w:pPr>
          </w:p>
        </w:tc>
      </w:tr>
      <w:tr>
        <w:trPr>
          <w:trHeight w:val="238"/>
        </w:trPr>
        <w:tc>
          <w:tcPr>
            <w:tcW w:w="4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10"/>
        </w:trPr>
        <w:tc>
          <w:tcPr>
            <w:tcW w:w="4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00" w:type="dxa"/>
            <w:vAlign w:val="bottom"/>
            <w:shd w:val="clear" w:color="auto" w:fill="CFF0FC"/>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469"/>
        <w:spacing w:after="0" w:line="257" w:lineRule="auto"/>
        <w:rPr>
          <w:sz w:val="20"/>
          <w:szCs w:val="20"/>
          <w:color w:val="auto"/>
        </w:rPr>
      </w:pPr>
      <w:r>
        <w:rPr>
          <w:rFonts w:ascii="Times New Roman" w:cs="Times New Roman" w:eastAsia="Times New Roman" w:hAnsi="Times New Roman"/>
          <w:sz w:val="18"/>
          <w:szCs w:val="18"/>
          <w:color w:val="auto"/>
        </w:rPr>
        <w:t>At March 31, 2025 and December 31, 2024,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three months ended March 31, 2025 and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w w:val="94"/>
              </w:rPr>
              <w:t>(Dollars 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Borders>
              <w:bottom w:val="single" w:sz="8" w:color="auto"/>
            </w:tcBorders>
            <w:gridSpan w:val="2"/>
            <w:shd w:val="clear" w:color="auto" w:fill="CFF0FC"/>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Nonperforming loans:</w:t>
            </w:r>
          </w:p>
        </w:tc>
        <w:tc>
          <w:tcPr>
            <w:tcW w:w="2260" w:type="dxa"/>
            <w:vAlign w:val="bottom"/>
            <w:tcBorders>
              <w:bottom w:val="single" w:sz="8" w:color="CFF0FC"/>
              <w:right w:val="single" w:sz="8" w:color="CFF0FC"/>
            </w:tcBorders>
            <w:gridSpan w:val="2"/>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24,379</w:t>
            </w:r>
          </w:p>
        </w:tc>
        <w:tc>
          <w:tcPr>
            <w:tcW w:w="3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25,866</w:t>
            </w:r>
          </w:p>
        </w:tc>
        <w:tc>
          <w:tcPr>
            <w:tcW w:w="22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18,794</w:t>
            </w:r>
          </w:p>
        </w:tc>
        <w:tc>
          <w:tcPr>
            <w:tcW w:w="280" w:type="dxa"/>
            <w:vAlign w:val="bottom"/>
          </w:tcPr>
          <w:p>
            <w:pPr>
              <w:spacing w:after="0"/>
              <w:rPr>
                <w:sz w:val="12"/>
                <w:szCs w:val="12"/>
                <w:color w:val="auto"/>
              </w:rPr>
            </w:pPr>
          </w:p>
        </w:tc>
        <w:tc>
          <w:tcPr>
            <w:tcW w:w="360" w:type="dxa"/>
            <w:vAlign w:val="bottom"/>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21,908</w:t>
            </w:r>
          </w:p>
        </w:tc>
        <w:tc>
          <w:tcPr>
            <w:tcW w:w="220" w:type="dxa"/>
            <w:vAlign w:val="bottom"/>
          </w:tcPr>
          <w:p>
            <w:pPr>
              <w:spacing w:after="0"/>
              <w:rPr>
                <w:sz w:val="12"/>
                <w:szCs w:val="12"/>
                <w:color w:val="auto"/>
              </w:rPr>
            </w:pPr>
          </w:p>
        </w:tc>
        <w:tc>
          <w:tcPr>
            <w:tcW w:w="2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Borders>
              <w:right w:val="single" w:sz="8" w:color="CFF0FC"/>
            </w:tcBorders>
            <w:gridSpan w:val="4"/>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Borders>
              <w:right w:val="single" w:sz="8" w:color="CFF0FC"/>
            </w:tcBorders>
            <w:gridSpan w:val="4"/>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2,825</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Borders>
              <w:right w:val="single" w:sz="8" w:color="CFF0FC"/>
            </w:tcBorders>
            <w:gridSpan w:val="4"/>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right w:val="single" w:sz="8" w:color="CFF0FC"/>
            </w:tcBorders>
            <w:gridSpan w:val="4"/>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25,636</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27,795</w:t>
            </w:r>
          </w:p>
        </w:tc>
        <w:tc>
          <w:tcPr>
            <w:tcW w:w="2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21,913</w:t>
            </w:r>
          </w:p>
        </w:tc>
        <w:tc>
          <w:tcPr>
            <w:tcW w:w="2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24,957</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13,810</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7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0.31%</w:t>
            </w:r>
          </w:p>
        </w:tc>
        <w:tc>
          <w:tcPr>
            <w:tcW w:w="12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0.33%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0.26%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0.29%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0.16%</w:t>
            </w:r>
          </w:p>
        </w:tc>
        <w:tc>
          <w:tcPr>
            <w:tcW w:w="0" w:type="dxa"/>
            <w:vAlign w:val="bottom"/>
          </w:tcPr>
          <w:p>
            <w:pPr>
              <w:spacing w:after="0"/>
              <w:rPr>
                <w:sz w:val="1"/>
                <w:szCs w:val="1"/>
                <w:color w:val="auto"/>
              </w:rPr>
            </w:pPr>
          </w:p>
        </w:tc>
      </w:tr>
      <w:tr>
        <w:trPr>
          <w:trHeight w:val="107"/>
        </w:trPr>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Borders>
              <w:bottom w:val="single" w:sz="8" w:color="auto"/>
            </w:tcBorders>
            <w:gridSpan w:val="3"/>
            <w:shd w:val="clear" w:color="auto" w:fill="CFF0FC"/>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Past due 30-89 days (accruing):</w:t>
            </w:r>
          </w:p>
        </w:tc>
        <w:tc>
          <w:tcPr>
            <w:tcW w:w="170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30,701</w:t>
            </w:r>
          </w:p>
        </w:tc>
        <w:tc>
          <w:tcPr>
            <w:tcW w:w="280" w:type="dxa"/>
            <w:vAlign w:val="bottom"/>
          </w:tcPr>
          <w:p>
            <w:pPr>
              <w:spacing w:after="0"/>
              <w:rPr>
                <w:sz w:val="12"/>
                <w:szCs w:val="12"/>
                <w:color w:val="auto"/>
              </w:rPr>
            </w:pPr>
          </w:p>
        </w:tc>
        <w:tc>
          <w:tcPr>
            <w:tcW w:w="360" w:type="dxa"/>
            <w:vAlign w:val="bottom"/>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2"/>
                <w:szCs w:val="12"/>
                <w:color w:val="auto"/>
              </w:rPr>
            </w:pPr>
          </w:p>
        </w:tc>
        <w:tc>
          <w:tcPr>
            <w:tcW w:w="2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Borders>
              <w:right w:val="single" w:sz="8" w:color="CFF0FC"/>
            </w:tcBorders>
            <w:gridSpan w:val="4"/>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Borders>
              <w:right w:val="single" w:sz="8" w:color="CFF0FC"/>
            </w:tcBorders>
            <w:gridSpan w:val="4"/>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16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tcBorders>
              <w:right w:val="single" w:sz="8" w:color="CFF0FC"/>
            </w:tcBorders>
            <w:gridSpan w:val="4"/>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right w:val="single" w:sz="8" w:color="CFF0FC"/>
            </w:tcBorders>
            <w:gridSpan w:val="4"/>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718</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487</w:t>
            </w:r>
          </w:p>
        </w:tc>
        <w:tc>
          <w:tcPr>
            <w:tcW w:w="2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30,765</w:t>
            </w:r>
          </w:p>
        </w:tc>
        <w:tc>
          <w:tcPr>
            <w:tcW w:w="2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20,195</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7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0.01%</w:t>
            </w:r>
          </w:p>
        </w:tc>
        <w:tc>
          <w:tcPr>
            <w:tcW w:w="12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0.01%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0.36%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0.23%</w:t>
            </w:r>
          </w:p>
        </w:tc>
        <w:tc>
          <w:tcPr>
            <w:tcW w:w="0" w:type="dxa"/>
            <w:vAlign w:val="bottom"/>
          </w:tcPr>
          <w:p>
            <w:pPr>
              <w:spacing w:after="0"/>
              <w:rPr>
                <w:sz w:val="1"/>
                <w:szCs w:val="1"/>
                <w:color w:val="auto"/>
              </w:rPr>
            </w:pPr>
          </w:p>
        </w:tc>
      </w:tr>
      <w:tr>
        <w:trPr>
          <w:trHeight w:val="107"/>
        </w:trPr>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auto"/>
            </w:tcBorders>
            <w:shd w:val="clear" w:color="auto" w:fill="CFF0FC"/>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OREO:</w:t>
            </w:r>
          </w:p>
        </w:tc>
        <w:tc>
          <w:tcPr>
            <w:tcW w:w="3160" w:type="dxa"/>
            <w:vAlign w:val="bottom"/>
            <w:tcBorders>
              <w:bottom w:val="single" w:sz="8" w:color="CFF0FC"/>
              <w:right w:val="single" w:sz="8" w:color="CFF0FC"/>
            </w:tcBorders>
            <w:gridSpan w:val="3"/>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495</w:t>
            </w:r>
          </w:p>
        </w:tc>
        <w:tc>
          <w:tcPr>
            <w:tcW w:w="3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18,656</w:t>
            </w:r>
          </w:p>
        </w:tc>
        <w:tc>
          <w:tcPr>
            <w:tcW w:w="22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40" w:type="dxa"/>
            <w:vAlign w:val="bottom"/>
            <w:tcBorders>
              <w:right w:val="single" w:sz="8" w:color="CFF0FC"/>
            </w:tcBorders>
            <w:gridSpan w:val="4"/>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right w:val="single" w:sz="8" w:color="CFF0FC"/>
            </w:tcBorders>
            <w:gridSpan w:val="4"/>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495</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19,303</w:t>
            </w:r>
          </w:p>
        </w:tc>
        <w:tc>
          <w:tcPr>
            <w:tcW w:w="2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w:t>
            </w:r>
          </w:p>
        </w:tc>
        <w:tc>
          <w:tcPr>
            <w:tcW w:w="2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top w:val="single" w:sz="8" w:color="CFF0FC"/>
              <w:bottom w:val="single" w:sz="8" w:color="CFF0FC"/>
            </w:tcBorders>
            <w:gridSpan w:val="4"/>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nonperforming, past due, and OREO</w:t>
            </w: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26,849</w:t>
            </w:r>
          </w:p>
        </w:tc>
        <w:tc>
          <w:tcPr>
            <w:tcW w:w="3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47,585</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53,325</w:t>
            </w:r>
          </w:p>
        </w:tc>
        <w:tc>
          <w:tcPr>
            <w:tcW w:w="280" w:type="dxa"/>
            <w:vAlign w:val="bottom"/>
            <w:tcBorders>
              <w:top w:val="single" w:sz="8" w:color="CFF0FC"/>
            </w:tcBorders>
          </w:tcPr>
          <w:p>
            <w:pPr>
              <w:spacing w:after="0"/>
              <w:rPr>
                <w:sz w:val="12"/>
                <w:szCs w:val="12"/>
                <w:color w:val="auto"/>
              </w:rPr>
            </w:pPr>
          </w:p>
        </w:tc>
        <w:tc>
          <w:tcPr>
            <w:tcW w:w="16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25,750</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34,652</w:t>
            </w:r>
          </w:p>
        </w:tc>
        <w:tc>
          <w:tcPr>
            <w:tcW w:w="1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40" w:type="dxa"/>
            <w:vAlign w:val="bottom"/>
            <w:tcBorders>
              <w:right w:val="single" w:sz="8" w:color="CFF0FC"/>
            </w:tcBorders>
            <w:gridSpan w:val="4"/>
            <w:shd w:val="clear" w:color="auto" w:fill="CFF0FC"/>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0.32%</w:t>
            </w: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0.25%</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0.62%</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0.30%</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0.40%</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Classified Loans</w:t>
            </w: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94,169</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89,549</w:t>
            </w: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124,606</w:t>
            </w:r>
          </w:p>
        </w:tc>
        <w:tc>
          <w:tcPr>
            <w:tcW w:w="2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124,728</w:t>
            </w: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103,080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-2176780</wp:posOffset>
            </wp:positionV>
            <wp:extent cx="10287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-2176780</wp:posOffset>
            </wp:positionV>
            <wp:extent cx="10287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-2176780</wp:posOffset>
            </wp:positionV>
            <wp:extent cx="10287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-2176780</wp:posOffset>
            </wp:positionV>
            <wp:extent cx="10287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-2176780</wp:posOffset>
            </wp:positionV>
            <wp:extent cx="10287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-1122045</wp:posOffset>
            </wp:positionV>
            <wp:extent cx="10287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-1122045</wp:posOffset>
            </wp:positionV>
            <wp:extent cx="10287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-1122045</wp:posOffset>
            </wp:positionV>
            <wp:extent cx="10287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-1122045</wp:posOffset>
            </wp:positionV>
            <wp:extent cx="10287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-1122045</wp:posOffset>
            </wp:positionV>
            <wp:extent cx="10287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-445135</wp:posOffset>
            </wp:positionV>
            <wp:extent cx="10287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-445135</wp:posOffset>
            </wp:positionV>
            <wp:extent cx="10287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-445135</wp:posOffset>
            </wp:positionV>
            <wp:extent cx="10287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-445135</wp:posOffset>
            </wp:positionV>
            <wp:extent cx="10287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-445135</wp:posOffset>
            </wp:positionV>
            <wp:extent cx="10287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Nonperforming loans, defined as nonaccrual loans, including modified loans on nonaccrual, and loans past due 90 days or more and still accruing interest, were $25.6 million at March 31, 2025, or 0.31% of total loans. This compares to nonperforming loans of $27.8 million, or 0.33% of total loans, at December 31, 2024 and $13.8 million, or 0.16% of total loans, at March 31, 2024. The $2.2 million decrease in nonperforming loans from December 31, 2024 was primarily due to the payoff of two nonperforming commercial real estate loans totaling $764 thousand, and various paydowns.</w:t>
      </w:r>
    </w:p>
    <w:p>
      <w:pPr>
        <w:spacing w:after="0" w:line="180" w:lineRule="exact"/>
        <w:rPr>
          <w:sz w:val="20"/>
          <w:szCs w:val="20"/>
          <w:color w:val="auto"/>
        </w:rPr>
      </w:pPr>
    </w:p>
    <w:p>
      <w:pPr>
        <w:ind w:right="400" w:firstLine="469"/>
        <w:spacing w:after="0" w:line="282" w:lineRule="auto"/>
        <w:rPr>
          <w:sz w:val="20"/>
          <w:szCs w:val="20"/>
          <w:color w:val="auto"/>
        </w:rPr>
      </w:pPr>
      <w:r>
        <w:rPr>
          <w:rFonts w:ascii="Times New Roman" w:cs="Times New Roman" w:eastAsia="Times New Roman" w:hAnsi="Times New Roman"/>
          <w:sz w:val="18"/>
          <w:szCs w:val="18"/>
          <w:color w:val="auto"/>
        </w:rPr>
        <w:t>Classified loans are loans that are graded “substandard” or worse. Classified loans increased $4.6 million quarter-over-quarter, primarily due to increases of $6.5 million in classified dairy and livestock loans, offset with a $1.3 million decline in commercial real estate loans.</w:t>
      </w:r>
    </w:p>
    <w:p>
      <w:pPr>
        <w:spacing w:after="0" w:line="162"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At March 31, 2025, we had one OREO property totaling $495,000. At December 31, 2024 we had four OREO properties totaling $19.3 million. In the first quarter of 2025, we sold four properties with a total book value of $19.3 million. These sales resulted in gains on sale of approximately $2.0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The allowance for credit losses totaled $78.3 million as of March 31, 2025, compared to $80.1 million as of December 31, 2024 and $82.8 million as of March 31, 2024. Our allowance for credit losses at March 31, 2025 was 0.94% of total loans. This compares to 0.94% and 0.94% at December 31, 2024 and March 31, 2024, respectively. The decrease in our allowance for credit losses from December 31, 2024 was due to a $2 million recapture of credit losses primarily due to lower amounts of criticized dairy and livestock loans at March 31, 2025.</w:t>
      </w:r>
    </w:p>
    <w:p>
      <w:pPr>
        <w:spacing w:after="0" w:line="180" w:lineRule="exact"/>
        <w:rPr>
          <w:sz w:val="20"/>
          <w:szCs w:val="20"/>
          <w:color w:val="auto"/>
        </w:rPr>
      </w:pPr>
    </w:p>
    <w:p>
      <w:pPr>
        <w:ind w:right="420" w:firstLine="469"/>
        <w:spacing w:after="0" w:line="261" w:lineRule="auto"/>
        <w:rPr>
          <w:sz w:val="20"/>
          <w:szCs w:val="20"/>
          <w:color w:val="auto"/>
        </w:rPr>
      </w:pPr>
      <w:r>
        <w:rPr>
          <w:rFonts w:ascii="Times New Roman" w:cs="Times New Roman" w:eastAsia="Times New Roman" w:hAnsi="Times New Roman"/>
          <w:sz w:val="18"/>
          <w:szCs w:val="18"/>
          <w:color w:val="auto"/>
        </w:rPr>
        <w:t>The allowance for credit losses as of March 31, 2025 is based upon lifetime loss rate models developed from an estimation framework that uses historical lifetime loss experiences to derive loss rates at a collective pool level. We measure</w:t>
      </w: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1" w:name="page62"/>
    <w:bookmarkEnd w:id="61"/>
    <w:p>
      <w:pPr>
        <w:spacing w:after="0" w:line="252" w:lineRule="auto"/>
        <w:rPr>
          <w:sz w:val="20"/>
          <w:szCs w:val="20"/>
          <w:color w:val="auto"/>
        </w:rPr>
      </w:pPr>
      <w:r>
        <w:rPr>
          <w:rFonts w:ascii="Times New Roman" w:cs="Times New Roman" w:eastAsia="Times New Roman" w:hAnsi="Times New Roman"/>
          <w:sz w:val="18"/>
          <w:szCs w:val="18"/>
          <w:color w:val="auto"/>
        </w:rPr>
        <w:t>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97" w:lineRule="exact"/>
        <w:rPr>
          <w:sz w:val="20"/>
          <w:szCs w:val="20"/>
          <w:color w:val="auto"/>
        </w:rPr>
      </w:pPr>
    </w:p>
    <w:p>
      <w:pPr>
        <w:jc w:val="both"/>
        <w:ind w:right="160" w:firstLine="469"/>
        <w:spacing w:after="0" w:line="258" w:lineRule="auto"/>
        <w:rPr>
          <w:sz w:val="20"/>
          <w:szCs w:val="20"/>
          <w:color w:val="auto"/>
        </w:rPr>
      </w:pPr>
      <w:r>
        <w:rPr>
          <w:rFonts w:ascii="Times New Roman" w:cs="Times New Roman" w:eastAsia="Times New Roman" w:hAnsi="Times New Roman"/>
          <w:sz w:val="18"/>
          <w:szCs w:val="18"/>
          <w:color w:val="auto"/>
        </w:rPr>
        <w:t>Our economic forecast continues to be a blend of multiple forecasts produced by Moody’s. The baseline forecast continues to represent the largest weighting in our multi-weighted forecast scenario, with downside risks weighted among multiple forecasts. As of March 31, 2025, the resulting weighted forecast resulted in Real GDP growth increase at a slower rate. Real GDP forecasted to be below 2% for the remainder of 2025 until reaching a growth in the second half of 2026. Commercial real estate values are forecasted to continue their decline through the first half of 2026. Unemployment is forecasted to rise in 2025 and reach 5% by the beginning of 2026 and stay elevated through 2028.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charge-offs and recoveries by type, the provision for credit losses on loans, and the resulting allowance for credit losses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08"/>
        </w:trPr>
        <w:tc>
          <w:tcPr>
            <w:tcW w:w="6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w:t>
            </w:r>
          </w:p>
        </w:tc>
        <w:tc>
          <w:tcPr>
            <w:tcW w:w="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76"/>
              </w:rPr>
              <w:t>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80,122</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86,842</w:t>
            </w:r>
          </w:p>
        </w:tc>
        <w:tc>
          <w:tcPr>
            <w:tcW w:w="1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(2,258)</w:t>
            </w: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SBA</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(1,917)</w:t>
            </w: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SFR mortgage</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14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charge-offs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(4,267)</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SBA</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FF0FC"/>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SFR mortgage</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recoveries</w:t>
            </w: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recoveries (charge-offs)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(4,025)</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(Recapture of) provision for credit losses</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4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78,252</w:t>
            </w:r>
          </w:p>
        </w:tc>
        <w:tc>
          <w:tcPr>
            <w:tcW w:w="26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82,817</w:t>
            </w:r>
          </w:p>
        </w:tc>
        <w:tc>
          <w:tcPr>
            <w:tcW w:w="1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Summary of reserve for unfunded loan commitments:</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unfunded loan commitments at beginning of period</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6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Provision for unfunded loan commitments</w:t>
            </w: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unfunded loan commitments at end of period</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6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8"/>
        </w:trPr>
        <w:tc>
          <w:tcPr>
            <w:tcW w:w="61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Reserve for unfunded loan commitments to total unfunded loan</w:t>
            </w: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6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commitments</w:t>
            </w:r>
          </w:p>
        </w:tc>
        <w:tc>
          <w:tcPr>
            <w:tcW w:w="14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Amount of total loans at end of period (1)</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8,363,632</w:t>
            </w:r>
          </w:p>
        </w:tc>
        <w:tc>
          <w:tcPr>
            <w:tcW w:w="260" w:type="dxa"/>
            <w:vAlign w:val="bottom"/>
          </w:tcPr>
          <w:p>
            <w:pPr>
              <w:spacing w:after="0"/>
              <w:rPr>
                <w:sz w:val="24"/>
                <w:szCs w:val="2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8,770,713</w:t>
            </w:r>
          </w:p>
        </w:tc>
        <w:tc>
          <w:tcPr>
            <w:tcW w:w="180" w:type="dxa"/>
            <w:vAlign w:val="bottom"/>
          </w:tcPr>
          <w:p>
            <w:pPr>
              <w:spacing w:after="0"/>
              <w:rPr>
                <w:sz w:val="24"/>
                <w:szCs w:val="24"/>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total loans outstanding (1)</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8,467,465</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8,824,579</w:t>
            </w:r>
          </w:p>
        </w:tc>
        <w:tc>
          <w:tcPr>
            <w:tcW w:w="180" w:type="dxa"/>
            <w:vAlign w:val="bottom"/>
            <w:shd w:val="clear" w:color="auto" w:fill="CFF0FC"/>
          </w:tcPr>
          <w:p>
            <w:pPr>
              <w:spacing w:after="0"/>
              <w:rPr>
                <w:sz w:val="18"/>
                <w:szCs w:val="18"/>
                <w:color w:val="auto"/>
              </w:rPr>
            </w:pP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to average total loans</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to total loans at end of period</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to average total loans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0.94%</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to total loans at end of period</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recoveries (charge-offs) to allowance for credit losses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(charge-offs) recoveries to provision for credit losses</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-4354195</wp:posOffset>
            </wp:positionV>
            <wp:extent cx="1117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-4354195</wp:posOffset>
            </wp:positionV>
            <wp:extent cx="11176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-2956560</wp:posOffset>
            </wp:positionV>
            <wp:extent cx="11176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-2956560</wp:posOffset>
            </wp:positionV>
            <wp:extent cx="11176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-2673985</wp:posOffset>
            </wp:positionV>
            <wp:extent cx="11176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-2673985</wp:posOffset>
            </wp:positionV>
            <wp:extent cx="11176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-1953895</wp:posOffset>
            </wp:positionV>
            <wp:extent cx="1117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-1953895</wp:posOffset>
            </wp:positionV>
            <wp:extent cx="11176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0" w:lineRule="exact"/>
        <w:rPr>
          <w:sz w:val="20"/>
          <w:szCs w:val="20"/>
          <w:color w:val="auto"/>
        </w:rPr>
      </w:pPr>
    </w:p>
    <w:p>
      <w:pPr>
        <w:ind w:left="1220" w:hanging="463"/>
        <w:spacing w:after="0"/>
        <w:tabs>
          <w:tab w:leader="none" w:pos="1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loan origination fees, costs and discounts (amortized cost).</w:t>
      </w:r>
    </w:p>
    <w:p>
      <w:pPr>
        <w:spacing w:after="0" w:line="208"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The Bank’s ACL methodology also produced an allowance of $6.8 million for our off-balance sheet credit exposures as of March 31, 2025, compared with $6.3 million and $7.5 million as of December 31, 2024 and March 31, 2024, respectively. The increase from December 31, 2024 was due to a $500,000 provision for unfunded loan commitments for the first quarter of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140" w:firstLine="469"/>
        <w:spacing w:after="0" w:line="261" w:lineRule="auto"/>
        <w:rPr>
          <w:sz w:val="20"/>
          <w:szCs w:val="20"/>
          <w:color w:val="auto"/>
        </w:rPr>
      </w:pPr>
      <w:r>
        <w:rPr>
          <w:rFonts w:ascii="Times New Roman" w:cs="Times New Roman" w:eastAsia="Times New Roman" w:hAnsi="Times New Roman"/>
          <w:sz w:val="18"/>
          <w:szCs w:val="18"/>
          <w:color w:val="auto"/>
        </w:rPr>
        <w:t>While we believe that the allowance at March 31, 2025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80" w:lineRule="exact"/>
        <w:rPr>
          <w:sz w:val="20"/>
          <w:szCs w:val="20"/>
          <w:color w:val="auto"/>
        </w:rPr>
      </w:pPr>
    </w:p>
    <w:p>
      <w:pPr>
        <w:ind w:right="200" w:firstLine="469"/>
        <w:spacing w:after="0" w:line="258" w:lineRule="auto"/>
        <w:rPr>
          <w:sz w:val="20"/>
          <w:szCs w:val="20"/>
          <w:color w:val="auto"/>
        </w:rPr>
      </w:pPr>
      <w:r>
        <w:rPr>
          <w:rFonts w:ascii="Times New Roman" w:cs="Times New Roman" w:eastAsia="Times New Roman" w:hAnsi="Times New Roman"/>
          <w:sz w:val="18"/>
          <w:szCs w:val="18"/>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contained in our Annual Report on Form 10-K for the year ended December 31, 2024.</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225"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Total deposits were $11.99 billion at March 31, 2025. This represented an increase of $41.5 million, or 0.35%, from total deposits of $11.95 billion at December 31, 2024.</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composition of deposits is summarized as of the dates presented in the table below.</w:t>
      </w:r>
    </w:p>
    <w:p>
      <w:pPr>
        <w:sectPr>
          <w:pgSz w:w="11900" w:h="16838" w:orient="portrait"/>
          <w:cols w:equalWidth="0" w:num="1">
            <w:col w:w="11240"/>
          </w:cols>
          <w:pgMar w:left="320" w:top="1093" w:right="339" w:bottom="1440" w:gutter="0" w:footer="0" w:header="0"/>
        </w:sectPr>
      </w:pP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19685</wp:posOffset>
            </wp:positionV>
            <wp:extent cx="22199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 w:lineRule="exact"/>
        <w:rPr>
          <w:sz w:val="20"/>
          <w:szCs w:val="20"/>
          <w:color w:val="auto"/>
        </w:rPr>
      </w:pPr>
    </w:p>
    <w:p>
      <w:pPr>
        <w:ind w:left="4820"/>
        <w:spacing w:after="0"/>
        <w:tabs>
          <w:tab w:leader="none" w:pos="6620" w:val="left"/>
        </w:tabs>
        <w:rPr>
          <w:sz w:val="20"/>
          <w:szCs w:val="20"/>
          <w:color w:val="auto"/>
        </w:rPr>
      </w:pPr>
      <w:r>
        <w:rPr>
          <w:rFonts w:ascii="Times New Roman" w:cs="Times New Roman" w:eastAsia="Times New Roman" w:hAnsi="Times New Roman"/>
          <w:sz w:val="17"/>
          <w:szCs w:val="17"/>
          <w:b w:val="1"/>
          <w:bCs w:val="1"/>
          <w:color w:val="auto"/>
        </w:rPr>
        <w:t>Balance</w:t>
      </w:r>
      <w:r>
        <w:rPr>
          <w:sz w:val="20"/>
          <w:szCs w:val="20"/>
          <w:color w:val="auto"/>
        </w:rPr>
        <w:tab/>
      </w:r>
      <w:r>
        <w:rPr>
          <w:rFonts w:ascii="Times New Roman" w:cs="Times New Roman" w:eastAsia="Times New Roman" w:hAnsi="Times New Roman"/>
          <w:sz w:val="17"/>
          <w:szCs w:val="17"/>
          <w:b w:val="1"/>
          <w:bCs w:val="1"/>
          <w:color w:val="auto"/>
        </w:rPr>
        <w:t>Percent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19685</wp:posOffset>
            </wp:positionV>
            <wp:extent cx="207454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Balance</w:t>
      </w:r>
      <w:r>
        <w:rPr>
          <w:sz w:val="20"/>
          <w:szCs w:val="20"/>
          <w:color w:val="auto"/>
        </w:rPr>
        <w:tab/>
      </w:r>
      <w:r>
        <w:rPr>
          <w:rFonts w:ascii="Times New Roman" w:cs="Times New Roman" w:eastAsia="Times New Roman" w:hAnsi="Times New Roman"/>
          <w:sz w:val="18"/>
          <w:szCs w:val="18"/>
          <w:b w:val="1"/>
          <w:bCs w:val="1"/>
          <w:color w:val="auto"/>
        </w:rPr>
        <w:t>Percent</w:t>
      </w:r>
    </w:p>
    <w:p>
      <w:pPr>
        <w:spacing w:after="0" w:line="43" w:lineRule="exact"/>
        <w:rPr>
          <w:sz w:val="20"/>
          <w:szCs w:val="20"/>
          <w:color w:val="auto"/>
        </w:rPr>
      </w:pPr>
    </w:p>
    <w:p>
      <w:pPr>
        <w:sectPr>
          <w:pgSz w:w="11900" w:h="16838" w:orient="portrait"/>
          <w:cols w:equalWidth="0" w:num="2">
            <w:col w:w="7720" w:space="720"/>
            <w:col w:w="2800"/>
          </w:cols>
          <w:pgMar w:left="320" w:top="109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192"/>
        </w:trPr>
        <w:tc>
          <w:tcPr>
            <w:tcW w:w="3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3"/>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7,184,267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7,037,096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Investment checking</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533,220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551,305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3,289,121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3,363,804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Savings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421,491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422,583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 deposits</w:t>
            </w:r>
          </w:p>
        </w:tc>
        <w:tc>
          <w:tcPr>
            <w:tcW w:w="1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561,822</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573,593</w:t>
            </w:r>
          </w:p>
        </w:tc>
        <w:tc>
          <w:tcPr>
            <w:tcW w:w="2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Deposits</w:t>
            </w:r>
          </w:p>
        </w:tc>
        <w:tc>
          <w:tcPr>
            <w:tcW w:w="16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11,989,921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11,948,381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12001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12001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5430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15430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2001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2001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Noninterest-bearing deposits totaled $7.18 billion at March 31, 2025, an increase of $147.2 million, or 2.09%, from noninterest-bearing deposits of $7.04 billion at December 31, 2024. Noninterest-bearing deposits were 59.92% of total deposits at the end of the first quarter of 2025, compared to 58.90% at December 31, 2024.</w:t>
      </w:r>
    </w:p>
    <w:p>
      <w:pPr>
        <w:spacing w:after="0" w:line="180"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Interest-bearing non-maturity deposits, which include savings, interest-bearing demand, and money market accounts, totaled $4.24 billion at March 31, 2025, representing a decrease of $93.9 million, or 2.16%, from $4.34 billion at December 31, 2024.</w:t>
      </w:r>
    </w:p>
    <w:p>
      <w:pPr>
        <w:spacing w:after="0" w:line="162" w:lineRule="exact"/>
        <w:rPr>
          <w:sz w:val="20"/>
          <w:szCs w:val="20"/>
          <w:color w:val="auto"/>
        </w:rPr>
      </w:pPr>
    </w:p>
    <w:p>
      <w:pPr>
        <w:ind w:right="480" w:firstLine="469"/>
        <w:spacing w:after="0" w:line="282" w:lineRule="auto"/>
        <w:rPr>
          <w:sz w:val="20"/>
          <w:szCs w:val="20"/>
          <w:color w:val="auto"/>
        </w:rPr>
      </w:pPr>
      <w:r>
        <w:rPr>
          <w:rFonts w:ascii="Times New Roman" w:cs="Times New Roman" w:eastAsia="Times New Roman" w:hAnsi="Times New Roman"/>
          <w:sz w:val="18"/>
          <w:szCs w:val="18"/>
          <w:color w:val="auto"/>
        </w:rPr>
        <w:t>Time deposits totaled $561.8 million at March 31, 2025, representing a decrease of $11.8 million, or 2.05%, from total time deposits of $573.6 million at December 31, 2024.</w:t>
      </w:r>
    </w:p>
    <w:p>
      <w:pPr>
        <w:spacing w:after="0" w:line="162"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$300 million of brokered deposits were issued and cash flow hedging transactions were simultaneously executed in which $300 million notional pay-fixed interest rate swaps were consummated with maturities of three years, wherein the Company pays a weighted average fixed rate of approximately 4.2% and receives daily SOFR. We entered into these interest rate derivative contracts that are designated as qualifying cash flow hedges to hedge the exposure to variability in expected future cash flows attributable to changes in a contractually specified interest rate. The fair value of these instruments totaled $2.26 million and were reflected as a liability at March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64" w:name="page65"/>
    <w:bookmarkEnd w:id="64"/>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Our deposits are primarily relationship based and include deposits and customer repurchase agreements ("repos"). For the first quarter of 2025, 72% of our deposits consist of business deposits and 28% consist of consumer deposits, primarily the owners and employees of our business customers. The largest percentage of our deposits, 39%,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As of March 31, 2025, 46% of our total deposits and customer repos were uncollateralized and uninsured.</w:t>
      </w:r>
    </w:p>
    <w:p>
      <w:pPr>
        <w:spacing w:after="0" w:line="187"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Our customer deposit relationships represent a diverse set of industries. The industry classification with the largest concentration is construction, which represents 8% of our deposits. Overall, there are 14 different industry classifications that represent 2% or more of our deposits as of March 31, 2025. Our depositors have typically banked with us for many years. As of March 31, 2025, 46% of our deposit relationships have banked with us more than 10 years and 75% of our deposit relationships have been with us for three or more years.</w:t>
      </w:r>
    </w:p>
    <w:p>
      <w:pPr>
        <w:spacing w:after="0" w:line="180" w:lineRule="exact"/>
        <w:rPr>
          <w:sz w:val="20"/>
          <w:szCs w:val="20"/>
          <w:color w:val="auto"/>
        </w:rPr>
      </w:pPr>
    </w:p>
    <w:p>
      <w:pPr>
        <w:ind w:right="300" w:firstLine="469"/>
        <w:spacing w:after="0" w:line="266" w:lineRule="auto"/>
        <w:rPr>
          <w:sz w:val="20"/>
          <w:szCs w:val="20"/>
          <w:color w:val="auto"/>
        </w:rPr>
      </w:pPr>
      <w:r>
        <w:rPr>
          <w:rFonts w:ascii="Times New Roman" w:cs="Times New Roman" w:eastAsia="Times New Roman" w:hAnsi="Times New Roman"/>
          <w:sz w:val="18"/>
          <w:szCs w:val="18"/>
          <w:color w:val="auto"/>
        </w:rPr>
        <w:t>Average total deposits for the first quarter decreased by approximately $242 million compared to the fourth quarter of 2024, as we typically experience a seasonally low level of deposits in the first quarter of each calendar. Our average noninterest-bearing deposits continued to be greater than 59% of our average total deposits for the first quarter of 2025.</w:t>
      </w:r>
    </w:p>
    <w:p>
      <w:pPr>
        <w:spacing w:after="0" w:line="176"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7"/>
          <w:szCs w:val="17"/>
          <w:color w:val="auto"/>
        </w:rPr>
        <w:t>Our cost of deposits was 86 basis points on average for the first quarter of 2025, which compares to 93 basis points for the fourth quarter of 2024 and 74 basis points for the first quarter of 2024. From the first quarter of 2022 through the first quarter of 2025, our cost of deposits has increased by 83 basis points. During the Federal Reserve's interest rates tightening cycle from the first quarter of 2022 through the third quarter of 2024, our deposit costs rose by 95 basis points, representing a deposit beta of 18%, when compared to the 525 basis point increase in the Fed Funds rate during the rising rate period.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ind w:right="160" w:firstLine="469"/>
        <w:spacing w:after="0" w:line="261" w:lineRule="auto"/>
        <w:rPr>
          <w:sz w:val="20"/>
          <w:szCs w:val="20"/>
          <w:color w:val="auto"/>
        </w:rPr>
      </w:pPr>
      <w:r>
        <w:rPr>
          <w:rFonts w:ascii="Times New Roman" w:cs="Times New Roman" w:eastAsia="Times New Roman" w:hAnsi="Times New Roman"/>
          <w:sz w:val="18"/>
          <w:szCs w:val="18"/>
          <w:color w:val="auto"/>
        </w:rPr>
        <w:t xml:space="preserve">At March 31, 2025, our borrowings were $776.2 million and included $276.2 million of repurchase agreements and $500.0 million of FHLB advances, at an average cost of approximately 4.6%. At December 31, 2024, our borrowings were $761.9 million and included $261.9 million of repurchase agreements and $500.0 million of FHLB advances, at an average cost of approximately 4.6%. Refer to Note 6 -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of the notes to the consolidated financial statements for a more detailed discussion.</w:t>
      </w:r>
    </w:p>
    <w:p>
      <w:pPr>
        <w:spacing w:after="0" w:line="180" w:lineRule="exact"/>
        <w:rPr>
          <w:sz w:val="20"/>
          <w:szCs w:val="20"/>
          <w:color w:val="auto"/>
        </w:rPr>
      </w:pPr>
    </w:p>
    <w:p>
      <w:pPr>
        <w:ind w:right="60" w:firstLine="514"/>
        <w:spacing w:after="0" w:line="256" w:lineRule="auto"/>
        <w:rPr>
          <w:sz w:val="20"/>
          <w:szCs w:val="20"/>
          <w:color w:val="auto"/>
        </w:rPr>
      </w:pPr>
      <w:r>
        <w:rPr>
          <w:rFonts w:ascii="Times New Roman" w:cs="Times New Roman" w:eastAsia="Times New Roman" w:hAnsi="Times New Roman"/>
          <w:sz w:val="18"/>
          <w:szCs w:val="18"/>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March 31, 2025 and December 31, 2024, total funds borrowed under these agreements were $276.2 million and $261.9 million, respectively, with a weighted average interest rate of 1.24% for the first quarter of 2025, compared to 2.16% for the fourth quarter of 2024 and 0.39% for the first quarter of 2024.</w:t>
      </w:r>
    </w:p>
    <w:p>
      <w:pPr>
        <w:spacing w:after="0" w:line="187"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At March 31, 2025, loans with a carrying value of $4.4 billion were pledged to secure available lines of credit from the FHLB and Federal Reserve Bank. At March 31, 2025, the Bank had unused borrowing capacity at the FHLB of $4.09 billion and unused borrowing capacity at the FRB of $1.06 billion.</w:t>
      </w:r>
    </w:p>
    <w:p>
      <w:pPr>
        <w:spacing w:after="0" w:line="176"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At March 31, 2025 investment securities with carrying values of $2.71 billion were pledged to secure various types of deposits, including $1.14 billion of public funds, $310 million for repurchase agreements, and for other purposes as required or permitted by law. In addition, investment securities with carrying values of $1.62 billion were pledged for unused borrowing capacity.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Over Five</w:t>
            </w:r>
          </w:p>
        </w:tc>
      </w:tr>
      <w:tr>
        <w:trPr>
          <w:trHeight w:val="212"/>
        </w:trPr>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r>
      <w:tr>
        <w:trPr>
          <w:trHeight w:val="202"/>
        </w:trPr>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Deposits (1)</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11,989,921</w:t>
            </w:r>
          </w:p>
        </w:tc>
        <w:tc>
          <w:tcPr>
            <w:tcW w:w="5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11,982,108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FF0FC"/>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Customer repurchase agreements (1)</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276,163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276,163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borrowings</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20,177</w:t>
            </w:r>
          </w:p>
        </w:tc>
        <w:tc>
          <w:tcPr>
            <w:tcW w:w="100" w:type="dxa"/>
            <w:vAlign w:val="bottom"/>
          </w:tcPr>
          <w:p>
            <w:pPr>
              <w:spacing w:after="0"/>
              <w:rPr>
                <w:sz w:val="17"/>
                <w:szCs w:val="17"/>
                <w:color w:val="auto"/>
              </w:rPr>
            </w:pPr>
          </w:p>
        </w:tc>
      </w:tr>
      <w:tr>
        <w:trPr>
          <w:trHeight w:val="20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67,172</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16,074</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31,788</w:t>
            </w:r>
          </w:p>
        </w:tc>
        <w:tc>
          <w:tcPr>
            <w:tcW w:w="100" w:type="dxa"/>
            <w:vAlign w:val="bottom"/>
            <w:shd w:val="clear" w:color="auto" w:fill="CFF0FC"/>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71,797</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63,280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Pr>
          <w:p>
            <w:pPr>
              <w:spacing w:after="0"/>
              <w:rPr>
                <w:sz w:val="17"/>
                <w:szCs w:val="17"/>
                <w:color w:val="auto"/>
              </w:rPr>
            </w:pPr>
          </w:p>
        </w:tc>
      </w:tr>
      <w:tr>
        <w:trPr>
          <w:trHeight w:val="216"/>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12,928,107</w:t>
            </w:r>
          </w:p>
        </w:tc>
        <w:tc>
          <w:tcPr>
            <w:tcW w:w="5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12,332,176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530,220</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53,277</w:t>
            </w:r>
          </w:p>
        </w:tc>
        <w:tc>
          <w:tcPr>
            <w:tcW w:w="100" w:type="dxa"/>
            <w:vAlign w:val="bottom"/>
            <w:shd w:val="clear" w:color="auto" w:fill="CFF0FC"/>
          </w:tcPr>
          <w:p>
            <w:pPr>
              <w:spacing w:after="0"/>
              <w:rPr>
                <w:sz w:val="18"/>
                <w:szCs w:val="18"/>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040" w:hanging="470"/>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225" w:lineRule="exact"/>
        <w:rPr>
          <w:sz w:val="20"/>
          <w:szCs w:val="20"/>
          <w:color w:val="auto"/>
        </w:rPr>
      </w:pPr>
    </w:p>
    <w:p>
      <w:pPr>
        <w:ind w:right="40" w:firstLine="469"/>
        <w:spacing w:after="0" w:line="282"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borrowings represent amounts due for FHLB advances based on their contractual maturity dates.</w:t>
      </w:r>
    </w:p>
    <w:p>
      <w:pPr>
        <w:spacing w:after="0" w:line="225"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60" w:lineRule="exact"/>
        <w:rPr>
          <w:sz w:val="20"/>
          <w:szCs w:val="20"/>
          <w:color w:val="auto"/>
        </w:rPr>
      </w:pPr>
    </w:p>
    <w:p>
      <w:pPr>
        <w:ind w:right="220" w:firstLine="469"/>
        <w:spacing w:after="0" w:line="284"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Company’s unaudited condensed consolidated financial statements for a more detailed discussion about leases.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ind w:left="480"/>
        <w:spacing w:after="0"/>
        <w:rPr>
          <w:sz w:val="20"/>
          <w:szCs w:val="20"/>
          <w:color w:val="auto"/>
        </w:rPr>
      </w:pPr>
      <w:r>
        <w:rPr>
          <w:rFonts w:ascii="Times New Roman" w:cs="Times New Roman" w:eastAsia="Times New Roman" w:hAnsi="Times New Roman"/>
          <w:sz w:val="18"/>
          <w:szCs w:val="18"/>
          <w:color w:val="auto"/>
        </w:rPr>
        <w:t>Equity investments represent commitments to contribute capital to LIHTC and other CRA-related investment partnerships.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After Five</w:t>
            </w:r>
          </w:p>
        </w:tc>
      </w:tr>
      <w:tr>
        <w:trPr>
          <w:trHeight w:val="212"/>
        </w:trPr>
        <w:tc>
          <w:tcPr>
            <w:tcW w:w="4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r>
      <w:tr>
        <w:trPr>
          <w:trHeight w:val="202"/>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390,157</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79,187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189,534</w:t>
            </w:r>
          </w:p>
        </w:tc>
        <w:tc>
          <w:tcPr>
            <w:tcW w:w="2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96,976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24,460</w:t>
            </w: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48,059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38,059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1,044,282</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857,882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144,050</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37,266</w:t>
            </w: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301,393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SFR Mortgage</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7"/>
                <w:szCs w:val="17"/>
                <w:color w:val="auto"/>
              </w:rPr>
            </w:pPr>
          </w:p>
        </w:tc>
      </w:tr>
      <w:tr>
        <w:trPr>
          <w:trHeight w:val="203"/>
        </w:trPr>
        <w:tc>
          <w:tcPr>
            <w:tcW w:w="4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137,681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23,031</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1,922,734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426,393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103,947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174,147</w:t>
            </w:r>
          </w:p>
        </w:tc>
        <w:tc>
          <w:tcPr>
            <w:tcW w:w="100" w:type="dxa"/>
            <w:vAlign w:val="bottom"/>
          </w:tcPr>
          <w:p>
            <w:pPr>
              <w:spacing w:after="0"/>
              <w:rPr>
                <w:sz w:val="17"/>
                <w:szCs w:val="17"/>
                <w:color w:val="auto"/>
              </w:rPr>
            </w:pPr>
          </w:p>
        </w:tc>
      </w:tr>
      <w:tr>
        <w:trPr>
          <w:trHeight w:val="203"/>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69,933</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52,129</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12,599</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5,187</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1,992,667</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1,270,376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438,992</w:t>
            </w:r>
          </w:p>
        </w:tc>
        <w:tc>
          <w:tcPr>
            <w:tcW w:w="2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174,165</w:t>
            </w:r>
          </w:p>
        </w:tc>
        <w:tc>
          <w:tcPr>
            <w:tcW w:w="100" w:type="dxa"/>
            <w:vAlign w:val="bottom"/>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-427990</wp:posOffset>
            </wp:positionV>
            <wp:extent cx="7683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-427990</wp:posOffset>
            </wp:positionV>
            <wp:extent cx="7683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-427990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-427990</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-162560</wp:posOffset>
            </wp:positionV>
            <wp:extent cx="7683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7683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6858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1040" w:hanging="470"/>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$16.2 million at March 31, 2025.</w:t>
      </w:r>
    </w:p>
    <w:p>
      <w:pPr>
        <w:spacing w:after="0" w:line="230" w:lineRule="exact"/>
        <w:rPr>
          <w:sz w:val="20"/>
          <w:szCs w:val="20"/>
          <w:color w:val="auto"/>
        </w:rPr>
      </w:pPr>
    </w:p>
    <w:p>
      <w:pPr>
        <w:ind w:right="100" w:firstLine="469"/>
        <w:spacing w:after="0" w:line="254" w:lineRule="auto"/>
        <w:rPr>
          <w:sz w:val="20"/>
          <w:szCs w:val="20"/>
          <w:color w:val="auto"/>
        </w:rPr>
      </w:pPr>
      <w:r>
        <w:rPr>
          <w:rFonts w:ascii="Times New Roman" w:cs="Times New Roman" w:eastAsia="Times New Roman" w:hAnsi="Times New Roman"/>
          <w:sz w:val="18"/>
          <w:szCs w:val="18"/>
          <w:color w:val="auto"/>
        </w:rPr>
        <w:t>As of March 31, 2025, we had commitments to extend credit of approximately $1.92 billion, and obligations under letters of credit of $69.9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March 31, 2025 and December 31, 2024, the balance in this reserve was $6.8 million and $6.3 million, respectively, and was included in other liabilities. There was no provision or recapture of provision for unfunded commitments for the first quarter of 2025 or 2024.</w:t>
      </w:r>
    </w:p>
    <w:p>
      <w:pPr>
        <w:spacing w:after="0" w:line="19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80"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Total equity increased $42.1 million, or 1.93%, to $2.23 billion at March 31, 2025, compared to total equity of $2.19 billion at December 31, 2024. Increases to equity included $51.1 million in net earnings and a $37.8 million increase in other comprehensive income that were partially offset by $27.9 million in cash dividends. During the first quarter of 2025, we repurchased 782,063 shares at an average price of $19.55, totaling $15.3 million. We engaged in no stock repurchases during the first quarter of 2024 other than the shares repurchased pursuant to net settlement by employees in satisfaction of income tax withholding obligations incurred through the vesting of Company stock awards. Our tangible book value per share at March 31, 2025 was $10.45.</w:t>
      </w:r>
    </w:p>
    <w:p>
      <w:pPr>
        <w:spacing w:after="0" w:line="187" w:lineRule="exact"/>
        <w:rPr>
          <w:sz w:val="20"/>
          <w:szCs w:val="20"/>
          <w:color w:val="auto"/>
        </w:rPr>
      </w:pPr>
    </w:p>
    <w:p>
      <w:pPr>
        <w:ind w:right="120" w:firstLine="469"/>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80" w:lineRule="exact"/>
        <w:rPr>
          <w:sz w:val="20"/>
          <w:szCs w:val="20"/>
          <w:color w:val="auto"/>
        </w:rPr>
      </w:pPr>
    </w:p>
    <w:p>
      <w:pPr>
        <w:ind w:right="60" w:firstLine="469"/>
        <w:spacing w:after="0" w:line="254" w:lineRule="auto"/>
        <w:rPr>
          <w:sz w:val="20"/>
          <w:szCs w:val="20"/>
          <w:color w:val="auto"/>
        </w:rPr>
      </w:pPr>
      <w:r>
        <w:rPr>
          <w:rFonts w:ascii="Times New Roman" w:cs="Times New Roman" w:eastAsia="Times New Roman" w:hAnsi="Times New Roman"/>
          <w:sz w:val="18"/>
          <w:szCs w:val="18"/>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 This 2024 Repurchase Program replaced in its entirety the Company's previous 2022 share repurchase program under which 4,300,059 shares remained available for repurchase and which has now been terminated. The 2024 Repurchase Program terminates on the earlier of the repurchase of the Maximum Amount or five years from the date of authorization. During the first quarter of 2025, we repurchased 782,063 shares at an average price of $19.55, totaling $15.3 million. We engaged in no stock repurchases during the first quarter of 2024 other than the shares repurchased pursuant to net settlement by employees in satisfaction of income tax withholding obligations incurred through the vesting of Company stock awards.</w:t>
      </w:r>
    </w:p>
    <w:p>
      <w:pPr>
        <w:spacing w:after="0" w:line="188"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March 31, 2025,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 – Capital Adequacy Requirements</w:t>
      </w:r>
      <w:r>
        <w:rPr>
          <w:rFonts w:ascii="Times New Roman" w:cs="Times New Roman" w:eastAsia="Times New Roman" w:hAnsi="Times New Roman"/>
          <w:sz w:val="18"/>
          <w:szCs w:val="18"/>
          <w:color w:val="auto"/>
        </w:rPr>
        <w:t>” as described in our Annual Report on Form 10-K for the year ended December 31, 2024.</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c>
          <w:tcPr>
            <w:tcW w:w="22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Adequately</w:t>
            </w: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Minimum Required</w:t>
            </w:r>
          </w:p>
        </w:tc>
        <w:tc>
          <w:tcPr>
            <w:tcW w:w="12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Well</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Citizens</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Citizens</w:t>
            </w:r>
          </w:p>
        </w:tc>
      </w:tr>
      <w:tr>
        <w:trPr>
          <w:trHeight w:val="203"/>
        </w:trPr>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Plus 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tc>
      </w:tr>
      <w:tr>
        <w:trPr>
          <w:trHeight w:val="191"/>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Conservation Buffer</w:t>
            </w:r>
          </w:p>
        </w:tc>
        <w:tc>
          <w:tcPr>
            <w:tcW w:w="120" w:type="dxa"/>
            <w:vAlign w:val="bottom"/>
          </w:tcPr>
          <w:p>
            <w:pPr>
              <w:spacing w:after="0"/>
              <w:rPr>
                <w:sz w:val="16"/>
                <w:szCs w:val="16"/>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Tier 1 leverage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8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4.00%</w:t>
            </w:r>
          </w:p>
        </w:tc>
        <w:tc>
          <w:tcPr>
            <w:tcW w:w="110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11.81%</w:t>
            </w:r>
          </w:p>
        </w:tc>
        <w:tc>
          <w:tcPr>
            <w:tcW w:w="10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11.70%</w:t>
            </w:r>
          </w:p>
        </w:tc>
        <w:tc>
          <w:tcPr>
            <w:tcW w:w="134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11.46%</w:t>
            </w:r>
          </w:p>
        </w:tc>
        <w:tc>
          <w:tcPr>
            <w:tcW w:w="10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11.30%</w:t>
            </w:r>
          </w:p>
        </w:tc>
      </w:tr>
      <w:tr>
        <w:trPr>
          <w:trHeight w:val="203"/>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8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7.00%</w:t>
            </w: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16.52%</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16.36%</w:t>
            </w:r>
          </w:p>
        </w:tc>
        <w:tc>
          <w:tcPr>
            <w:tcW w:w="13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16.24%</w:t>
            </w:r>
          </w:p>
        </w:tc>
        <w:tc>
          <w:tcPr>
            <w:tcW w:w="10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16.01%</w:t>
            </w:r>
          </w:p>
        </w:tc>
      </w:tr>
      <w:tr>
        <w:trPr>
          <w:trHeight w:val="203"/>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8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8.50%</w:t>
            </w:r>
          </w:p>
        </w:tc>
        <w:tc>
          <w:tcPr>
            <w:tcW w:w="110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8.00%</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16.52%</w:t>
            </w:r>
          </w:p>
        </w:tc>
        <w:tc>
          <w:tcPr>
            <w:tcW w:w="10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16.36%</w:t>
            </w:r>
          </w:p>
        </w:tc>
        <w:tc>
          <w:tcPr>
            <w:tcW w:w="134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16.24%</w:t>
            </w:r>
          </w:p>
        </w:tc>
        <w:tc>
          <w:tcPr>
            <w:tcW w:w="10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16.01%</w:t>
            </w:r>
          </w:p>
        </w:tc>
      </w:tr>
      <w:tr>
        <w:trPr>
          <w:trHeight w:val="210"/>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8.00%</w:t>
            </w:r>
          </w:p>
        </w:tc>
        <w:tc>
          <w:tcPr>
            <w:tcW w:w="18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10.50%</w:t>
            </w: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17.33%</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17.17%</w:t>
            </w:r>
          </w:p>
        </w:tc>
        <w:tc>
          <w:tcPr>
            <w:tcW w:w="13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17.06%</w:t>
            </w:r>
          </w:p>
        </w:tc>
        <w:tc>
          <w:tcPr>
            <w:tcW w:w="10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16.82%</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229"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80"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89"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$500 million of cash on the balance sheet at March 31, 2025, we had substantial sources of off-balance sheet liquidity. These sources of available liquidity include $4.1 billion of secured and unused capacity with the Federal Home Loan Bank, $1.1 billion of secured unused borrowing capacity at the Fed’s discount window, more than $188 million of unpledged AFS securities that could be pledged at the discount window and $305 million of unsecured lines of credit. In addition to these borrowing sources, the Bank has capacity to utilize additional brokered deposits as of March 31, 2025, as the Bank only had $300 million of brokered deposits at March 31, 2025, or approximately 2.5% of total deposits. We can also obtain additional liquidity from deposit growth by utilizing state and national wholesale markets.</w:t>
      </w:r>
    </w:p>
    <w:p>
      <w:pPr>
        <w:spacing w:after="0" w:line="192" w:lineRule="exact"/>
        <w:rPr>
          <w:sz w:val="20"/>
          <w:szCs w:val="20"/>
          <w:color w:val="auto"/>
        </w:rPr>
      </w:pPr>
    </w:p>
    <w:p>
      <w:pPr>
        <w:ind w:right="140" w:firstLine="469"/>
        <w:spacing w:after="0" w:line="256" w:lineRule="auto"/>
        <w:rPr>
          <w:sz w:val="20"/>
          <w:szCs w:val="20"/>
          <w:color w:val="auto"/>
        </w:rPr>
      </w:pPr>
      <w:r>
        <w:rPr>
          <w:rFonts w:ascii="Times New Roman" w:cs="Times New Roman" w:eastAsia="Times New Roman" w:hAnsi="Times New Roman"/>
          <w:sz w:val="18"/>
          <w:szCs w:val="18"/>
          <w:color w:val="auto"/>
        </w:rPr>
        <w:t>Our primary sources of funds for the Company are deposits, customer repurchase agreements and borrowings. Total deposits and customer repos of $12.27 billion at March 31, 2025 increased $55.8 million, or 0.46%, over total deposits and customer repos of $12.21 billion at December 31, 2024. As of March 31, 2025, total borrowings, consisted of $500 million of FHLB advances, at an average cost of approximately 4.6%. Our deposit levels and cost of deposits may fluctuate from period-to-period due to a variety of factors, including the stability of our deposit base, prevailing interest rates, and market conditions. At March 31, 2025, our deposits and customer repurchase agreements that are neither collateralized nor insured were approximately $5.7 billion, or 46% of our total deposits and customer repos.</w:t>
      </w:r>
    </w:p>
    <w:p>
      <w:pPr>
        <w:spacing w:after="0" w:line="187" w:lineRule="exact"/>
        <w:rPr>
          <w:sz w:val="20"/>
          <w:szCs w:val="20"/>
          <w:color w:val="auto"/>
        </w:rPr>
      </w:pPr>
    </w:p>
    <w:p>
      <w:pPr>
        <w:ind w:right="80" w:firstLine="469"/>
        <w:spacing w:after="0" w:line="255" w:lineRule="auto"/>
        <w:rPr>
          <w:sz w:val="20"/>
          <w:szCs w:val="20"/>
          <w:color w:val="auto"/>
        </w:rPr>
      </w:pPr>
      <w:r>
        <w:rPr>
          <w:rFonts w:ascii="Times New Roman" w:cs="Times New Roman" w:eastAsia="Times New Roman" w:hAnsi="Times New Roman"/>
          <w:sz w:val="18"/>
          <w:szCs w:val="18"/>
          <w:color w:val="auto"/>
        </w:rPr>
        <w:t>Additional sources of liquidity include cash on deposit at the Federal Reserve, which exceeded $300 million at March 31, 2025, and principal and interest payments from our investment portfolio. We shrank our investment portfolio by not reinvesting the cashflows generated by our investments during the first quarter of 2025. Our total investment portfolio declined by $27.6 million from December 31, 2024 to $4.89 billion as of March 31, 2025. The decrease was primarily due to a $20.5 million decline in HTM securities. AFS securities totaled $2.54 billion at March 31, 2025, inclusive of a pre-tax net unrealized loss of $388.4 million. Pre-tax unrealized loss decline by $59.3 million from December 31, 2024. Market risk, is partly managed by $700 million notional pay fixed swaps hedging the fair value of the AFS portfolio. The $41.7 million increase in fair value of our AFS securities was partially offset by an $5.9 million decrease in the fair value of our derivatives that hedge the change in value of our AFS portfolio.</w:t>
      </w:r>
    </w:p>
    <w:p>
      <w:pPr>
        <w:spacing w:after="0" w:line="189"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right="420" w:firstLine="464"/>
        <w:spacing w:after="0" w:line="282"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three months ended March 31, 2025 and 2024. For further details see our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(Unaudited)” under Part I, Item 1 of this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0"/>
        </w:trPr>
        <w:tc>
          <w:tcPr>
            <w:tcW w:w="8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8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06"/>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80" w:type="dxa"/>
            <w:vAlign w:val="bottom"/>
          </w:tcPr>
          <w:p>
            <w:pPr>
              <w:spacing w:after="0"/>
              <w:rPr>
                <w:sz w:val="17"/>
                <w:szCs w:val="17"/>
                <w:color w:val="auto"/>
              </w:rPr>
            </w:pPr>
          </w:p>
        </w:tc>
      </w:tr>
      <w:tr>
        <w:trPr>
          <w:trHeight w:val="220"/>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315,760</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595,470</w:t>
            </w:r>
          </w:p>
        </w:tc>
        <w:tc>
          <w:tcPr>
            <w:tcW w:w="180" w:type="dxa"/>
            <w:vAlign w:val="bottom"/>
            <w:shd w:val="clear" w:color="auto" w:fill="CFF0FC"/>
          </w:tcPr>
          <w:p>
            <w:pPr>
              <w:spacing w:after="0"/>
              <w:rPr>
                <w:sz w:val="18"/>
                <w:szCs w:val="18"/>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260" w:type="dxa"/>
            <w:vAlign w:val="bottom"/>
          </w:tcPr>
          <w:p>
            <w:pPr>
              <w:spacing w:after="0"/>
              <w:rPr>
                <w:sz w:val="20"/>
                <w:szCs w:val="20"/>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r>
      <w:tr>
        <w:trPr>
          <w:trHeight w:val="198"/>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8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231,033</w:t>
            </w:r>
          </w:p>
        </w:tc>
        <w:tc>
          <w:tcPr>
            <w:tcW w:w="18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359,797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324,391</w:t>
            </w:r>
          </w:p>
        </w:tc>
        <w:tc>
          <w:tcPr>
            <w:tcW w:w="2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668,304</w:t>
            </w:r>
          </w:p>
        </w:tc>
        <w:tc>
          <w:tcPr>
            <w:tcW w:w="1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-170815</wp:posOffset>
            </wp:positionV>
            <wp:extent cx="11112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right="40" w:firstLine="469"/>
        <w:spacing w:after="0" w:line="282" w:lineRule="auto"/>
        <w:rPr>
          <w:sz w:val="20"/>
          <w:szCs w:val="20"/>
          <w:color w:val="auto"/>
        </w:rPr>
      </w:pPr>
      <w:r>
        <w:rPr>
          <w:rFonts w:ascii="Times New Roman" w:cs="Times New Roman" w:eastAsia="Times New Roman" w:hAnsi="Times New Roman"/>
          <w:sz w:val="18"/>
          <w:szCs w:val="18"/>
          <w:color w:val="auto"/>
        </w:rPr>
        <w:t>Average cash and cash equivalents decreased by $279.7 million, or 46.97%, to $315.8 million for the three months ended March 31, 2025, compared to $595.5 million for the same period of 2024.</w:t>
      </w:r>
    </w:p>
    <w:p>
      <w:pPr>
        <w:spacing w:after="0" w:line="162" w:lineRule="exact"/>
        <w:rPr>
          <w:sz w:val="20"/>
          <w:szCs w:val="20"/>
          <w:color w:val="auto"/>
        </w:rPr>
      </w:pPr>
    </w:p>
    <w:p>
      <w:pPr>
        <w:ind w:right="460" w:firstLine="469"/>
        <w:spacing w:after="0" w:line="282" w:lineRule="auto"/>
        <w:rPr>
          <w:sz w:val="20"/>
          <w:szCs w:val="20"/>
          <w:color w:val="auto"/>
        </w:rPr>
      </w:pPr>
      <w:r>
        <w:rPr>
          <w:rFonts w:ascii="Times New Roman" w:cs="Times New Roman" w:eastAsia="Times New Roman" w:hAnsi="Times New Roman"/>
          <w:sz w:val="18"/>
          <w:szCs w:val="18"/>
          <w:color w:val="auto"/>
        </w:rPr>
        <w:t>At March 31, 2025, cash and cash equivalents totaled $529.1 million. This represented an increase of $324.4 million, or 158.47%, from $204.7 million at December 31, 2024. Our cash on deposit at the Federal Reserve grew by more than $290 million when compared to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229"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8"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225"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 ramps rates up</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or down on a pro rata basis over 12-months and measures the resulting net interest income sensitivity over both the 12-month and 24-month time horizons.</w:t>
      </w:r>
    </w:p>
    <w:p>
      <w:pPr>
        <w:spacing w:after="0" w:line="225" w:lineRule="exact"/>
        <w:rPr>
          <w:sz w:val="20"/>
          <w:szCs w:val="20"/>
          <w:color w:val="auto"/>
        </w:rPr>
      </w:pPr>
    </w:p>
    <w:p>
      <w:pPr>
        <w:ind w:right="220" w:firstLine="464"/>
        <w:spacing w:after="0" w:line="282"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200bps over a 12-month time horizon.</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Estimated Net Interest Income Sensitivity (1)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300" w:type="dxa"/>
            <w:vAlign w:val="bottom"/>
            <w:tcBorders>
              <w:top w:val="single" w:sz="8" w:color="auto"/>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24-month Period</w:t>
            </w: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24-month Period</w:t>
            </w:r>
          </w:p>
        </w:tc>
      </w:tr>
      <w:tr>
        <w:trPr>
          <w:trHeight w:val="238"/>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160" w:type="dxa"/>
            <w:vAlign w:val="bottom"/>
          </w:tcPr>
          <w:p>
            <w:pPr>
              <w:spacing w:after="0"/>
              <w:rPr>
                <w:sz w:val="20"/>
                <w:szCs w:val="20"/>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09"/>
        </w:trPr>
        <w:tc>
          <w:tcPr>
            <w:tcW w:w="2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2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5.25%</w:t>
            </w:r>
          </w:p>
        </w:tc>
        <w:tc>
          <w:tcPr>
            <w:tcW w:w="1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+ 200 basis points</w:t>
            </w:r>
          </w:p>
        </w:tc>
        <w:tc>
          <w:tcPr>
            <w:tcW w:w="14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4.66%</w:t>
            </w:r>
          </w:p>
        </w:tc>
        <w:tc>
          <w:tcPr>
            <w:tcW w:w="18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6.26%</w:t>
            </w:r>
          </w:p>
        </w:tc>
      </w:tr>
      <w:tr>
        <w:trPr>
          <w:trHeight w:val="234"/>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-4.26%</w:t>
            </w:r>
          </w:p>
        </w:tc>
        <w:tc>
          <w:tcPr>
            <w:tcW w:w="1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tcPr>
          <w:p>
            <w:pPr>
              <w:spacing w:after="0"/>
              <w:rPr>
                <w:sz w:val="20"/>
                <w:szCs w:val="20"/>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- 200 basis points</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-3.63%</w:t>
            </w:r>
          </w:p>
        </w:tc>
        <w:tc>
          <w:tcPr>
            <w:tcW w:w="18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-6.36%</w:t>
            </w:r>
          </w:p>
        </w:tc>
      </w:tr>
    </w:tbl>
    <w:p>
      <w:pPr>
        <w:spacing w:after="0" w:line="6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change from base scenario.</w:t>
      </w:r>
    </w:p>
    <w:p>
      <w:pPr>
        <w:spacing w:after="0" w:line="208" w:lineRule="exact"/>
        <w:rPr>
          <w:sz w:val="20"/>
          <w:szCs w:val="20"/>
          <w:color w:val="auto"/>
        </w:rPr>
      </w:pPr>
    </w:p>
    <w:p>
      <w:pPr>
        <w:ind w:right="100" w:firstLine="469"/>
        <w:spacing w:after="0" w:line="255"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89" w:lineRule="exact"/>
        <w:rPr>
          <w:sz w:val="20"/>
          <w:szCs w:val="20"/>
          <w:color w:val="auto"/>
        </w:rPr>
      </w:pPr>
    </w:p>
    <w:p>
      <w:pPr>
        <w:ind w:right="120" w:firstLine="469"/>
        <w:spacing w:after="0" w:line="253"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March 31, 2025 and December 31, 2024, the EVE profile indicates a decline in net balance sheet value due to instantaneous downward changes in rates. For both December 31, 2024 to March 31, 2025, our EVE sensitivity to rising rates reflects a modest gain in value. Our overall sensitivity of EVE to changes in interest rates is modest, with the exception of more meaningful reductions in value if rates were to immediately decline by 300 or 400 basis points.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506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8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42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400 bp decrease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16.0%</w:t>
            </w:r>
          </w:p>
        </w:tc>
        <w:tc>
          <w:tcPr>
            <w:tcW w:w="32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300 bp decrease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16.3%</w:t>
            </w:r>
          </w:p>
        </w:tc>
        <w:tc>
          <w:tcPr>
            <w:tcW w:w="32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200 bp decrease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17.1%</w:t>
            </w:r>
          </w:p>
        </w:tc>
        <w:tc>
          <w:tcPr>
            <w:tcW w:w="32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bp decrease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17.7%</w:t>
            </w:r>
          </w:p>
        </w:tc>
        <w:tc>
          <w:tcPr>
            <w:tcW w:w="32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Base</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18.2%</w:t>
            </w:r>
          </w:p>
        </w:tc>
        <w:tc>
          <w:tcPr>
            <w:tcW w:w="32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18.6%</w:t>
            </w:r>
          </w:p>
        </w:tc>
        <w:tc>
          <w:tcPr>
            <w:tcW w:w="32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18.9%</w:t>
            </w:r>
          </w:p>
        </w:tc>
        <w:tc>
          <w:tcPr>
            <w:tcW w:w="32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c>
          <w:tcPr>
            <w:tcW w:w="32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19.8%</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19.3%</w:t>
            </w:r>
          </w:p>
        </w:tc>
        <w:tc>
          <w:tcPr>
            <w:tcW w:w="32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79" w:lineRule="exact"/>
        <w:rPr>
          <w:sz w:val="20"/>
          <w:szCs w:val="20"/>
          <w:color w:val="auto"/>
        </w:rPr>
      </w:pPr>
    </w:p>
    <w:p>
      <w:pPr>
        <w:jc w:val="both"/>
        <w:ind w:right="180" w:firstLine="469"/>
        <w:spacing w:after="0" w:line="255"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Market risk is the risk of loss from adverse changes in the market prices and interest rates. Our market risk arises primarily from interest rate risk inherent in our lending and deposit taking activities. We do not currently have futures, forwards, or option contracts. As a result of the phase out of LIBOR, our interest rate swap derivatives and the associated loans that were indexed to LIBOR, have been replaced with one month CME Term SOFR. For further quantitative and qualitative disclosures about market risks in our portfolio, see “</w:t>
      </w:r>
      <w:r>
        <w:rPr>
          <w:rFonts w:ascii="Times New Roman" w:cs="Times New Roman" w:eastAsia="Times New Roman" w:hAnsi="Times New Roman"/>
          <w:sz w:val="18"/>
          <w:szCs w:val="18"/>
          <w:i w:val="1"/>
          <w:iCs w:val="1"/>
          <w:color w:val="auto"/>
        </w:rPr>
        <w:t>Asset/Liability Management and Interest Rate Sensitivity Management</w:t>
      </w:r>
      <w:r>
        <w:rPr>
          <w:rFonts w:ascii="Times New Roman" w:cs="Times New Roman" w:eastAsia="Times New Roman" w:hAnsi="Times New Roman"/>
          <w:sz w:val="18"/>
          <w:szCs w:val="18"/>
          <w:color w:val="auto"/>
        </w:rPr>
        <w:t>” included in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presented elsewhere in this report. This analysis should be read in conjunction with our Annual Report on Form 10-K for the year ended December 31, 2024. Our analysis of market risk and market-sensitive financial information contains forward-looking statements and is subject to the disclosure at the beginning of Part I regarding such forward-looking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80"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there have been no changes in our internal controls over financial reporting that have materially affected or are reasonably likely to materially affect our internal controls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and threatened lawsuits in the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credit and bankruptcy-related claims and negligence claims, some of which may be styled as “class action” or representative cases. Some of these lawsuits may be similar in nature to other lawsuits pending against the Company’s competitors.</w:t>
      </w:r>
    </w:p>
    <w:p>
      <w:pPr>
        <w:spacing w:after="0" w:line="14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67"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2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Item 1A. to Part I of our Annual Report on Form 10-K for the year ended December 31, 2024.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 cash flows. See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 This 2024 Repurchase Program replaces in its entirety the Company's previous 2022 share repurchase program under which 4,300,059 shares remained available for repurchase and which has now been terminated. The 2024 Repurchase Program terminates on the earlier of the repurchase of the Maximum Amount or five years from the date of authorization. In the first quarter of 2025, we repurchased 782,063 shares of common stock under this program, at an average price of $19.55, totaling $15.3 million. As of March 31, 2025, an aggregate of 9,217,937 shares remained available for repurchase under our 2024 Repurchase Program. Additionally, there were 172,250 shares repurchased during the first quarter of 2025 pursuant to net settlement by employees in satisfaction of income tax withholding obligations incurred through the vesting of Company stock awards.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8"/>
                <w:szCs w:val="18"/>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r>
      <w:tr>
        <w:trPr>
          <w:trHeight w:val="216"/>
        </w:trPr>
        <w:tc>
          <w:tcPr>
            <w:tcW w:w="2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Available for Repurchase</w:t>
            </w:r>
          </w:p>
        </w:tc>
      </w:t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Purchased </w:t>
            </w:r>
            <w:r>
              <w:rPr>
                <w:rFonts w:ascii="Times New Roman" w:cs="Times New Roman" w:eastAsia="Times New Roman" w:hAnsi="Times New Roman"/>
                <w:sz w:val="16"/>
                <w:szCs w:val="16"/>
                <w:b w:val="1"/>
                <w:bCs w:val="1"/>
                <w:color w:val="auto"/>
                <w:w w:val="99"/>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Plans or Programs</w:t>
            </w:r>
          </w:p>
        </w:tc>
      </w:tr>
      <w:tr>
        <w:trPr>
          <w:trHeight w:val="209"/>
        </w:trPr>
        <w:tc>
          <w:tcPr>
            <w:tcW w:w="2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99,107</w:t>
            </w:r>
          </w:p>
        </w:tc>
        <w:tc>
          <w:tcPr>
            <w:tcW w:w="4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42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9,998,878</w:t>
            </w:r>
          </w:p>
        </w:tc>
        <w:tc>
          <w:tcPr>
            <w:tcW w:w="100" w:type="dxa"/>
            <w:vAlign w:val="bottom"/>
            <w:shd w:val="clear" w:color="auto" w:fill="CFF0FC"/>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9,648,878</w:t>
            </w:r>
          </w:p>
        </w:tc>
        <w:tc>
          <w:tcPr>
            <w:tcW w:w="100" w:type="dxa"/>
            <w:vAlign w:val="bottom"/>
          </w:tcPr>
          <w:p>
            <w:pPr>
              <w:spacing w:after="0"/>
              <w:rPr>
                <w:sz w:val="18"/>
                <w:szCs w:val="18"/>
                <w:color w:val="auto"/>
              </w:rPr>
            </w:pPr>
          </w:p>
        </w:tc>
      </w:tr>
      <w:tr>
        <w:trPr>
          <w:trHeight w:val="21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54,747</w:t>
            </w:r>
          </w:p>
        </w:tc>
        <w:tc>
          <w:tcPr>
            <w:tcW w:w="30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20" w:type="dxa"/>
            <w:vAlign w:val="bottom"/>
            <w:gridSpan w:val="2"/>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430,941</w:t>
            </w:r>
          </w:p>
        </w:tc>
        <w:tc>
          <w:tcPr>
            <w:tcW w:w="42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9,217,937</w:t>
            </w:r>
          </w:p>
        </w:tc>
        <w:tc>
          <w:tcPr>
            <w:tcW w:w="100" w:type="dxa"/>
            <w:vAlign w:val="bottom"/>
            <w:shd w:val="clear" w:color="auto" w:fill="CFF0FC"/>
          </w:tcPr>
          <w:p>
            <w:pPr>
              <w:spacing w:after="0"/>
              <w:rPr>
                <w:sz w:val="18"/>
                <w:szCs w:val="18"/>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172,250</w:t>
            </w:r>
          </w:p>
        </w:tc>
        <w:tc>
          <w:tcPr>
            <w:tcW w:w="30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gridSpan w:val="2"/>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782,063</w:t>
            </w:r>
          </w:p>
        </w:tc>
        <w:tc>
          <w:tcPr>
            <w:tcW w:w="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9,217,937</w:t>
            </w:r>
          </w:p>
        </w:tc>
        <w:tc>
          <w:tcPr>
            <w:tcW w:w="10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-170815</wp:posOffset>
            </wp:positionV>
            <wp:extent cx="7683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-170815</wp:posOffset>
            </wp:positionV>
            <wp:extent cx="6858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6858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760" w:right="20" w:hanging="378"/>
        <w:spacing w:after="0" w:line="298"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repurchased pursuant to net settlement by employees in satisfaction of income tax withholding obligations incurred through the vesting of Company stock awards.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
        </w:trPr>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4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Borders>
              <w:left w:val="single" w:sz="8" w:color="auto"/>
            </w:tcBorders>
            <w:shd w:val="clear" w:color="auto" w:fill="000000"/>
          </w:tcPr>
          <w:p>
            <w:pPr>
              <w:spacing w:after="0" w:line="20" w:lineRule="exact"/>
              <w:rPr>
                <w:sz w:val="1"/>
                <w:szCs w:val="1"/>
                <w:color w:val="auto"/>
              </w:rPr>
            </w:pPr>
          </w:p>
        </w:tc>
      </w:tr>
      <w:tr>
        <w:trPr>
          <w:trHeight w:val="277"/>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2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14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left w:val="single" w:sz="8" w:color="0000EE"/>
            </w:tcBorders>
          </w:tcPr>
          <w:p>
            <w:pPr>
              <w:spacing w:after="0" w:line="20" w:lineRule="exact"/>
              <w:rPr>
                <w:sz w:val="1"/>
                <w:szCs w:val="1"/>
                <w:color w:val="auto"/>
              </w:rPr>
            </w:pPr>
          </w:p>
        </w:tc>
      </w:tr>
      <w:tr>
        <w:trPr>
          <w:trHeight w:val="196"/>
        </w:trPr>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240" w:type="dxa"/>
            <w:vAlign w:val="bottom"/>
          </w:tcPr>
          <w:p>
            <w:pPr>
              <w:spacing w:after="0"/>
              <w:rPr>
                <w:sz w:val="17"/>
                <w:szCs w:val="17"/>
                <w:color w:val="auto"/>
              </w:rPr>
            </w:pPr>
          </w:p>
        </w:tc>
        <w:tc>
          <w:tcPr>
            <w:tcW w:w="9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14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32.1</w:t>
            </w:r>
          </w:p>
        </w:tc>
        <w:tc>
          <w:tcPr>
            <w:tcW w:w="240" w:type="dxa"/>
            <w:vAlign w:val="bottom"/>
          </w:tcPr>
          <w:p>
            <w:pPr>
              <w:spacing w:after="0"/>
              <w:rPr>
                <w:sz w:val="17"/>
                <w:szCs w:val="17"/>
                <w:color w:val="auto"/>
              </w:rPr>
            </w:pPr>
          </w:p>
        </w:tc>
        <w:tc>
          <w:tcPr>
            <w:tcW w:w="9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14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left w:val="single" w:sz="8" w:color="0000EE"/>
            </w:tcBorders>
          </w:tcPr>
          <w:p>
            <w:pPr>
              <w:spacing w:after="0" w:line="20" w:lineRule="exact"/>
              <w:rPr>
                <w:sz w:val="1"/>
                <w:szCs w:val="1"/>
                <w:color w:val="auto"/>
              </w:rPr>
            </w:pPr>
          </w:p>
        </w:tc>
      </w:tr>
      <w:tr>
        <w:trPr>
          <w:trHeight w:val="196"/>
        </w:trPr>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32.2</w:t>
            </w:r>
          </w:p>
        </w:tc>
        <w:tc>
          <w:tcPr>
            <w:tcW w:w="240" w:type="dxa"/>
            <w:vAlign w:val="bottom"/>
          </w:tcPr>
          <w:p>
            <w:pPr>
              <w:spacing w:after="0"/>
              <w:rPr>
                <w:sz w:val="17"/>
                <w:szCs w:val="17"/>
                <w:color w:val="auto"/>
              </w:rPr>
            </w:pPr>
          </w:p>
        </w:tc>
        <w:tc>
          <w:tcPr>
            <w:tcW w:w="9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14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1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4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420" w:right="440" w:hanging="946"/>
        <w:spacing w:after="0" w:line="260"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2025, has been formatted in Inline XBRL.</w:t>
      </w:r>
    </w:p>
    <w:p>
      <w:pPr>
        <w:spacing w:after="0" w:line="262"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27" w:lineRule="exact"/>
        <w:rPr>
          <w:rFonts w:ascii="Times New Roman" w:cs="Times New Roman" w:eastAsia="Times New Roman" w:hAnsi="Times New Roman"/>
          <w:sz w:val="18"/>
          <w:szCs w:val="18"/>
          <w:color w:val="auto"/>
        </w:rPr>
      </w:pPr>
    </w:p>
    <w:p>
      <w:pPr>
        <w:ind w:left="1660" w:hanging="1333"/>
        <w:spacing w:after="0" w:line="227" w:lineRule="auto"/>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237426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CVB FINANCIAL CORP.</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May 9, 2025</w:t>
            </w:r>
          </w:p>
        </w:tc>
      </w:tr>
    </w:tbl>
    <w:p>
      <w:pPr>
        <w:spacing w:after="0" w:line="17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/s/ E. Allen Nicholson</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089" w:right="7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2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9, 2025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Brager</w:t>
            </w:r>
          </w:p>
        </w:tc>
      </w:tr>
      <w:tr>
        <w:trPr>
          <w:trHeight w:val="218"/>
        </w:trPr>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A. Brager</w:t>
            </w:r>
          </w:p>
        </w:tc>
        <w:tc>
          <w:tcPr>
            <w:tcW w:w="306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95"/>
        </w:trPr>
        <w:tc>
          <w:tcPr>
            <w:tcW w:w="5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25"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9, 2025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E. Allen Nicholson</w:t>
            </w:r>
          </w:p>
        </w:tc>
        <w:tc>
          <w:tcPr>
            <w:tcW w:w="2860" w:type="dxa"/>
            <w:vAlign w:val="bottom"/>
          </w:tcPr>
          <w:p>
            <w:pPr>
              <w:spacing w:after="0"/>
              <w:rPr>
                <w:sz w:val="18"/>
                <w:szCs w:val="18"/>
                <w:color w:val="auto"/>
              </w:rPr>
            </w:pPr>
          </w:p>
        </w:tc>
      </w:tr>
      <w:tr>
        <w:trPr>
          <w:trHeight w:val="218"/>
        </w:trPr>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Allen Nicholson</w:t>
            </w:r>
          </w:p>
        </w:tc>
      </w:tr>
      <w:tr>
        <w:trPr>
          <w:trHeight w:val="234"/>
        </w:trPr>
        <w:tc>
          <w:tcPr>
            <w:tcW w:w="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5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March 31, 2025,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9, 2025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Brager</w:t>
            </w:r>
          </w:p>
        </w:tc>
      </w:tr>
      <w:tr>
        <w:trPr>
          <w:trHeight w:val="218"/>
        </w:trPr>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A. Brager</w:t>
            </w:r>
          </w:p>
        </w:tc>
        <w:tc>
          <w:tcPr>
            <w:tcW w:w="306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95"/>
        </w:trPr>
        <w:tc>
          <w:tcPr>
            <w:tcW w:w="5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March 31, 2025,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9, 2025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E. Allen Nicholson</w:t>
            </w:r>
          </w:p>
        </w:tc>
        <w:tc>
          <w:tcPr>
            <w:tcW w:w="2860" w:type="dxa"/>
            <w:vAlign w:val="bottom"/>
          </w:tcPr>
          <w:p>
            <w:pPr>
              <w:spacing w:after="0"/>
              <w:rPr>
                <w:sz w:val="17"/>
                <w:szCs w:val="17"/>
                <w:color w:val="auto"/>
              </w:rPr>
            </w:pPr>
          </w:p>
        </w:tc>
      </w:tr>
      <w:tr>
        <w:trPr>
          <w:trHeight w:val="218"/>
        </w:trPr>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Allen Nicholson</w:t>
            </w:r>
          </w:p>
        </w:tc>
      </w:tr>
      <w:tr>
        <w:trPr>
          <w:trHeight w:val="234"/>
        </w:trPr>
        <w:tc>
          <w:tcPr>
            <w:tcW w:w="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5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lvl w:ilvl="1">
      <w:lvlJc w:val="left"/>
      <w:lvlText w:val="%2"/>
      <w:numFmt w:val="decimal"/>
      <w:start w:val="104"/>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2025-05-09T14:10:16Z</dcterms:created>
  <dcterms:modified xsi:type="dcterms:W3CDTF">2025-05-09T14:10:16Z</dcterms:modified>
</cp:coreProperties>
</file>