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cvbf-20260331.htm"/>
      <w:bookmarkStart w:id="1" w:name="kscvbf20260331"/>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 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pPr>
      <w:r>
        <w:rPr>
          <w:color w:val="000000"/>
        </w:rPr>
        <w:t xml:space="preserve">☒ </w:t>
      </w:r>
      <w:r>
        <w:rPr>
          <w:rFonts w:ascii="Times New Roman" w:hAnsi="Times New Roman"/>
          <w:b/>
          <w:color w:val="000000"/>
          <w:sz w:val="18"/>
        </w:rPr>
        <w:t>QUARTERLY REPORT PURSUANT TO SECTION 13 OR 15(d) OF THE SECURITIES EXCHANGE ACT OF 1934</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For the quarterly period ended March 31, 2026</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or</w:t>
      </w:r>
    </w:p>
    <w:p>
      <w:pPr>
        <w:pStyle w:val="TextBody"/>
        <w:bidi w:val="0"/>
        <w:jc w:val="center"/>
        <w:rPr/>
      </w:pPr>
      <w:r>
        <w:rPr/>
        <w:t> </w:t>
      </w:r>
    </w:p>
    <w:p>
      <w:pPr>
        <w:pStyle w:val="TextBody"/>
        <w:bidi w:val="0"/>
        <w:jc w:val="center"/>
        <w:rPr/>
      </w:pPr>
      <w:r>
        <w:rPr>
          <w:color w:val="000000"/>
        </w:rPr>
        <w:t xml:space="preserve">☐ </w:t>
      </w:r>
      <w:r>
        <w:rPr>
          <w:rFonts w:ascii="Times New Roman" w:hAnsi="Times New Roman"/>
          <w:b/>
          <w:color w:val="000000"/>
          <w:sz w:val="18"/>
        </w:rPr>
        <w:t>TRANSITION REPORT PURSUANT TO SECTION 13 OR 15(d) OF THE SECURITIES EXCHANGE ACT OF 1934</w:t>
      </w:r>
      <w:r>
        <w:rPr>
          <w:rFonts w:ascii="Times New Roman" w:hAnsi="Times New Roman"/>
          <w:color w:val="000000"/>
          <w:sz w:val="20"/>
        </w:rPr>
        <w:t xml:space="preserve"> </w:t>
      </w:r>
    </w:p>
    <w:p>
      <w:pPr>
        <w:pStyle w:val="TextBody"/>
        <w:bidi w:val="0"/>
        <w:jc w:val="center"/>
        <w:rPr>
          <w:rFonts w:ascii="Times New Roman" w:hAnsi="Times New Roman"/>
          <w:color w:val="000000"/>
          <w:sz w:val="18"/>
        </w:rPr>
      </w:pPr>
      <w:r>
        <w:rPr>
          <w:rFonts w:ascii="Times New Roman" w:hAnsi="Times New Roman"/>
          <w:color w:val="000000"/>
          <w:sz w:val="18"/>
        </w:rPr>
        <w:t>For the transition period from _____ to _____</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Commission File Number: 000-10140</w:t>
      </w:r>
    </w:p>
    <w:p>
      <w:pPr>
        <w:pStyle w:val="TextBody"/>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CVB FINANCIAL CORP.</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6723" w:type="dxa"/>
        <w:jc w:val="left"/>
        <w:tblInd w:w="0" w:type="dxa"/>
        <w:tblLayout w:type="fixed"/>
        <w:tblCellMar>
          <w:top w:w="28" w:type="dxa"/>
          <w:left w:w="28" w:type="dxa"/>
          <w:bottom w:w="28" w:type="dxa"/>
          <w:right w:w="28" w:type="dxa"/>
        </w:tblCellMar>
      </w:tblPr>
      <w:tblGrid>
        <w:gridCol w:w="2926"/>
        <w:gridCol w:w="2341"/>
        <w:gridCol w:w="1456"/>
      </w:tblGrid>
      <w:tr>
        <w:trPr/>
        <w:tc>
          <w:tcPr>
            <w:tcW w:w="292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California</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95-3629339</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(State or other jurisdiction of</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Incorporation or organization)</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 xml:space="preserve">(I.R.S. Employer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701 North Haven Ave., Suite 350</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Ontario, California</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91764</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(Address of principal executive offices)</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(Zip Code)</w:t>
            </w:r>
          </w:p>
        </w:tc>
      </w:tr>
      <w:tr>
        <w:trPr/>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(909) 980-4030</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(Registrant's telephone number,</w:t>
            </w:r>
          </w:p>
          <w:p>
            <w:pPr>
              <w:pStyle w:val="TableContents"/>
              <w:bidi w:val="0"/>
              <w:jc w:val="center"/>
              <w:rPr>
                <w:rFonts w:ascii="Times New Roman" w:hAnsi="Times New Roman"/>
                <w:color w:val="000000"/>
                <w:sz w:val="18"/>
              </w:rPr>
            </w:pPr>
            <w:r>
              <w:rPr>
                <w:rFonts w:ascii="Times New Roman" w:hAnsi="Times New Roman"/>
                <w:color w:val="000000"/>
                <w:sz w:val="18"/>
              </w:rPr>
              <w:t>including area code)</w:t>
            </w:r>
          </w:p>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7023" w:type="dxa"/>
        <w:jc w:val="left"/>
        <w:tblInd w:w="0" w:type="dxa"/>
        <w:tblLayout w:type="fixed"/>
        <w:tblCellMar>
          <w:top w:w="28" w:type="dxa"/>
          <w:left w:w="28" w:type="dxa"/>
          <w:bottom w:w="28" w:type="dxa"/>
          <w:right w:w="28" w:type="dxa"/>
        </w:tblCellMar>
      </w:tblPr>
      <w:tblGrid>
        <w:gridCol w:w="2296"/>
        <w:gridCol w:w="1456"/>
        <w:gridCol w:w="3271"/>
      </w:tblGrid>
      <w:tr>
        <w:trPr/>
        <w:tc>
          <w:tcPr>
            <w:tcW w:w="229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229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45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Trading Symbol(s)</w:t>
            </w:r>
          </w:p>
        </w:tc>
        <w:tc>
          <w:tcPr>
            <w:tcW w:w="32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22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No Par Value</w:t>
            </w:r>
          </w:p>
        </w:tc>
        <w:tc>
          <w:tcPr>
            <w:tcW w:w="14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CVBF</w:t>
            </w:r>
          </w:p>
        </w:tc>
        <w:tc>
          <w:tcPr>
            <w:tcW w:w="32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Stock Market, LLC</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 w:hAnsi="Times New Roman"/>
          <w:color w:val="000000"/>
          <w:sz w:val="20"/>
        </w:rPr>
        <w:t xml:space="preserve"> Yes ☒ No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hAnsi="Times New Roman"/>
          <w:color w:val="000000"/>
          <w:sz w:val="20"/>
        </w:rPr>
        <w:t>Yes ☒ No ☐</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accelerated filer, non-accelerated filer or smaller reporting company, or emerging growth company. See definition of “large accelerated filer,” “accelerated filer,” “smaller reporting company,” and “emerging growth company” in Rule 12b-2 of the Exchange Act. (Check one):</w:t>
      </w:r>
    </w:p>
    <w:p>
      <w:pPr>
        <w:pStyle w:val="TextBody"/>
        <w:bidi w:val="0"/>
        <w:jc w:val="both"/>
        <w:rPr/>
      </w:pPr>
      <w:r>
        <w:rPr/>
        <w:t> </w:t>
      </w:r>
    </w:p>
    <w:tbl>
      <w:tblPr>
        <w:tblW w:w="5051" w:type="dxa"/>
        <w:jc w:val="left"/>
        <w:tblInd w:w="0" w:type="dxa"/>
        <w:tblLayout w:type="fixed"/>
        <w:tblCellMar>
          <w:top w:w="28" w:type="dxa"/>
          <w:left w:w="28" w:type="dxa"/>
          <w:bottom w:w="28" w:type="dxa"/>
          <w:right w:w="28" w:type="dxa"/>
        </w:tblCellMar>
      </w:tblPr>
      <w:tblGrid>
        <w:gridCol w:w="2056"/>
        <w:gridCol w:w="316"/>
        <w:gridCol w:w="14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Indicate by check mark whether the registrant is a shell company (as defined in Rule 12b-2 of the Exchange 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 xml:space="preserve">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Number of shares of common stock of the registrant: 176,455,196</w:t>
      </w:r>
      <w:r>
        <w:rPr>
          <w:rFonts w:ascii="Times New Roman" w:hAnsi="Times New Roman"/>
          <w:color w:val="000000"/>
          <w:sz w:val="20"/>
        </w:rPr>
        <w:t xml:space="preserve"> </w:t>
      </w:r>
      <w:r>
        <w:rPr>
          <w:rFonts w:ascii="Times New Roman" w:hAnsi="Times New Roman"/>
          <w:color w:val="000000"/>
          <w:sz w:val="18"/>
        </w:rPr>
        <w:t>outstanding as of May 1, 2026.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66"/>
        <w:gridCol w:w="8262"/>
        <w:gridCol w:w="577"/>
      </w:tblGrid>
      <w:tr>
        <w:trPr/>
        <w:tc>
          <w:tcPr>
            <w:tcW w:w="1366" w:type="dxa"/>
            <w:tcBorders/>
            <w:vAlign w:val="center"/>
          </w:tcPr>
          <w:p>
            <w:pPr>
              <w:pStyle w:val="TableContents"/>
              <w:bidi w:val="0"/>
              <w:spacing w:before="0" w:after="283"/>
              <w:jc w:val="left"/>
              <w:rPr>
                <w:sz w:val="4"/>
                <w:szCs w:val="4"/>
              </w:rPr>
            </w:pPr>
            <w:r>
              <w:rPr>
                <w:sz w:val="4"/>
                <w:szCs w:val="4"/>
              </w:rPr>
            </w:r>
          </w:p>
        </w:tc>
        <w:tc>
          <w:tcPr>
            <w:tcW w:w="826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9628" w:type="dxa"/>
            <w:gridSpan w:val="2"/>
            <w:tcBorders/>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FORWARD-LOOKING STATEMENTS</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 –</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color w:val="0000FF"/>
                  <w:sz w:val="20"/>
                  <w:u w:val="single"/>
                </w:rPr>
                <w:t>FINANCIAL INFORMATION (UNAUDITED)</w:t>
              </w:r>
            </w:hyperlink>
          </w:p>
        </w:tc>
        <w:tc>
          <w:tcPr>
            <w:tcW w:w="577"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4</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0"/>
              </w:rPr>
            </w:pPr>
            <w:r>
              <w:rPr>
                <w:rFonts w:ascii="Times New Roman" w:hAnsi="Times New Roman"/>
                <w:b/>
                <w:color w:val="000000"/>
                <w:sz w:val="20"/>
              </w:rPr>
              <w:t>ITEM 1.</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CONDENSED CONSOLIDATED FINANCIAL STATEMENTS</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CONSOLIDATED BALANCE SHEETS</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826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statements_comp_income">
              <w:r>
                <w:rPr>
                  <w:rStyle w:val="InternetLink"/>
                  <w:rFonts w:ascii="Times New Roman" w:hAnsi="Times New Roman"/>
                  <w:color w:val="0000FF"/>
                  <w:sz w:val="20"/>
                  <w:u w:val="single"/>
                </w:rPr>
                <w:t>CONDENSED CONSOLIDATED STATEMENTS OF EARNINGS AND COMPREHENSIVE INCOME</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statements_equity">
              <w:r>
                <w:rPr>
                  <w:rStyle w:val="InternetLink"/>
                  <w:rFonts w:ascii="Times New Roman" w:hAnsi="Times New Roman"/>
                  <w:color w:val="0000FF"/>
                  <w:sz w:val="20"/>
                  <w:u w:val="single"/>
                </w:rPr>
                <w:t>CONDENSED CONSOLIDATED STATEMENTS OF STOCKHOLDERS' EQUITY</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000FF"/>
                  <w:sz w:val="20"/>
                  <w:u w:val="single"/>
                </w:rPr>
                <w:t>CONDENSED CONSOLIDATED STATEMENTS OF CASH FLOWS</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notes_financial_statements">
              <w:r>
                <w:rPr>
                  <w:rStyle w:val="InternetLink"/>
                  <w:rFonts w:ascii="Times New Roman" w:hAnsi="Times New Roman"/>
                  <w:color w:val="0000FF"/>
                  <w:sz w:val="20"/>
                  <w:u w:val="single"/>
                </w:rPr>
                <w:t>NOTES TO THE CONDENSED CONSOLIDATED FINANCIAL STATEMENTS</w:t>
              </w:r>
            </w:hyperlink>
          </w:p>
        </w:tc>
        <w:tc>
          <w:tcPr>
            <w:tcW w:w="577"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9</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0"/>
              </w:rPr>
            </w:pPr>
            <w:r>
              <w:rPr>
                <w:rFonts w:ascii="Times New Roman" w:hAnsi="Times New Roman"/>
                <w:b/>
                <w:color w:val="000000"/>
                <w:sz w:val="20"/>
              </w:rPr>
              <w:t>ITEM 2.</w:t>
            </w:r>
          </w:p>
        </w:tc>
        <w:tc>
          <w:tcPr>
            <w:tcW w:w="826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i_item2_mda">
              <w:r>
                <w:rPr>
                  <w:rStyle w:val="InternetLink"/>
                  <w:rFonts w:ascii="Times New Roman" w:hAnsi="Times New Roman"/>
                  <w:color w:val="0000FF"/>
                  <w:sz w:val="20"/>
                  <w:u w:val="single"/>
                </w:rPr>
                <w:t>MANAGEMENT’S DISCUSSION AND ANALYSIS OF FINANCIAL CONDITION AND RESULTS OF OPERATIONS</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critical_accounting_policies">
              <w:r>
                <w:rPr>
                  <w:rStyle w:val="InternetLink"/>
                  <w:rFonts w:ascii="Times New Roman" w:hAnsi="Times New Roman"/>
                  <w:color w:val="0000FF"/>
                  <w:sz w:val="20"/>
                  <w:u w:val="single"/>
                </w:rPr>
                <w:t>CRITICAL ACCOUNTING POLICIES</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overview">
              <w:r>
                <w:rPr>
                  <w:rStyle w:val="InternetLink"/>
                  <w:rFonts w:ascii="Times New Roman" w:hAnsi="Times New Roman"/>
                  <w:color w:val="0000FF"/>
                  <w:sz w:val="20"/>
                  <w:u w:val="single"/>
                </w:rPr>
                <w:t>OVERVIEW</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analysis_results_operations">
              <w:r>
                <w:rPr>
                  <w:rStyle w:val="InternetLink"/>
                  <w:rFonts w:ascii="Times New Roman" w:hAnsi="Times New Roman"/>
                  <w:color w:val="0000FF"/>
                  <w:sz w:val="20"/>
                  <w:u w:val="single"/>
                </w:rPr>
                <w:t>ANALYSIS OF THE RESULTS OF OPERATIONS</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analysis_financial_condition">
              <w:r>
                <w:rPr>
                  <w:rStyle w:val="InternetLink"/>
                  <w:rFonts w:ascii="Times New Roman" w:hAnsi="Times New Roman"/>
                  <w:color w:val="0000FF"/>
                  <w:sz w:val="20"/>
                  <w:u w:val="single"/>
                </w:rPr>
                <w:t>ANALYSIS OF FINANCIAL CONDITION</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liability_risk_management">
              <w:r>
                <w:rPr>
                  <w:rStyle w:val="InternetLink"/>
                  <w:rFonts w:ascii="Times New Roman" w:hAnsi="Times New Roman"/>
                  <w:color w:val="0000FF"/>
                  <w:sz w:val="20"/>
                  <w:u w:val="single"/>
                </w:rPr>
                <w:t>ASSET/LIABILITY AND MARKET RISK MANAGEMENT</w:t>
              </w:r>
            </w:hyperlink>
          </w:p>
        </w:tc>
        <w:tc>
          <w:tcPr>
            <w:tcW w:w="577"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60</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0"/>
              </w:rPr>
            </w:pPr>
            <w:r>
              <w:rPr>
                <w:rFonts w:ascii="Times New Roman" w:hAnsi="Times New Roman"/>
                <w:b/>
                <w:color w:val="000000"/>
                <w:sz w:val="20"/>
              </w:rPr>
              <w:t>ITEM 3.</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577"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63</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0"/>
              </w:rPr>
            </w:pPr>
            <w:r>
              <w:rPr>
                <w:rFonts w:ascii="Times New Roman" w:hAnsi="Times New Roman"/>
                <w:b/>
                <w:color w:val="000000"/>
                <w:sz w:val="20"/>
              </w:rPr>
              <w:t>ITEM 4.</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 –</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partii_other_information">
              <w:r>
                <w:rPr>
                  <w:rStyle w:val="InternetLink"/>
                  <w:rFonts w:ascii="Times New Roman" w:hAnsi="Times New Roman"/>
                  <w:color w:val="0000FF"/>
                  <w:sz w:val="20"/>
                  <w:u w:val="single"/>
                </w:rPr>
                <w:t>OTHER INFORMATION</w:t>
              </w:r>
            </w:hyperlink>
          </w:p>
        </w:tc>
        <w:tc>
          <w:tcPr>
            <w:tcW w:w="577"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64</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0"/>
              </w:rPr>
            </w:pPr>
            <w:r>
              <w:rPr>
                <w:rFonts w:ascii="Times New Roman" w:hAnsi="Times New Roman"/>
                <w:b/>
                <w:color w:val="000000"/>
                <w:sz w:val="20"/>
              </w:rPr>
              <w:t>ITEM 1.</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577"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64</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0"/>
              </w:rPr>
            </w:pPr>
            <w:r>
              <w:rPr>
                <w:rFonts w:ascii="Times New Roman" w:hAnsi="Times New Roman"/>
                <w:b/>
                <w:color w:val="000000"/>
                <w:sz w:val="20"/>
              </w:rPr>
              <w:t>ITEM 1A.</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577"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64</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0"/>
              </w:rPr>
            </w:pPr>
            <w:r>
              <w:rPr>
                <w:rFonts w:ascii="Times New Roman" w:hAnsi="Times New Roman"/>
                <w:b/>
                <w:color w:val="000000"/>
                <w:sz w:val="20"/>
              </w:rPr>
              <w:t>ITEM 2.</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577"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65</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0"/>
              </w:rPr>
            </w:pPr>
            <w:r>
              <w:rPr>
                <w:rFonts w:ascii="Times New Roman" w:hAnsi="Times New Roman"/>
                <w:b/>
                <w:color w:val="000000"/>
                <w:sz w:val="20"/>
              </w:rPr>
              <w:t>ITEM 3.</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577"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65</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0"/>
              </w:rPr>
            </w:pPr>
            <w:r>
              <w:rPr>
                <w:rFonts w:ascii="Times New Roman" w:hAnsi="Times New Roman"/>
                <w:b/>
                <w:color w:val="000000"/>
                <w:sz w:val="20"/>
              </w:rPr>
              <w:t>ITEM 4.</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577"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65</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0"/>
              </w:rPr>
            </w:pPr>
            <w:r>
              <w:rPr>
                <w:rFonts w:ascii="Times New Roman" w:hAnsi="Times New Roman"/>
                <w:b/>
                <w:color w:val="000000"/>
                <w:sz w:val="20"/>
              </w:rPr>
              <w:t>ITEM 5.</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577"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65</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0"/>
              </w:rPr>
            </w:pPr>
            <w:r>
              <w:rPr>
                <w:rFonts w:ascii="Times New Roman" w:hAnsi="Times New Roman"/>
                <w:b/>
                <w:color w:val="000000"/>
                <w:sz w:val="20"/>
              </w:rPr>
              <w:t>ITEM 6.</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8262" w:type="dxa"/>
            <w:tcBorders/>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bookmarkStart w:id="2" w:name="forward_looking_statements"/>
      <w:bookmarkEnd w:id="2"/>
      <w:r>
        <w:rPr>
          <w:rFonts w:ascii="Times New Roman" w:hAnsi="Times New Roman"/>
          <w:b/>
          <w:color w:val="000000"/>
          <w:sz w:val="20"/>
        </w:rPr>
        <w:t>Forward-Looking Statements</w:t>
      </w:r>
    </w:p>
    <w:p>
      <w:pPr>
        <w:pStyle w:val="TextBody"/>
        <w:bidi w:val="0"/>
        <w:jc w:val="left"/>
        <w:rPr/>
      </w:pPr>
      <w:r>
        <w:rPr/>
        <w:t> </w:t>
      </w:r>
    </w:p>
    <w:p>
      <w:pPr>
        <w:pStyle w:val="TextBody"/>
        <w:bidi w:val="0"/>
        <w:jc w:val="both"/>
        <w:rPr>
          <w:rFonts w:ascii="Times New Roman" w:hAnsi="Times New Roman"/>
          <w:color w:val="000000"/>
          <w:sz w:val="19"/>
        </w:rPr>
      </w:pPr>
      <w:r>
        <w:rPr>
          <w:rFonts w:ascii="Times New Roman" w:hAnsi="Times New Roman"/>
          <w:color w:val="000000"/>
          <w:sz w:val="19"/>
        </w:rPr>
        <w:t>Certain statements set forth herein constitute forward-looking statements within the meaning of the Private Securities Litigation Reform Act of 1995.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that could cause actual results or performance to differ materially from those projected. These forward-looking statements are based on management’s current expectations and beliefs concerning future developments and their potential effects on the Company, including, without limitation, plans, strategies, goals and statements about the Company’s outlook regarding revenue and asset growth, financial performance and profitability, capital and liquidity levels, loan and deposit levels, growth and retention, yields and returns, loan diversification and credit management, stockholder value creation, tax rates, the impact of business, economic, or political developments, the impact of monetary, fiscal and trade policies, and the impact of acquisitions we have made or may make, including our recent acquisition of Heritage Commerce Corp and its principal banking subsidiary, Heritage Bank of Commerce (collectively, “Heritage”). Such statements involve inherent risks and uncertainties, many of which are difficult to predict and are generally beyond the control of the 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w:t>
      </w:r>
    </w:p>
    <w:p>
      <w:pPr>
        <w:pStyle w:val="TextBody"/>
        <w:bidi w:val="0"/>
        <w:jc w:val="both"/>
        <w:rPr/>
      </w:pPr>
      <w:r>
        <w:rPr/>
        <w:t> </w:t>
      </w:r>
    </w:p>
    <w:p>
      <w:pPr>
        <w:pStyle w:val="TextBody"/>
        <w:bidi w:val="0"/>
        <w:jc w:val="both"/>
        <w:rPr>
          <w:rFonts w:ascii="Times New Roman" w:hAnsi="Times New Roman"/>
          <w:color w:val="000000"/>
          <w:sz w:val="19"/>
        </w:rPr>
      </w:pPr>
      <w:r>
        <w:rPr>
          <w:rFonts w:ascii="Times New Roman" w:hAnsi="Times New Roman"/>
          <w:color w:val="000000"/>
          <w:sz w:val="19"/>
        </w:rPr>
        <w:t>General risks and uncertainties include, but are not limited to, the following: the strength of the United States economy and the strength of the local economies in which we conduct business; the effects of, and changes in, immigration, trade, tariff, monetary, and fiscal policies and laws, including interest rate policies of the Board of Governors of the Federal Reserve System; inflation/deflation, interest rate, market, and monetary fluctuations; the effect of acquisitions we have made or may make, including, without limitation, the failure to achieve the expected revenue growth and/or expense savings from such acquisitions, and/or the failure to effectively integrate an acquisition target, key personnel and customers into our operations; the timely development of competitive new products and services, and the acceptance of these products and services by potential and existing customers; the impact of changes in financial services policies, laws, and regulations, including those concerning banking, taxes, securities and insurance, and the application thereof by regulatory agencies; the effectiveness of our risk management framework and quantitative models; changes in the level of our nonperforming assets and charge-offs; the effect of changes in accounting policies and practices or accounting standards, as may be adopted from time-to-time by bank regulatory agencies, the U.S. Securities and Exchange Commission (“SEC”), the Public Company Accounting Oversight Board, the Financial Accounting Standards Board or other accounting standards setters; possible credit related impairments or declines in the fair value of loans and securities held by us; possible impairment charges to goodwill, including any impairment that may result from increased volatility in our stock price; changes in consumer or business spending, borrowing and savings habits; the effects of our lack of a diversified loan portfolio, including the risks of geographic and industry concentrations; periodic fluctuations in commercial or residential real estate prices or values; our ability to attract or retain deposits (including low cost deposits) or to access government or private lending facilities and other sources of liquidity; the possibility that we may reduce or discontinue the payment of dividends on our common stock; changes in the financial performance and/or condition of our borrowers or depositors; changes in the competitive environment among financial and bank holding companies and other financial service providers; technological changes in banking and financial services; systemic or non-systemic bank failures or crises; geopolitical conditions, including acts or threats of terrorism, actions taken by the United States or other governments in response to acts or threats of terrorism, and/or military conflicts, which could impact business and economic conditions in the United States and abroad; catastrophic events or natural disasters, including earthquakes, drought, climate change or extreme weather events that may affect our assets, communications or computer services, customers, employees or third party vendors; public health crises and pandemics, and their effects on the economic and business environments in which we operate, including our asset credit quality, business operations and employees, as well as the impact on general economic and financial market conditions; cybersecurity threats and fraud and the costs of defending against them, including the costs of compliance with legislation or regulations to combat fraud and cybersecurity threats; our ability to recruit and retain key executives, board members and other employees, and our compliance with federal, state and local employment laws and regulations; ongoing or unanticipated regulatory or legal proceedings or outcomes; risks associated with our recently completed merger with Heritage, including difficulties and delays in integrating or retaining Heritage’s business, key personnel and customers, and achieving anticipated synergies, cost savings enhanced geographic coverage and other benefits from the transaction; and our ability to manage the risks involved in the foregoing.</w:t>
      </w:r>
    </w:p>
    <w:p>
      <w:pPr>
        <w:pStyle w:val="TextBody"/>
        <w:bidi w:val="0"/>
        <w:jc w:val="both"/>
        <w:rPr>
          <w:rFonts w:ascii="Times New Roman" w:hAnsi="Times New Roman"/>
          <w:color w:val="000000"/>
          <w:sz w:val="19"/>
        </w:rPr>
      </w:pPr>
      <w:r>
        <w:rPr>
          <w:rFonts w:ascii="Times New Roman" w:hAnsi="Times New Roman"/>
          <w:color w:val="000000"/>
          <w:sz w:val="19"/>
        </w:rPr>
        <w:t>Additional factors that could cause actual results to differ materially from those expressed in the forward-looking statements are discussed in the Company's 2025 Annual Report on Form 10-K filed with the SEC and available at the SEC’s Internet site (http://www.sec.gov).</w:t>
      </w:r>
    </w:p>
    <w:p>
      <w:pPr>
        <w:pStyle w:val="TextBody"/>
        <w:bidi w:val="0"/>
        <w:jc w:val="both"/>
        <w:rPr>
          <w:rFonts w:ascii="Times New Roman" w:hAnsi="Times New Roman"/>
          <w:color w:val="000000"/>
          <w:sz w:val="19"/>
        </w:rPr>
      </w:pPr>
      <w:r>
        <w:rPr>
          <w:rFonts w:ascii="Times New Roman" w:hAnsi="Times New Roman"/>
          <w:color w:val="000000"/>
          <w:sz w:val="19"/>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equity or shareholder returns, are for illustrative purposes only, are not forecasts, and actual results may differ.</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jc w:val="center"/>
        <w:rPr>
          <w:rFonts w:ascii="Times New Roman" w:hAnsi="Times New Roman"/>
          <w:color w:val="000000"/>
          <w:sz w:val="20"/>
        </w:rPr>
      </w:pPr>
      <w:bookmarkStart w:id="3" w:name="part_1_financial_information"/>
      <w:bookmarkEnd w:id="3"/>
      <w:r>
        <w:rPr>
          <w:rFonts w:ascii="Times New Roman" w:hAnsi="Times New Roman"/>
          <w:color w:val="000000"/>
          <w:sz w:val="20"/>
        </w:rPr>
        <w:t>PART I – FINANCIAL INFORMATION</w:t>
      </w:r>
    </w:p>
    <w:p>
      <w:pPr>
        <w:pStyle w:val="Heading1"/>
        <w:bidi w:val="0"/>
        <w:jc w:val="center"/>
        <w:rPr/>
      </w:pPr>
      <w:r>
        <w:rPr/>
        <w:t> </w:t>
      </w:r>
    </w:p>
    <w:p>
      <w:pPr>
        <w:pStyle w:val="Heading1"/>
        <w:bidi w:val="0"/>
        <w:jc w:val="left"/>
        <w:rPr>
          <w:rFonts w:ascii="Times New Roman" w:hAnsi="Times New Roman"/>
          <w:color w:val="000000"/>
          <w:sz w:val="20"/>
        </w:rPr>
      </w:pPr>
      <w:bookmarkStart w:id="4" w:name="i_item1"/>
      <w:bookmarkEnd w:id="4"/>
      <w:r>
        <w:rPr>
          <w:rFonts w:ascii="Times New Roman" w:hAnsi="Times New Roman"/>
          <w:color w:val="000000"/>
          <w:sz w:val="20"/>
        </w:rPr>
        <w:t>ITEM 1. CONDENSED CONSOLIDATED FINANCIAL STATEMENTS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CVB FINANCIAL CORP. AND SUBSIDIARIES</w:t>
      </w:r>
    </w:p>
    <w:p>
      <w:pPr>
        <w:pStyle w:val="TextBody"/>
        <w:bidi w:val="0"/>
        <w:jc w:val="center"/>
        <w:rPr>
          <w:rFonts w:ascii="Times New Roman" w:hAnsi="Times New Roman"/>
          <w:b/>
          <w:color w:val="000000"/>
          <w:sz w:val="20"/>
        </w:rPr>
      </w:pPr>
      <w:bookmarkStart w:id="5" w:name="balance_sheet"/>
      <w:bookmarkEnd w:id="5"/>
      <w:r>
        <w:rPr>
          <w:rFonts w:ascii="Times New Roman" w:hAnsi="Times New Roman"/>
          <w:b/>
          <w:color w:val="000000"/>
          <w:sz w:val="20"/>
        </w:rPr>
        <w:t>CONDENSED CONSOLIDATED BALANCE SHEETS</w:t>
      </w:r>
    </w:p>
    <w:p>
      <w:pPr>
        <w:pStyle w:val="TextBody"/>
        <w:bidi w:val="0"/>
        <w:jc w:val="center"/>
        <w:rPr>
          <w:rFonts w:ascii="Times New Roman" w:hAnsi="Times New Roman"/>
          <w:i/>
          <w:color w:val="000000"/>
          <w:sz w:val="18"/>
        </w:rPr>
      </w:pPr>
      <w:r>
        <w:rPr>
          <w:rFonts w:ascii="Times New Roman" w:hAnsi="Times New Roman"/>
          <w:i/>
          <w:color w:val="000000"/>
          <w:sz w:val="18"/>
        </w:rPr>
        <w:t>(Dollars in thousands, except share amounts)</w:t>
      </w:r>
    </w:p>
    <w:p>
      <w:pPr>
        <w:pStyle w:val="TextBody"/>
        <w:bidi w:val="0"/>
        <w:jc w:val="center"/>
        <w:rPr>
          <w:rFonts w:ascii="Times New Roman" w:hAnsi="Times New Roman"/>
          <w:sz w:val="20"/>
        </w:rPr>
      </w:pPr>
      <w:r>
        <w:rPr>
          <w:rFonts w:ascii="Times New Roman" w:hAnsi="Times New Roman"/>
          <w:i/>
          <w:color w:val="000000"/>
          <w:sz w:val="18"/>
        </w:rPr>
        <w:t>(Unaudited)</w:t>
      </w:r>
      <w:r>
        <w:rPr>
          <w:rFonts w:ascii="Times New Roman" w:hAnsi="Times New Roman"/>
          <w:color w:val="000000"/>
          <w:sz w:val="20"/>
        </w:rPr>
        <w:t xml:space="preserve"> </w:t>
      </w:r>
    </w:p>
    <w:p>
      <w:pPr>
        <w:pStyle w:val="TextBody"/>
        <w:bidi w:val="0"/>
        <w:jc w:val="center"/>
        <w:rPr/>
      </w:pPr>
      <w:r>
        <w:rPr/>
        <w:t> </w:t>
      </w:r>
    </w:p>
    <w:tbl>
      <w:tblPr>
        <w:tblW w:w="9982" w:type="dxa"/>
        <w:jc w:val="left"/>
        <w:tblInd w:w="0" w:type="dxa"/>
        <w:tblLayout w:type="fixed"/>
        <w:tblCellMar>
          <w:top w:w="28" w:type="dxa"/>
          <w:left w:w="28" w:type="dxa"/>
          <w:bottom w:w="28" w:type="dxa"/>
          <w:right w:w="28" w:type="dxa"/>
        </w:tblCellMar>
      </w:tblPr>
      <w:tblGrid>
        <w:gridCol w:w="6381"/>
        <w:gridCol w:w="146"/>
        <w:gridCol w:w="196"/>
        <w:gridCol w:w="916"/>
        <w:gridCol w:w="166"/>
        <w:gridCol w:w="146"/>
        <w:gridCol w:w="201"/>
        <w:gridCol w:w="939"/>
        <w:gridCol w:w="891"/>
      </w:tblGrid>
      <w:tr>
        <w:trPr/>
        <w:tc>
          <w:tcPr>
            <w:tcW w:w="6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due from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107,511</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Interest-earning balances due from Federal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268,878</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376,389</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Interest-earning balances due from depository institutions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13,064</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 xml:space="preserve">Investment securities available-for-sale, at fair value (with amortized cost of </w:t>
              <w:br/>
              <w:t>   $2,895,569</w:t>
            </w:r>
            <w:r>
              <w:rPr>
                <w:rFonts w:ascii="Times New Roman" w:hAnsi="Times New Roman"/>
                <w:color w:val="000000"/>
                <w:sz w:val="20"/>
              </w:rPr>
              <w:t> </w:t>
            </w:r>
            <w:r>
              <w:rPr>
                <w:rFonts w:ascii="Times New Roman" w:hAnsi="Times New Roman"/>
                <w:color w:val="000000"/>
                <w:sz w:val="18"/>
              </w:rPr>
              <w:t>at March 31, 2026, and $2,982,228</w:t>
            </w:r>
            <w:r>
              <w:rPr>
                <w:rFonts w:ascii="Times New Roman" w:hAnsi="Times New Roman"/>
                <w:color w:val="000000"/>
                <w:sz w:val="20"/>
              </w:rPr>
              <w:t> </w:t>
            </w:r>
            <w:r>
              <w:rPr>
                <w:rFonts w:ascii="Times New Roman" w:hAnsi="Times New Roman"/>
                <w:color w:val="000000"/>
                <w:sz w:val="18"/>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2,589,119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2,683,070</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Investment securities held-to-maturity (with fair value of $1,892,313</w:t>
            </w:r>
            <w:r>
              <w:rPr>
                <w:rFonts w:ascii="Times New Roman" w:hAnsi="Times New Roman"/>
                <w:color w:val="000000"/>
                <w:sz w:val="20"/>
              </w:rPr>
              <w:t> </w:t>
            </w:r>
            <w:r>
              <w:rPr>
                <w:rFonts w:ascii="Times New Roman" w:hAnsi="Times New Roman"/>
                <w:color w:val="000000"/>
                <w:sz w:val="18"/>
              </w:rPr>
              <w:t xml:space="preserve">at </w:t>
              <w:br/>
              <w:t>   March 31, 2026, and $1,925,492</w:t>
            </w:r>
            <w:r>
              <w:rPr>
                <w:rFonts w:ascii="Times New Roman" w:hAnsi="Times New Roman"/>
                <w:color w:val="000000"/>
                <w:sz w:val="20"/>
              </w:rPr>
              <w:t> </w:t>
            </w:r>
            <w:r>
              <w:rPr>
                <w:rFonts w:ascii="Times New Roman" w:hAnsi="Times New Roman"/>
                <w:color w:val="000000"/>
                <w:sz w:val="18"/>
              </w:rPr>
              <w:t>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2,248,038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2,270,391</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4,837,157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4,953,461</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in FHLB, FRB, and other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55,948</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Loans and lease finance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8,643,316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8,699,193</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(77,161</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Net loans and lease finance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8,563,146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8,622,032</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Premises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26,505</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Bank owned life insurance (“BOLI”)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325,299</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46,723</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5,774</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765,822</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174,169</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265,868</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15,507,580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15,631,054</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Noninterest-bearing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7,100,507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6,800,691</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Interest-bearing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4,844,717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5,271,291</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11,945,224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12,071,982</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Customer repurchase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490,601</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Federal Home Loan Bank advances and other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22,318</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4,770</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246,159</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13,186,299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13,335,830</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authorized, 225,000,000</w:t>
            </w:r>
            <w:r>
              <w:rPr>
                <w:rFonts w:ascii="Times New Roman" w:hAnsi="Times New Roman"/>
                <w:color w:val="000000"/>
                <w:sz w:val="20"/>
              </w:rPr>
              <w:t> </w:t>
            </w:r>
            <w:r>
              <w:rPr>
                <w:rFonts w:ascii="Times New Roman" w:hAnsi="Times New Roman"/>
                <w:color w:val="000000"/>
                <w:sz w:val="18"/>
              </w:rPr>
              <w:t>shares without par; issued and</w:t>
              <w:br/>
              <w:t> outstanding 135,791,180</w:t>
            </w:r>
            <w:r>
              <w:rPr>
                <w:rFonts w:ascii="Times New Roman" w:hAnsi="Times New Roman"/>
                <w:color w:val="000000"/>
                <w:sz w:val="20"/>
              </w:rPr>
              <w:t> </w:t>
            </w:r>
            <w:r>
              <w:rPr>
                <w:rFonts w:ascii="Times New Roman" w:hAnsi="Times New Roman"/>
                <w:color w:val="000000"/>
                <w:sz w:val="18"/>
              </w:rPr>
              <w:t>at March 31, 2026, and 135,551,799</w:t>
            </w:r>
            <w:r>
              <w:rPr>
                <w:rFonts w:ascii="Times New Roman" w:hAnsi="Times New Roman"/>
                <w:color w:val="000000"/>
                <w:sz w:val="20"/>
              </w:rPr>
              <w:t> </w:t>
            </w:r>
            <w:r>
              <w:rPr>
                <w:rFonts w:ascii="Times New Roman" w:hAnsi="Times New Roman"/>
                <w:color w:val="000000"/>
                <w:sz w:val="18"/>
              </w:rPr>
              <w:t>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1,222,365</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1,324,318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1,300,513</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(227,654</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18"/>
              </w:rPr>
            </w:pPr>
            <w:r>
              <w:rPr>
                <w:rFonts w:ascii="Times New Roman" w:hAnsi="Times New Roman"/>
                <w:b/>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2,321,281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2,295,224</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15,507,580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15,631,054</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CVB FINANCIAL CORP. AND SUBSIDIARIES</w:t>
      </w:r>
    </w:p>
    <w:p>
      <w:pPr>
        <w:pStyle w:val="TextBody"/>
        <w:bidi w:val="0"/>
        <w:jc w:val="center"/>
        <w:rPr>
          <w:rFonts w:ascii="Times New Roman" w:hAnsi="Times New Roman"/>
          <w:sz w:val="20"/>
        </w:rPr>
      </w:pPr>
      <w:bookmarkStart w:id="6" w:name="statements_comp_income"/>
      <w:bookmarkEnd w:id="6"/>
      <w:r>
        <w:rPr>
          <w:rFonts w:ascii="Times New Roman" w:hAnsi="Times New Roman"/>
          <w:b/>
          <w:color w:val="000000"/>
          <w:sz w:val="20"/>
        </w:rPr>
        <w:t>CONDENSED CONSOLIDATED STATEMENTS</w:t>
      </w:r>
      <w:r>
        <w:rPr>
          <w:rFonts w:ascii="Times New Roman" w:hAnsi="Times New Roman"/>
          <w:color w:val="000000"/>
          <w:sz w:val="20"/>
        </w:rPr>
        <w:t xml:space="preserve"> </w:t>
      </w:r>
      <w:r>
        <w:rPr>
          <w:rFonts w:ascii="Times New Roman" w:hAnsi="Times New Roman"/>
          <w:b/>
          <w:color w:val="000000"/>
          <w:sz w:val="20"/>
        </w:rPr>
        <w:t>OF EARNINGS AND COMPREHENSIVE INCOME</w:t>
      </w:r>
    </w:p>
    <w:p>
      <w:pPr>
        <w:pStyle w:val="TextBody"/>
        <w:bidi w:val="0"/>
        <w:jc w:val="center"/>
        <w:rPr>
          <w:rFonts w:ascii="Times New Roman" w:hAnsi="Times New Roman"/>
          <w:i/>
          <w:color w:val="000000"/>
          <w:sz w:val="18"/>
        </w:rPr>
      </w:pPr>
      <w:r>
        <w:rPr>
          <w:rFonts w:ascii="Times New Roman" w:hAnsi="Times New Roman"/>
          <w:i/>
          <w:color w:val="000000"/>
          <w:sz w:val="18"/>
        </w:rPr>
        <w:t>(Dollars in thousands, except per share amounts)</w:t>
      </w:r>
    </w:p>
    <w:p>
      <w:pPr>
        <w:pStyle w:val="TextBody"/>
        <w:bidi w:val="0"/>
        <w:jc w:val="center"/>
        <w:rPr>
          <w:rFonts w:ascii="Times New Roman" w:hAnsi="Times New Roman"/>
          <w:sz w:val="20"/>
        </w:rPr>
      </w:pPr>
      <w:r>
        <w:rPr>
          <w:rFonts w:ascii="Times New Roman" w:hAnsi="Times New Roman"/>
          <w:i/>
          <w:color w:val="000000"/>
          <w:sz w:val="18"/>
        </w:rPr>
        <w:t>(Unaudited)</w:t>
      </w:r>
      <w:r>
        <w:rPr>
          <w:rFonts w:ascii="Times New Roman" w:hAnsi="Times New Roman"/>
          <w:color w:val="000000"/>
          <w:sz w:val="20"/>
        </w:rPr>
        <w:t xml:space="preserve"> </w:t>
      </w:r>
    </w:p>
    <w:tbl>
      <w:tblPr>
        <w:tblW w:w="8734" w:type="dxa"/>
        <w:jc w:val="left"/>
        <w:tblInd w:w="0" w:type="dxa"/>
        <w:tblLayout w:type="fixed"/>
        <w:tblCellMar>
          <w:top w:w="28" w:type="dxa"/>
          <w:left w:w="28" w:type="dxa"/>
          <w:bottom w:w="28" w:type="dxa"/>
          <w:right w:w="28" w:type="dxa"/>
        </w:tblCellMar>
      </w:tblPr>
      <w:tblGrid>
        <w:gridCol w:w="5711"/>
        <w:gridCol w:w="146"/>
        <w:gridCol w:w="196"/>
        <w:gridCol w:w="691"/>
        <w:gridCol w:w="166"/>
        <w:gridCol w:w="146"/>
        <w:gridCol w:w="196"/>
        <w:gridCol w:w="691"/>
        <w:gridCol w:w="791"/>
      </w:tblGrid>
      <w:tr>
        <w:trPr/>
        <w:tc>
          <w:tcPr>
            <w:tcW w:w="5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Loans and leases, including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109,071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Investment securities available-for-sale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Investment securities held-to-maturity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31,755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Dividends from FHLB, FRB, and other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Interest-earning deposits with other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143,002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Borrowings and customer repurchase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32,558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interest income before provision for (recapture of)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110,444</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(recapture of)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interest income after provision for (recapture of)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112,444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 charges on deposit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Trust and investment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Bankcard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BOLI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OREO,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16,229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Salaries and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36,477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Occupancy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Computer software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Marketing and promotion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unfunded loan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noninterest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59,144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Earnings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69,529</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51,104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gain on securities arising during the period,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49,360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Less: Income tax expense related to items of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(14,596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34,764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85,868</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Basic earnings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0.37</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CVB FINANCIAL CORP. AND SUBSIDIARIES</w:t>
      </w:r>
    </w:p>
    <w:p>
      <w:pPr>
        <w:pStyle w:val="TextBody"/>
        <w:bidi w:val="0"/>
        <w:jc w:val="center"/>
        <w:rPr>
          <w:rFonts w:ascii="Times New Roman" w:hAnsi="Times New Roman"/>
          <w:b/>
          <w:color w:val="000000"/>
          <w:sz w:val="20"/>
        </w:rPr>
      </w:pPr>
      <w:bookmarkStart w:id="7" w:name="statements_equity"/>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MARCH 31, 2026 AND 2025</w:t>
      </w:r>
    </w:p>
    <w:p>
      <w:pPr>
        <w:pStyle w:val="TextBody"/>
        <w:bidi w:val="0"/>
        <w:jc w:val="center"/>
        <w:rPr>
          <w:rFonts w:ascii="Times New Roman" w:hAnsi="Times New Roman"/>
          <w:i/>
          <w:color w:val="000000"/>
          <w:sz w:val="18"/>
        </w:rPr>
      </w:pPr>
      <w:r>
        <w:rPr>
          <w:rFonts w:ascii="Times New Roman" w:hAnsi="Times New Roman"/>
          <w:i/>
          <w:color w:val="000000"/>
          <w:sz w:val="18"/>
        </w:rPr>
        <w:t>(Dollars in thousands, except share data)</w:t>
      </w:r>
    </w:p>
    <w:p>
      <w:pPr>
        <w:pStyle w:val="TextBody"/>
        <w:bidi w:val="0"/>
        <w:jc w:val="center"/>
        <w:rPr>
          <w:rFonts w:ascii="Times New Roman" w:hAnsi="Times New Roman"/>
          <w:i/>
          <w:color w:val="000000"/>
          <w:sz w:val="18"/>
        </w:rPr>
      </w:pPr>
      <w:r>
        <w:rPr>
          <w:rFonts w:ascii="Times New Roman" w:hAnsi="Times New Roman"/>
          <w:i/>
          <w:color w:val="00000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1"/>
        <w:gridCol w:w="165"/>
        <w:gridCol w:w="1140"/>
        <w:gridCol w:w="166"/>
        <w:gridCol w:w="146"/>
        <w:gridCol w:w="202"/>
        <w:gridCol w:w="853"/>
        <w:gridCol w:w="166"/>
        <w:gridCol w:w="146"/>
        <w:gridCol w:w="208"/>
        <w:gridCol w:w="877"/>
        <w:gridCol w:w="166"/>
        <w:gridCol w:w="146"/>
        <w:gridCol w:w="319"/>
        <w:gridCol w:w="1225"/>
        <w:gridCol w:w="166"/>
        <w:gridCol w:w="146"/>
        <w:gridCol w:w="196"/>
        <w:gridCol w:w="826"/>
        <w:gridCol w:w="515"/>
      </w:tblGrid>
      <w:tr>
        <w:trPr/>
        <w:tc>
          <w:tcPr>
            <w:tcW w:w="243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Shares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January 1, 2026</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135,551,799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2,295,224</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Exercise of stock options</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Shares issued and compensation expense, pursuant to stock-based compensation plan, net of stock surrendered and cancelled</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8"/>
              </w:rPr>
              <w:t>Cash dividends declared on common stock ($0.20</w:t>
            </w:r>
            <w:r>
              <w:rPr>
                <w:rFonts w:ascii="Times New Roman" w:hAnsi="Times New Roman"/>
                <w:color w:val="000000"/>
                <w:sz w:val="20"/>
              </w:rPr>
              <w:t> </w:t>
            </w:r>
            <w:r>
              <w:rPr>
                <w:rFonts w:ascii="Times New Roman" w:hAnsi="Times New Roman"/>
                <w:color w:val="000000"/>
                <w:sz w:val="18"/>
              </w:rPr>
              <w:t>per share)</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(27,197</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earnings</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51,002</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Other comprehensive income</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2,679</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March 31, 2026</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135,791,180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1,221,938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1,324,318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2,321,281</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January 1, 2025</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139,690,086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2,186,316</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Repurchase of common stock</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(954,313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(18,687</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Exercise of stock options</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Shares issued and compensation expense, pursuant to stock-based compensation plan, net of stock surrendered and cancelled</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8"/>
              </w:rPr>
              <w:t>Cash dividends declared on common stock ($0.20</w:t>
            </w:r>
            <w:r>
              <w:rPr>
                <w:rFonts w:ascii="Times New Roman" w:hAnsi="Times New Roman"/>
                <w:color w:val="000000"/>
                <w:sz w:val="20"/>
              </w:rPr>
              <w:t> </w:t>
            </w:r>
            <w:r>
              <w:rPr>
                <w:rFonts w:ascii="Times New Roman" w:hAnsi="Times New Roman"/>
                <w:color w:val="000000"/>
                <w:sz w:val="18"/>
              </w:rPr>
              <w:t>per share)</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(27,853</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earnings</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51,104</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Other comprehensive income</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34,764</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March 31, 2025</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139,089,612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1,280,969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1,224,750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(277,300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2,228,419</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CVB FINANCIAL CORP. AND SUBSIDIARIES</w:t>
      </w:r>
    </w:p>
    <w:p>
      <w:pPr>
        <w:pStyle w:val="TextBody"/>
        <w:bidi w:val="0"/>
        <w:jc w:val="center"/>
        <w:rPr>
          <w:rFonts w:ascii="Times New Roman" w:hAnsi="Times New Roman"/>
          <w:sz w:val="20"/>
        </w:rPr>
      </w:pPr>
      <w:bookmarkStart w:id="8" w:name="statements_cash_flows"/>
      <w:bookmarkEnd w:id="8"/>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CASH FLOWS</w:t>
      </w:r>
    </w:p>
    <w:p>
      <w:pPr>
        <w:pStyle w:val="TextBody"/>
        <w:bidi w:val="0"/>
        <w:jc w:val="center"/>
        <w:rPr>
          <w:rFonts w:ascii="Times New Roman" w:hAnsi="Times New Roman"/>
          <w:i/>
          <w:color w:val="000000"/>
          <w:sz w:val="18"/>
        </w:rPr>
      </w:pPr>
      <w:r>
        <w:rPr>
          <w:rFonts w:ascii="Times New Roman" w:hAnsi="Times New Roman"/>
          <w:i/>
          <w:color w:val="000000"/>
          <w:sz w:val="18"/>
        </w:rPr>
        <w:t>(Dollars in thousands)</w:t>
      </w:r>
    </w:p>
    <w:p>
      <w:pPr>
        <w:pStyle w:val="TextBody"/>
        <w:bidi w:val="0"/>
        <w:jc w:val="center"/>
        <w:rPr>
          <w:rFonts w:ascii="Times New Roman" w:hAnsi="Times New Roman"/>
          <w:i/>
          <w:color w:val="000000"/>
          <w:sz w:val="18"/>
        </w:rPr>
      </w:pPr>
      <w:r>
        <w:rPr>
          <w:rFonts w:ascii="Times New Roman" w:hAnsi="Times New Roman"/>
          <w:i/>
          <w:color w:val="000000"/>
          <w:sz w:val="18"/>
        </w:rPr>
        <w:t>(Unaudited)</w:t>
      </w:r>
    </w:p>
    <w:p>
      <w:pPr>
        <w:pStyle w:val="TextBody"/>
        <w:bidi w:val="0"/>
        <w:jc w:val="center"/>
        <w:rPr/>
      </w:pPr>
      <w:r>
        <w:rPr/>
        <w:t> </w:t>
      </w:r>
    </w:p>
    <w:tbl>
      <w:tblPr>
        <w:tblW w:w="9093" w:type="dxa"/>
        <w:jc w:val="left"/>
        <w:tblInd w:w="0" w:type="dxa"/>
        <w:tblLayout w:type="fixed"/>
        <w:tblCellMar>
          <w:top w:w="28" w:type="dxa"/>
          <w:left w:w="28" w:type="dxa"/>
          <w:bottom w:w="28" w:type="dxa"/>
          <w:right w:w="28" w:type="dxa"/>
        </w:tblCellMar>
      </w:tblPr>
      <w:tblGrid>
        <w:gridCol w:w="6136"/>
        <w:gridCol w:w="196"/>
        <w:gridCol w:w="751"/>
        <w:gridCol w:w="166"/>
        <w:gridCol w:w="146"/>
        <w:gridCol w:w="196"/>
        <w:gridCol w:w="691"/>
        <w:gridCol w:w="811"/>
      </w:tblGrid>
      <w:tr>
        <w:trPr/>
        <w:tc>
          <w:tcPr>
            <w:tcW w:w="6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Interest and dividends received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148,887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Service charges and other fees received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(33,242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cash paid to vendors, employees and others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(84,709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Income taxes paid, net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41,878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change in interest-earning balances from depository institutions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Proceeds from repayment and maturity of investment securities available-for-sale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65,507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Proceeds from repayment and maturity of investment securities held-to-maturity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Purchases of investment securities held-to-maturity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increase in equity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decrease in loan and lease finance receivables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173,174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Purchase of premises and equipment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Proceeds from BOLI death benefit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Proceeds from sales of OREO</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21,348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investing activities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273,070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(decrease) increase in other deposits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decrease in time deposits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increase in customer repurchase agreements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Cash dividends on common stock</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(27,938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Repurchase of common stock and restricted stock</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(18,687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Proceeds from exercise of stock options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increase in cash and cash equivalents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324,391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beginning of period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204,698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end of period</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529,089</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CVB FINANCIAL CORP.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 (Continued)</w:t>
      </w:r>
    </w:p>
    <w:p>
      <w:pPr>
        <w:pStyle w:val="TextBody"/>
        <w:bidi w:val="0"/>
        <w:jc w:val="center"/>
        <w:rPr>
          <w:rFonts w:ascii="Times New Roman" w:hAnsi="Times New Roman"/>
          <w:i/>
          <w:color w:val="000000"/>
          <w:sz w:val="18"/>
        </w:rPr>
      </w:pPr>
      <w:r>
        <w:rPr>
          <w:rFonts w:ascii="Times New Roman" w:hAnsi="Times New Roman"/>
          <w:i/>
          <w:color w:val="000000"/>
          <w:sz w:val="18"/>
        </w:rPr>
        <w:t>(Dollars in thousands)</w:t>
      </w:r>
    </w:p>
    <w:p>
      <w:pPr>
        <w:pStyle w:val="TextBody"/>
        <w:bidi w:val="0"/>
        <w:jc w:val="center"/>
        <w:rPr>
          <w:rFonts w:ascii="Times New Roman" w:hAnsi="Times New Roman"/>
          <w:i/>
          <w:color w:val="000000"/>
          <w:sz w:val="18"/>
        </w:rPr>
      </w:pPr>
      <w:r>
        <w:rPr>
          <w:rFonts w:ascii="Times New Roman" w:hAnsi="Times New Roman"/>
          <w:i/>
          <w:color w:val="000000"/>
          <w:sz w:val="18"/>
        </w:rPr>
        <w:t>(Unaudited)</w:t>
      </w:r>
    </w:p>
    <w:p>
      <w:pPr>
        <w:pStyle w:val="TextBody"/>
        <w:bidi w:val="0"/>
        <w:jc w:val="center"/>
        <w:rPr/>
      </w:pPr>
      <w:r>
        <w:rPr/>
        <w:t> </w:t>
      </w:r>
    </w:p>
    <w:tbl>
      <w:tblPr>
        <w:tblW w:w="9058" w:type="dxa"/>
        <w:jc w:val="left"/>
        <w:tblInd w:w="0" w:type="dxa"/>
        <w:tblLayout w:type="fixed"/>
        <w:tblCellMar>
          <w:top w:w="28" w:type="dxa"/>
          <w:left w:w="28" w:type="dxa"/>
          <w:bottom w:w="28" w:type="dxa"/>
          <w:right w:w="28" w:type="dxa"/>
        </w:tblCellMar>
      </w:tblPr>
      <w:tblGrid>
        <w:gridCol w:w="6081"/>
        <w:gridCol w:w="196"/>
        <w:gridCol w:w="601"/>
        <w:gridCol w:w="166"/>
        <w:gridCol w:w="146"/>
        <w:gridCol w:w="196"/>
        <w:gridCol w:w="661"/>
        <w:gridCol w:w="1011"/>
      </w:tblGrid>
      <w:tr>
        <w:trPr/>
        <w:tc>
          <w:tcPr>
            <w:tcW w:w="60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Net Earnings to Net Cash Provided by Operating Activities</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earnings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51,104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earnings to net cash provided by operating activities:</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sale of other real estate owned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Increase in BOLI</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amortization of premiums and discounts on investment securities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Accretion of discount for acquired loans,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Provision for (recapture of) credit losses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Provision for unfunded loan commitments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other assets and liabilities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(13,397</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adjustments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(9,226</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41,878</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Investing Activities</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Transfer of loans to other real estate owned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CVB FINANCIAL CORP. AND SUBSIDIARIES</w:t>
      </w:r>
    </w:p>
    <w:p>
      <w:pPr>
        <w:pStyle w:val="Heading2"/>
        <w:bidi w:val="0"/>
        <w:jc w:val="center"/>
        <w:rPr>
          <w:rFonts w:ascii="Times New Roman" w:hAnsi="Times New Roman"/>
          <w:color w:val="000000"/>
          <w:sz w:val="20"/>
        </w:rPr>
      </w:pPr>
      <w:bookmarkStart w:id="9" w:name="notes_financial_statements"/>
      <w:bookmarkEnd w:id="9"/>
      <w:r>
        <w:rPr>
          <w:rFonts w:ascii="Times New Roman" w:hAnsi="Times New Roman"/>
          <w:color w:val="000000"/>
          <w:sz w:val="20"/>
        </w:rPr>
        <w:t>NOTES TO THE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BUSINESS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condensed consolidated financial statements include CVB Financial Corp. (referred to herein on an unconsolidated basis as “CVB” and on a consolidated basis as “we”, “our” or the “Company”) and its wholly owned subsidiary: Citizens Business Bank, National Association (the “Bank” or “CBB”), after elimination of all intercompany transactions and balances. The Company has one inactive subsidiary, Chino Valley Bancorp.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primary operations are related to traditional banking activities. This includes the acceptance of deposits and the lending and investing of money through the operations of the Bank. The Bank also provides trust and investment-related services to customers through its CitizensTrust Division. The Bank’s customers consist primarily of small to mid-sized businesses and individuals located throughout California. As of March 31, 2026, the Bank operated 62 banking centers, one loan production office in Temecula, CA, and three trust office locations. The Company is headquartered in the city of Ontario, California.</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 BASIS OF PRESENTATION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unaudited condensed consolidated financial statements and notes thereto have been prepared in accordance with the rules and regulations of the Securities and Exchange Commission (“SEC”) for Form 10-Q and conform to practices within the banking industry and include all of the information and disclosures required by accounting principles generally accepted in the United States of America (“GAAP”) for interim financial reporting. The accompanying unaudited condensed consolidated financial statements reflect all normal recurring adjustments that are necessary for a fair presentation of financial results for the interim periods presented. The results of operations for the three months ended March 31, 2026 are not necessarily indicative of the results anticipated for another interim period or the full year ending December 31, 2026. Certain information and note disclosures normally included in annual financial statements prepared in accordance with GAAP have been condensed or omitted. These unaudited condensed consolidated financial statements should be read in conjunction with the consolidated financial statements, accounting policies and financial notes thereto included in the Company’s Annual Report on Form 10-K for the fiscal year ended December 31, 2025 (the “2025 Form 10-K”), filed with the SEC. A summary of the significant accounting policies consistently applied in the preparation of the accompanying unaudited condensed consolidated financial statements follows.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Reclassification</w:t>
      </w:r>
      <w:r>
        <w:rPr>
          <w:rFonts w:ascii="Times New Roman" w:hAnsi="Times New Roman"/>
          <w:color w:val="000000"/>
          <w:sz w:val="20"/>
        </w:rPr>
        <w:t xml:space="preserve"> — Certain amounts in the prior periods’ unaudited condensed consolidated financial statements and related footnote disclosures have been reclassified to conform to the current presentation with no impact on previously reported net income or stockholders’ equity.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SUMMARY OF SIGNIFICANT ACCOUNTING POLICIES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Except as discussed below, our accounting policies are described in Note 3 – Summary of Significant Accounting Policies, of our audited consolidated financial statements included in our 2025 Form 10-K. As of March 31, 2026, there were no significant changes to accounting policies from those disclosed in our audited consolidated financial statements included in our 2025 Form 10-K.</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Use of Estimates in the Preparation of Financial Statements</w:t>
      </w:r>
      <w:r>
        <w:rPr>
          <w:rFonts w:ascii="Times New Roman" w:hAnsi="Times New Roman"/>
          <w:color w:val="000000"/>
          <w:sz w:val="20"/>
        </w:rPr>
        <w:t xml:space="preserve"> — 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 Other significant estimates, which may be subject to change, include fair value determinations and disclosures, impairment of investments, goodwill and loans, as well as valuation of deferred tax assets.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 xml:space="preserve">Business Segments </w:t>
      </w:r>
      <w:r>
        <w:rPr>
          <w:rFonts w:ascii="Times New Roman" w:hAnsi="Times New Roman"/>
          <w:color w:val="000000"/>
          <w:sz w:val="20"/>
        </w:rPr>
        <w:t>— We regularly assess our strategic plans, operations, reporting structures and financial information provided to the Chief Executive Officer, our chief operating decision maker ("CODM"), to identify our reportable segments. At March 31, 2026 and since September 30, 2018, we have operated as one reportable segment. Changes to our reportable segments are expected to be infrequent.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factors considered in making this determination included the nature of products and services offered, geographic regions in which we operate, the applicable regulatory environment, and the materiality of discrete financial information reviewed by our CODM. Through our network of banking centers, we provide relationship-based banking products, services and solutions for small to mid-sized companies, real estate investors, non-profit organizations, professionals and other individuals. Our products include loans for commercial businesses, commercial real estate, multi-family, construction, land, dairy &amp; livestock and agribusiness, consumer and government-guaranteed small business loans. We also provide business deposit products and treasury cash management services, as well as deposit products to the owners and employees of the businesses we serve. Our operations are throughout the state of California.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has determined that all of its banking divisions meet the aggregation criteria of Accounting Standards Updates (“ASU”) 2023-07, </w:t>
      </w:r>
      <w:r>
        <w:rPr>
          <w:rFonts w:ascii="Times New Roman" w:hAnsi="Times New Roman"/>
          <w:i/>
          <w:color w:val="000000"/>
          <w:sz w:val="20"/>
        </w:rPr>
        <w:t>Segment Reporting</w:t>
      </w:r>
      <w:r>
        <w:rPr>
          <w:rFonts w:ascii="Times New Roman" w:hAnsi="Times New Roman"/>
          <w:color w:val="000000"/>
          <w:sz w:val="20"/>
        </w:rPr>
        <w:t>, as its current operating model is structured whereby banking divisions serve a similar base of primarily commercial clients utilizing a company-wide offering of similar products and services managed through similar processes and platforms, and therefore operates one line of business that is collectively reviewed by the CODM. The CODM regularly assesses performance of the aggregated single reporting segment and decides how to allocate resources based on net income calculated on the same basis as net income reported in the Company's consolidated statements of earnings and comprehensive income. The CODM is also regularly provided with expense information at a level consistent with that disclosed in the Company's consolidated statements of earnings and comprehensive income. No additional qualitative segment disclosures are required based on this assessment.</w:t>
      </w:r>
    </w:p>
    <w:p>
      <w:pPr>
        <w:pStyle w:val="TextBody"/>
        <w:bidi w:val="0"/>
        <w:spacing w:before="200" w:after="283"/>
        <w:jc w:val="both"/>
        <w:rPr>
          <w:rFonts w:ascii="Times New Roman" w:hAnsi="Times New Roman"/>
          <w:sz w:val="20"/>
        </w:rPr>
      </w:pPr>
      <w:r>
        <w:rPr>
          <w:rFonts w:ascii="Times New Roman" w:hAnsi="Times New Roman"/>
          <w:b/>
          <w:i/>
          <w:color w:val="000000"/>
          <w:sz w:val="20"/>
        </w:rPr>
        <w:t>Adoption of New Accounting Standards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19"/>
        <w:gridCol w:w="146"/>
        <w:gridCol w:w="4324"/>
        <w:gridCol w:w="146"/>
        <w:gridCol w:w="823"/>
        <w:gridCol w:w="146"/>
        <w:gridCol w:w="3301"/>
      </w:tblGrid>
      <w:tr>
        <w:trPr/>
        <w:tc>
          <w:tcPr>
            <w:tcW w:w="1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1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Standard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Adoption Timing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on Financial Statements</w:t>
            </w:r>
          </w:p>
        </w:tc>
      </w:tr>
      <w:tr>
        <w:trPr/>
        <w:tc>
          <w:tcPr>
            <w:tcW w:w="1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ASU 2025-08, Financial Instruments — Credit Losses (Topic 326): Purchased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November 2025, the FASB issued ASU 2025-08, which expands the use of the gross-up approach in Accounting Standards Codification (“ASC”) 326, Credit Losses, to all “purchased seasoned loans.” The ASU defines purchased seasoned loans as loans that are not purchased credit deteriorated (“PCD”) financial assets. All non-PCD loans (excluding credit cards) that are acquired in a business combination are deemed seasoned. Other non-PCD loans (excluding credit cards) are seasoned if they were purchased at least 90 days after origination and the acquirer was not involved in the origination of the loans. Early adoption is permitted.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January 1, </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The Company elected to early adopt this ASU, effective January 1, 2026, on a prospective basis. This new guidance will be applied to the the accounting for the acquisition of Heritage Commerce Corp, which was completed in the second quarter of 2026. The Company is currently evaluating the impact of this adoption. For additional details related to the acquisition, see Note 15 – </w:t>
            </w:r>
            <w:r>
              <w:rPr>
                <w:rFonts w:ascii="Times New Roman" w:hAnsi="Times New Roman"/>
                <w:i/>
                <w:color w:val="000000"/>
                <w:sz w:val="16"/>
              </w:rPr>
              <w:t>Subsequent Events</w:t>
            </w:r>
            <w:r>
              <w:rPr>
                <w:rFonts w:ascii="Times New Roman" w:hAnsi="Times New Roman"/>
                <w:color w:val="000000"/>
                <w:sz w:val="16"/>
              </w:rPr>
              <w:t> of the notes to this Quarterly Report on Form 10-Q.</w:t>
            </w:r>
          </w:p>
        </w:tc>
      </w:tr>
      <w:tr>
        <w:trPr/>
        <w:tc>
          <w:tcPr>
            <w:tcW w:w="1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Recently Issued Accounting Standards Not Yet Adopted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00"/>
        <w:gridCol w:w="146"/>
        <w:gridCol w:w="5158"/>
        <w:gridCol w:w="146"/>
        <w:gridCol w:w="846"/>
        <w:gridCol w:w="146"/>
        <w:gridCol w:w="1763"/>
      </w:tblGrid>
      <w:tr>
        <w:trPr/>
        <w:tc>
          <w:tcPr>
            <w:tcW w:w="2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r>
      <w:tr>
        <w:trPr/>
        <w:tc>
          <w:tcPr>
            <w:tcW w:w="2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Standard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Adoption Timing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on Financial Statements</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ASU 2024-03, Income Statement—Reporting Comprehensive Income—Expense Disaggregation Disclosures (Subtopic 220-40): Disaggregation of Income Statement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In November, 2024, the FASB issued ASU 2024-03, Income Statement - Reporting Comprehensive Income - Expense Disaggregation Disclosures (Subtopic 220-40 Disaggregation of Income Statement Expenses. This ASU requires disaggregated disclosure of income statement expenses for public business entities. This ASU does not change the expense captions an entity presents on the face of the income statement; rather, it requires disaggregation of certain expense captions into specified categories in disclosures in tabular format within the footnotes to the financial statements. The prescribed categories include employee compensation, depreciation, and intangible asset amortization. This ASU is effective for annual reporting periods beginning after December 15, 2026, and interim periods in fiscal years beginning after December 15, 2027. </w:t>
              <w:br/>
              <w:br/>
              <w:t>This ASU is to be applied on a prospective basis, though early adoption and retrospective application are permitted.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December 31, </w:t>
              <w:b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 is currently evaluating the impact of this ASU and does not expect its adoption to have a material impact on the Company’s consolidated financial statements.</w:t>
            </w:r>
          </w:p>
        </w:tc>
      </w:tr>
      <w:tr>
        <w:trPr/>
        <w:tc>
          <w:tcPr>
            <w:tcW w:w="2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ASU 2025-09, Derivatives and Hedging (Topic 815): Hedge Accounting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In November 2025, the FASB issued ASU 2025-09, which amends certain aspects of hedge accounting guidance to better align with an entity's risk management activities and reflect those strategies in the financial statements. This ASU intended to enhance or clarify the guidance under ASC 815 in the following areas: </w:t>
              <w:br/>
              <w:t>(1) Expanding the hedged risks permitted to be aggregated in a group of individual forecasted transactions, thereby enabling entities to apply hedge accounting to potentially broader portfolios of forecasted transactions;</w:t>
              <w:br/>
              <w:t>(2) Enabling hedge accounting to forecasted interest payments on choose-your-rate debt and address existing diversity in practice;</w:t>
              <w:br/>
              <w:t>(3) Expanding hedge accounting for forecasted purchases and sales of nonfinancial assets subject to certain criteria;</w:t>
              <w:br/>
              <w:t>(4) Accommodating differences in the loan and swap markets that resulted from reference rate reform, eliminating the requirement for the net written option test in certain instances;</w:t>
              <w:br/>
              <w:t xml:space="preserve">(5) Eliminating the recognition and presentation mismatch related to dual hedge strategies. </w:t>
              <w:br/>
              <w:br/>
              <w:t>This ASU is effective for annual and interim periods in fiscal years beginning after December 15, 2026. Early adoption is permitted.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December 31, </w:t>
              <w:b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 is currently evaluating the impact of this ASU and does not expect its adoption to have a material impact on the Company’s consolidated financial statements.</w:t>
            </w:r>
          </w:p>
        </w:tc>
      </w:tr>
      <w:tr>
        <w:trPr/>
        <w:tc>
          <w:tcPr>
            <w:tcW w:w="2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ASU 2025-11, Interim Reporting (Topic 270): Narrow-Scope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December 2025, the FASB issued ASU 2025-11, which clarifies interim disclosure requirements and creates a comprehensive list of interim disclosures required under U.S. GAAP and incorporates a disclosure principle that requires disclosures at interim periods when an event or change that has a material effect on an entity has occurred since the previous year end.</w:t>
              <w:br/>
              <w:br/>
              <w:t>This ASU is effective for interim reporting periods within annual reporting periods beginning after 15 December 2027. Early adoption is permitted.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January 1, </w:t>
              <w:b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 is currently evaluating the impact of this ASU and does not expect its adoption to have a material impact on the Company’s consolidated financial statements.</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INVESTMENT SECURITIES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amortized cost and estimated fair value of available-for-sale (“AFS”) and held-to-maturity (“HTM”) investment securities are summarized below. Fair value is generally determined based on quoted prices for similar assets in active markets or quoted prices for identical assets in markets that are not active. Estimated fair values were obtained from an independent pricing service utilizing observable market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41"/>
        <w:gridCol w:w="216"/>
        <w:gridCol w:w="914"/>
        <w:gridCol w:w="166"/>
        <w:gridCol w:w="146"/>
        <w:gridCol w:w="417"/>
        <w:gridCol w:w="1088"/>
        <w:gridCol w:w="146"/>
        <w:gridCol w:w="146"/>
        <w:gridCol w:w="312"/>
        <w:gridCol w:w="1198"/>
        <w:gridCol w:w="166"/>
        <w:gridCol w:w="146"/>
        <w:gridCol w:w="196"/>
        <w:gridCol w:w="826"/>
        <w:gridCol w:w="146"/>
        <w:gridCol w:w="146"/>
        <w:gridCol w:w="173"/>
        <w:gridCol w:w="712"/>
        <w:gridCol w:w="704"/>
      </w:tblGrid>
      <w:tr>
        <w:trPr/>
        <w:tc>
          <w:tcPr>
            <w:tcW w:w="22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 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Unrealized Holding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Unrealized Holding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Percent</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0"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securities available-for-sale:</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Government agency/GSE</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Mortgage-backed securities</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2,030,225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1,830,082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70.68</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CMO/REMIC</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25.47</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Municipal bonds</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0.79</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Collateralized loan obligations</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securities</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0.07</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Unallocated portfolio layer fair value basis</w:t>
              <w:br/>
              <w:t xml:space="preserve">  adjustments </w:t>
            </w:r>
            <w:r>
              <w:rPr>
                <w:rFonts w:ascii="Times New Roman" w:hAnsi="Times New Roman"/>
                <w:color w:val="000000"/>
                <w:sz w:val="12"/>
              </w:rPr>
              <w:t>(1)</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available-for-sale securities</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2,895,569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(313,237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2,589,119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securities held-to-maturity:</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Government agency/GSE</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Mortgage-backed securities</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24.32</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CMO/REMIC</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33.20</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Municipal bonds</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19.65</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Other securities </w:t>
            </w:r>
            <w:r>
              <w:rPr>
                <w:rFonts w:ascii="Times New Roman" w:hAnsi="Times New Roman"/>
                <w:color w:val="000000"/>
                <w:sz w:val="12"/>
              </w:rPr>
              <w:t>(2)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0.84</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held-to-maturity securities</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2,248,038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(356,594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1,892,313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41"/>
        <w:gridCol w:w="216"/>
        <w:gridCol w:w="914"/>
        <w:gridCol w:w="166"/>
        <w:gridCol w:w="146"/>
        <w:gridCol w:w="368"/>
        <w:gridCol w:w="1137"/>
        <w:gridCol w:w="146"/>
        <w:gridCol w:w="146"/>
        <w:gridCol w:w="312"/>
        <w:gridCol w:w="1198"/>
        <w:gridCol w:w="166"/>
        <w:gridCol w:w="146"/>
        <w:gridCol w:w="196"/>
        <w:gridCol w:w="826"/>
        <w:gridCol w:w="146"/>
        <w:gridCol w:w="146"/>
        <w:gridCol w:w="173"/>
        <w:gridCol w:w="712"/>
        <w:gridCol w:w="704"/>
      </w:tblGrid>
      <w:tr>
        <w:trPr/>
        <w:tc>
          <w:tcPr>
            <w:tcW w:w="22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 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Unrealized Holding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Unrealized Holding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Percent</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0"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securities available-for-sale:</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Government agency/GSE</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Mortgage-backed securities</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2,089,155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1,887,654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70.35</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CMO/REMIC</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25.91</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Municipal bonds</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0.79</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Collateralized loan obligations</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securities</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Unallocated portfolio layer fair value basis</w:t>
              <w:br/>
              <w:t xml:space="preserve">  adjustments </w:t>
            </w:r>
            <w:r>
              <w:rPr>
                <w:rFonts w:ascii="Times New Roman" w:hAnsi="Times New Roman"/>
                <w:color w:val="000000"/>
                <w:sz w:val="12"/>
              </w:rPr>
              <w:t>(1)</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available-for-sale securities</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2,982,228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(312,365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2,683,070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securities held-to-maturity:</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Government agency/GSE</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21.96</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Mortgage-backed securities</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24.57</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CMO/REMIC</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33.10</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Municipal bonds</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19.59</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Other securities </w:t>
            </w:r>
            <w:r>
              <w:rPr>
                <w:rFonts w:ascii="Times New Roman" w:hAnsi="Times New Roman"/>
                <w:color w:val="000000"/>
                <w:sz w:val="12"/>
              </w:rPr>
              <w:t>(2)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0.78</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held-to-maturity securities</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2,270,391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(346,496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1,925,492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Represents the amount of portfolio layer method basis adjustments related to AFS mortgage-backed securities (“MBS”) securities hedged in a closed portfolio. Under GAAP, these basis adjustments are not allocated to individual securities, however the amounts impact the unrealized gains or losses of the hedged AFS securities. Refer to Note 9 for additional information.</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Represents Commercial Property Assessed Clean Energy ("C-PACE") bonds.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information about the amount of interest income earned on investment securities which is fully taxable, and interest income on investment securities which is exempt from regular federal income tax.</w:t>
      </w:r>
    </w:p>
    <w:p>
      <w:pPr>
        <w:pStyle w:val="TextBody"/>
        <w:bidi w:val="0"/>
        <w:jc w:val="left"/>
        <w:rPr/>
      </w:pPr>
      <w:r>
        <w:rPr/>
        <w:t> </w:t>
      </w:r>
    </w:p>
    <w:tbl>
      <w:tblPr>
        <w:tblW w:w="6823" w:type="dxa"/>
        <w:jc w:val="left"/>
        <w:tblInd w:w="0" w:type="dxa"/>
        <w:tblLayout w:type="fixed"/>
        <w:tblCellMar>
          <w:top w:w="28" w:type="dxa"/>
          <w:left w:w="28" w:type="dxa"/>
          <w:bottom w:w="28" w:type="dxa"/>
          <w:right w:w="28" w:type="dxa"/>
        </w:tblCellMar>
      </w:tblPr>
      <w:tblGrid>
        <w:gridCol w:w="4246"/>
        <w:gridCol w:w="196"/>
        <w:gridCol w:w="601"/>
        <w:gridCol w:w="146"/>
        <w:gridCol w:w="146"/>
        <w:gridCol w:w="196"/>
        <w:gridCol w:w="601"/>
        <w:gridCol w:w="691"/>
      </w:tblGrid>
      <w:tr>
        <w:trPr/>
        <w:tc>
          <w:tcPr>
            <w:tcW w:w="4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securities available-for-sale:</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18,590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Tax-advantaged</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interest income from available-for-sale securities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18,734</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securities held-to-maturity:</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10,659</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Tax-advantaged</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2,362</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interest income from held-to-maturity securities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interest income from investment securities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31,755</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Approximately 89% of the total investment securities portfolio at March 31, 2026 represents securities issued by the U.S. government or U.S. government-sponsored enterprises, with the implied guarantee of payment of principal and interest. The remaining securities are predominately AA or better general-obligation municipal bonds. The allowance for credit losses for HTM investment securities under the CECL model was zero at March 31, 2026 and December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Company’s AFS and HTM investment securities, by investment category, in an unrealized loss position for which an allowance for credit losses has not been recorded as of March 31, 2026 and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07"/>
        <w:gridCol w:w="196"/>
        <w:gridCol w:w="692"/>
        <w:gridCol w:w="146"/>
        <w:gridCol w:w="146"/>
        <w:gridCol w:w="322"/>
        <w:gridCol w:w="719"/>
        <w:gridCol w:w="166"/>
        <w:gridCol w:w="146"/>
        <w:gridCol w:w="196"/>
        <w:gridCol w:w="826"/>
        <w:gridCol w:w="146"/>
        <w:gridCol w:w="146"/>
        <w:gridCol w:w="218"/>
        <w:gridCol w:w="837"/>
        <w:gridCol w:w="166"/>
        <w:gridCol w:w="146"/>
        <w:gridCol w:w="196"/>
        <w:gridCol w:w="826"/>
        <w:gridCol w:w="146"/>
        <w:gridCol w:w="146"/>
        <w:gridCol w:w="218"/>
        <w:gridCol w:w="837"/>
        <w:gridCol w:w="715"/>
      </w:tblGrid>
      <w:tr>
        <w:trPr/>
        <w:tc>
          <w:tcPr>
            <w:tcW w:w="19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 Months or Longer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Unrealized 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Unrealized 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Unrealized Holding Losses</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3"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securities available-for-sale:</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Government agency/GSE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Mortgage-backed securities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(202,191</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CMO/REMIC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(110,135</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Municipal bonds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Collateralized loan obligations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1907"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available-for-sale securities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173,374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1,870,283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2,043,657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(313,237</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securities held-to-maturity:</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Government agency/GSE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(84,150</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Mortgage-backed securities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(85,688</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CMO/REMIC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(155,950</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Municipal bonds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317,674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349,491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(30,806</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held-to-maturity securities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1,762,200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(356,377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1,811,260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(356,594</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22"/>
        <w:gridCol w:w="198"/>
        <w:gridCol w:w="607"/>
        <w:gridCol w:w="146"/>
        <w:gridCol w:w="146"/>
        <w:gridCol w:w="329"/>
        <w:gridCol w:w="734"/>
        <w:gridCol w:w="166"/>
        <w:gridCol w:w="146"/>
        <w:gridCol w:w="196"/>
        <w:gridCol w:w="826"/>
        <w:gridCol w:w="146"/>
        <w:gridCol w:w="146"/>
        <w:gridCol w:w="223"/>
        <w:gridCol w:w="855"/>
        <w:gridCol w:w="166"/>
        <w:gridCol w:w="146"/>
        <w:gridCol w:w="196"/>
        <w:gridCol w:w="826"/>
        <w:gridCol w:w="146"/>
        <w:gridCol w:w="146"/>
        <w:gridCol w:w="223"/>
        <w:gridCol w:w="855"/>
        <w:gridCol w:w="715"/>
      </w:tblGrid>
      <w:tr>
        <w:trPr/>
        <w:tc>
          <w:tcPr>
            <w:tcW w:w="192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19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 Months or Longer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Unrealized 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Unrealized 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Unrealized Holding Losses</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8"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securities available-for-sale:</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Government agency/GSE</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Mortgage-backed securities</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1,586,803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1,619,382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(203,700</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CMO/REMIC</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(108,060</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Municipal bonds</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192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available-for-sale securities</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1,949,268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1,987,766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(312,365</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securities held-to-maturity:</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Government agency/GSE</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(82,741</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Mortgage-backed securities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(84,512</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CMO/REMIC</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(152,417</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Municipal bonds</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321,723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325,413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(26,826</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192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held-to-maturity securities</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1,791,972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(346,485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1,795,662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(346,496</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March 31, 2026, investment securities with carrying values of $2.74 billion were pledged to secure various types of deposits, including $964.8 million of public funds. In addition, investment securities with carrying values of $1.95 billion were pledged to secure $572.7 million for repurchase agreements, $1.32 billion for unused borrowing capacity, and approximately $56.3 million for other purposes as required or permitted by law.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December 31, 2025, investment securities with carrying values of $2.74 billion were pledged to secure various types of deposits, including $942.0 million of public funds. In addition, investment securities with carrying values of $2.0 billion were pledged to secure $548.6 million for repurchase agreements, $1.35 billion for unused borrowing capacity, and approximately $57.0 million for other purposes as required or permitted by law.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amortized cost and fair value of debt securities at March 31, 2026, by contractual maturity, are shown in the following table. Although mortgage-backed securities and CMO/REMIC securities have weighted average remaining contractual maturities of approximately 25 years, expected maturities will differ from contractual maturities because borrowers may have the right to prepay such obligations without penalty. Mortgage-backed securities and CMO/REMIC securities are included in maturity categories based upon estimated average lives which incorporate estimated prepayment speeds.</w:t>
      </w:r>
    </w:p>
    <w:p>
      <w:pPr>
        <w:pStyle w:val="TextBody"/>
        <w:bidi w:val="0"/>
        <w:jc w:val="left"/>
        <w:rPr/>
      </w:pPr>
      <w:r>
        <w:rPr/>
        <w:t> </w:t>
      </w:r>
    </w:p>
    <w:tbl>
      <w:tblPr>
        <w:tblW w:w="8547" w:type="dxa"/>
        <w:jc w:val="left"/>
        <w:tblInd w:w="0" w:type="dxa"/>
        <w:tblLayout w:type="fixed"/>
        <w:tblCellMar>
          <w:top w:w="28" w:type="dxa"/>
          <w:left w:w="28" w:type="dxa"/>
          <w:bottom w:w="28" w:type="dxa"/>
          <w:right w:w="28" w:type="dxa"/>
        </w:tblCellMar>
      </w:tblPr>
      <w:tblGrid>
        <w:gridCol w:w="2746"/>
        <w:gridCol w:w="238"/>
        <w:gridCol w:w="1007"/>
        <w:gridCol w:w="146"/>
        <w:gridCol w:w="146"/>
        <w:gridCol w:w="196"/>
        <w:gridCol w:w="826"/>
        <w:gridCol w:w="146"/>
        <w:gridCol w:w="146"/>
        <w:gridCol w:w="238"/>
        <w:gridCol w:w="1007"/>
        <w:gridCol w:w="146"/>
        <w:gridCol w:w="146"/>
        <w:gridCol w:w="196"/>
        <w:gridCol w:w="826"/>
        <w:gridCol w:w="391"/>
      </w:tblGrid>
      <w:tr>
        <w:trPr/>
        <w:tc>
          <w:tcPr>
            <w:tcW w:w="27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Available-for-sale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Held-to-maturity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in one year or less</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after one year through five years</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after five years through ten years</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300,217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after ten years</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2,826,317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2,518,416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1,786,413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1,480,636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investment securities</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2,895,569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2,589,119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2,248,038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1,892,313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Investment in Federal Home Loan Bank and Federal Reserve Bank of San Francisco Stock</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Bank is a member of the Federal Home Loan Bank (“FHLB”), and members are required to own a certain amount of FHLB stock based on the level of borrowings and other factors. The Bank is a also member of the Federal Reserve Bank of San Francisco (“FRB”) System and is required to subscribe a certain amount of FRB stock based on the Bank's capital and surplus. The investments in FHLB and FRB stock are carried at cost and are periodically evaluated for impairment based on, among other things, the capital adequacy and overall financial condition of the FHLB and FRB. No impairment losses were recorded as of March 31, 2026.</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LOANS AND LEASE FINANCE RECEIVABLES AND ALLOWANCE FOR CREDIT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a summary of total loans and lease finance receivables by type.</w:t>
      </w:r>
    </w:p>
    <w:p>
      <w:pPr>
        <w:pStyle w:val="TextBody"/>
        <w:bidi w:val="0"/>
        <w:jc w:val="left"/>
        <w:rPr/>
      </w:pPr>
      <w:r>
        <w:rPr/>
        <w:t> </w:t>
      </w:r>
    </w:p>
    <w:tbl>
      <w:tblPr>
        <w:tblW w:w="7489" w:type="dxa"/>
        <w:jc w:val="left"/>
        <w:tblInd w:w="0" w:type="dxa"/>
        <w:tblLayout w:type="fixed"/>
        <w:tblCellMar>
          <w:top w:w="28" w:type="dxa"/>
          <w:left w:w="28" w:type="dxa"/>
          <w:bottom w:w="28" w:type="dxa"/>
          <w:right w:w="28" w:type="dxa"/>
        </w:tblCellMar>
      </w:tblPr>
      <w:tblGrid>
        <w:gridCol w:w="3731"/>
        <w:gridCol w:w="247"/>
        <w:gridCol w:w="1043"/>
        <w:gridCol w:w="166"/>
        <w:gridCol w:w="146"/>
        <w:gridCol w:w="296"/>
        <w:gridCol w:w="1249"/>
        <w:gridCol w:w="611"/>
      </w:tblGrid>
      <w:tr>
        <w:trPr/>
        <w:tc>
          <w:tcPr>
            <w:tcW w:w="373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6,631,238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6,574,395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37,812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SBA</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282,401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and industrial</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973,631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Dairy &amp; livestock and agribusiness</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431,577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Municipal lease finance receivables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59,542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SFR mortgage</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281,766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Consumer and other loans</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loans, at amortized cost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8,643,316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8,699,193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Allowance for credit losses</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(77,161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Total loans and lease finance receivables, net</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8,563,146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8,622,032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80.63% of the Company’s total loan portfolio consisted of real estate loans, with commercial real estate loans representing 76.7% of total loans. The Company’s real estate loans and construction loans are secured by real properties primarily located in California. As of March 31, 2026, $428.8 million, or 6.47% of the total commercial real estate loans included loans secured by farmland, compared to $424.5 million, or 6.46%, at December 31, 2025. The loans secured by farmland included $123.5 million for loans secured by dairy &amp; livestock land and $305.3 million for loans secured by agricultural land at March 31, 2026, compared to $119.0 million for loans secured by dairy &amp; livestock land and $305.5 million for loans secured by agricultural land at December 31, 2025. As of March 31, 2026, dairy &amp; livestock and agribusiness loans of $314.8 million were comprised of $272.1 million of dairy &amp; livestock loans and $42.7 million of agribusiness loans, compared to $431.6 million comprised of $386.1 million of dairy &amp; livestock loans and $45.5 million of agribusiness loans December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March 31, 2026 and December 31, 2025, loans totaling $6.47 billion and $6.47 billion, respectively, were pledged to secure available lines of credit from the FHLB and the Federal Reserve Bank.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outstanding loans held-for-sale as of March 31, 2026 and December 31, 2025.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Credit Quality Indicators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pStyle w:val="TextBody"/>
        <w:bidi w:val="0"/>
        <w:jc w:val="both"/>
        <w:rPr>
          <w:rFonts w:ascii="Times New Roman" w:hAnsi="Times New Roman"/>
          <w:color w:val="000000"/>
          <w:sz w:val="20"/>
        </w:rPr>
      </w:pPr>
      <w:r>
        <w:rPr>
          <w:rFonts w:ascii="Times New Roman" w:hAnsi="Times New Roman"/>
          <w:color w:val="000000"/>
          <w:sz w:val="20"/>
        </w:rPr>
        <w:t xml:space="preserve">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 </w:t>
      </w:r>
    </w:p>
    <w:p>
      <w:pPr>
        <w:pStyle w:val="TextBody"/>
        <w:bidi w:val="0"/>
        <w:jc w:val="both"/>
        <w:rPr>
          <w:rFonts w:ascii="Times New Roman" w:hAnsi="Times New Roman"/>
          <w:color w:val="000000"/>
          <w:sz w:val="20"/>
        </w:rPr>
      </w:pPr>
      <w:r>
        <w:rPr>
          <w:rFonts w:ascii="Times New Roman" w:hAnsi="Times New Roman"/>
          <w:color w:val="000000"/>
          <w:sz w:val="20"/>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pStyle w:val="TextBody"/>
        <w:bidi w:val="0"/>
        <w:jc w:val="both"/>
        <w:rPr>
          <w:rFonts w:ascii="Times New Roman" w:hAnsi="Times New Roman"/>
          <w:color w:val="000000"/>
          <w:sz w:val="20"/>
        </w:rPr>
      </w:pPr>
      <w:r>
        <w:rPr>
          <w:rFonts w:ascii="Times New Roman" w:hAnsi="Times New Roman"/>
          <w:color w:val="000000"/>
          <w:sz w:val="20"/>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pStyle w:val="TextBody"/>
        <w:bidi w:val="0"/>
        <w:jc w:val="both"/>
        <w:rPr>
          <w:rFonts w:ascii="Times New Roman" w:hAnsi="Times New Roman"/>
          <w:color w:val="000000"/>
          <w:sz w:val="20"/>
        </w:rPr>
      </w:pPr>
      <w:r>
        <w:rPr>
          <w:rFonts w:ascii="Times New Roman" w:hAnsi="Times New Roman"/>
          <w:color w:val="000000"/>
          <w:sz w:val="20"/>
        </w:rPr>
        <w:t xml:space="preserve">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 </w:t>
      </w:r>
    </w:p>
    <w:p>
      <w:pPr>
        <w:pStyle w:val="TextBody"/>
        <w:bidi w:val="0"/>
        <w:jc w:val="both"/>
        <w:rPr>
          <w:rFonts w:ascii="Times New Roman" w:hAnsi="Times New Roman"/>
          <w:color w:val="000000"/>
          <w:sz w:val="20"/>
        </w:rPr>
      </w:pPr>
      <w:r>
        <w:rPr>
          <w:rFonts w:ascii="Times New Roman" w:hAnsi="Times New Roman"/>
          <w:color w:val="000000"/>
          <w:sz w:val="20"/>
        </w:rPr>
        <w:t xml:space="preserve">Substandard — Loans classified as substandard are inadequately protected by the current sound worth and paying capacity of the obligor or of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 </w:t>
      </w:r>
    </w:p>
    <w:p>
      <w:pPr>
        <w:pStyle w:val="TextBody"/>
        <w:bidi w:val="0"/>
        <w:jc w:val="both"/>
        <w:rPr>
          <w:rFonts w:ascii="Times New Roman" w:hAnsi="Times New Roman"/>
          <w:color w:val="000000"/>
          <w:sz w:val="20"/>
        </w:rPr>
      </w:pPr>
      <w:r>
        <w:rPr>
          <w:rFonts w:ascii="Times New Roman" w:hAnsi="Times New Roman"/>
          <w:color w:val="000000"/>
          <w:sz w:val="20"/>
        </w:rPr>
        <w:t xml:space="preserve">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 </w:t>
      </w:r>
    </w:p>
    <w:p>
      <w:pPr>
        <w:pStyle w:val="TextBody"/>
        <w:bidi w:val="0"/>
        <w:jc w:val="both"/>
        <w:rPr>
          <w:rFonts w:ascii="Times New Roman" w:hAnsi="Times New Roman"/>
          <w:color w:val="000000"/>
          <w:sz w:val="20"/>
        </w:rPr>
      </w:pPr>
      <w:r>
        <w:rPr>
          <w:rFonts w:ascii="Times New Roman" w:hAnsi="Times New Roman"/>
          <w:color w:val="000000"/>
          <w:sz w:val="20"/>
        </w:rPr>
        <w:t xml:space="preserve">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summarize loans by type and origination year, according to our internal risk ratings as of the dates presented.</w:t>
      </w:r>
    </w:p>
    <w:p>
      <w:pPr>
        <w:pStyle w:val="TextBody"/>
        <w:bidi w:val="0"/>
        <w:jc w:val="left"/>
        <w:rPr/>
      </w:pPr>
      <w:r>
        <w:rPr/>
        <w:t> </w:t>
      </w:r>
    </w:p>
    <w:tbl>
      <w:tblPr>
        <w:tblW w:w="10940" w:type="dxa"/>
        <w:jc w:val="left"/>
        <w:tblInd w:w="0" w:type="dxa"/>
        <w:tblLayout w:type="fixed"/>
        <w:tblCellMar>
          <w:top w:w="28" w:type="dxa"/>
          <w:left w:w="28" w:type="dxa"/>
          <w:bottom w:w="28" w:type="dxa"/>
          <w:right w:w="28" w:type="dxa"/>
        </w:tblCellMar>
      </w:tblPr>
      <w:tblGrid>
        <w:gridCol w:w="1041"/>
        <w:gridCol w:w="181"/>
        <w:gridCol w:w="586"/>
        <w:gridCol w:w="146"/>
        <w:gridCol w:w="146"/>
        <w:gridCol w:w="181"/>
        <w:gridCol w:w="586"/>
        <w:gridCol w:w="146"/>
        <w:gridCol w:w="146"/>
        <w:gridCol w:w="181"/>
        <w:gridCol w:w="586"/>
        <w:gridCol w:w="146"/>
        <w:gridCol w:w="146"/>
        <w:gridCol w:w="181"/>
        <w:gridCol w:w="586"/>
        <w:gridCol w:w="146"/>
        <w:gridCol w:w="146"/>
        <w:gridCol w:w="181"/>
        <w:gridCol w:w="691"/>
        <w:gridCol w:w="146"/>
        <w:gridCol w:w="146"/>
        <w:gridCol w:w="181"/>
        <w:gridCol w:w="691"/>
        <w:gridCol w:w="146"/>
        <w:gridCol w:w="146"/>
        <w:gridCol w:w="181"/>
        <w:gridCol w:w="586"/>
        <w:gridCol w:w="146"/>
        <w:gridCol w:w="146"/>
        <w:gridCol w:w="188"/>
        <w:gridCol w:w="533"/>
        <w:gridCol w:w="146"/>
        <w:gridCol w:w="146"/>
        <w:gridCol w:w="181"/>
        <w:gridCol w:w="691"/>
        <w:gridCol w:w="391"/>
      </w:tblGrid>
      <w:tr>
        <w:trPr/>
        <w:tc>
          <w:tcPr>
            <w:tcW w:w="10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Origination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Revolving loans 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Revolving loans converted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March 31, 2026</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term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8" w:type="dxa"/>
            <w:gridSpan w:val="3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4"/>
              </w:rPr>
            </w:pPr>
            <w:r>
              <w:rPr>
                <w:rFonts w:ascii="Times New Roman" w:hAnsi="Times New Roman"/>
                <w:i/>
                <w:color w:val="000000"/>
                <w:sz w:val="14"/>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Commercial real estate</w:t>
              <w:br/>
              <w:t>   loans:</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594,619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371,646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1,107,013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3,508,573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6,353,034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243,298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34,906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Doubtful &amp; 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Commercial real</w:t>
              <w:br/>
              <w:t>   estate loans: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231,262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599,258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254,851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1,174,590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3,662,676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6,631,238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Construction loans:</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59,329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Doubtful &amp; Loss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Construction</w:t>
              <w:br/>
              <w:t>   loans: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59,329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SBA loans:</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284,221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Doubtful &amp; 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SBA loans: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46,610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45,649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142,106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291,702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Commercial and</w:t>
              <w:br/>
              <w:t>   industrial loans:</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902,261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19,511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Doubtful &amp; Loss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Commercial and</w:t>
              <w:br/>
              <w:t>   industrial loans: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121,435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70,932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190,811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374,662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952,260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1045" w:type="dxa"/>
        <w:jc w:val="left"/>
        <w:tblInd w:w="0" w:type="dxa"/>
        <w:tblLayout w:type="fixed"/>
        <w:tblCellMar>
          <w:top w:w="28" w:type="dxa"/>
          <w:left w:w="28" w:type="dxa"/>
          <w:bottom w:w="28" w:type="dxa"/>
          <w:right w:w="28" w:type="dxa"/>
        </w:tblCellMar>
      </w:tblPr>
      <w:tblGrid>
        <w:gridCol w:w="1041"/>
        <w:gridCol w:w="181"/>
        <w:gridCol w:w="586"/>
        <w:gridCol w:w="146"/>
        <w:gridCol w:w="146"/>
        <w:gridCol w:w="181"/>
        <w:gridCol w:w="586"/>
        <w:gridCol w:w="146"/>
        <w:gridCol w:w="146"/>
        <w:gridCol w:w="181"/>
        <w:gridCol w:w="586"/>
        <w:gridCol w:w="146"/>
        <w:gridCol w:w="146"/>
        <w:gridCol w:w="181"/>
        <w:gridCol w:w="586"/>
        <w:gridCol w:w="146"/>
        <w:gridCol w:w="146"/>
        <w:gridCol w:w="181"/>
        <w:gridCol w:w="691"/>
        <w:gridCol w:w="146"/>
        <w:gridCol w:w="146"/>
        <w:gridCol w:w="181"/>
        <w:gridCol w:w="691"/>
        <w:gridCol w:w="146"/>
        <w:gridCol w:w="146"/>
        <w:gridCol w:w="181"/>
        <w:gridCol w:w="691"/>
        <w:gridCol w:w="146"/>
        <w:gridCol w:w="146"/>
        <w:gridCol w:w="188"/>
        <w:gridCol w:w="533"/>
        <w:gridCol w:w="146"/>
        <w:gridCol w:w="146"/>
        <w:gridCol w:w="181"/>
        <w:gridCol w:w="691"/>
        <w:gridCol w:w="391"/>
      </w:tblGrid>
      <w:tr>
        <w:trPr/>
        <w:tc>
          <w:tcPr>
            <w:tcW w:w="10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Origination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Revolving loans 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Revolving loans converted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March 31, 2026</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term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3" w:type="dxa"/>
            <w:gridSpan w:val="3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4"/>
              </w:rPr>
            </w:pPr>
            <w:r>
              <w:rPr>
                <w:rFonts w:ascii="Times New Roman" w:hAnsi="Times New Roman"/>
                <w:i/>
                <w:color w:val="000000"/>
                <w:sz w:val="14"/>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Dairy &amp; livestock and</w:t>
              <w:br/>
              <w:t>   agribusiness loans:</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293,947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Doubtful &amp; 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Dairy &amp; livestock</w:t>
              <w:br/>
              <w:t>   and agribusiness</w:t>
              <w:br/>
              <w:t>   loans: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313,038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314,838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Municipal lease finance</w:t>
              <w:br/>
              <w:t>   receivables loans:</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57,453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Doubtful &amp; Loss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Municipal lease</w:t>
              <w:br/>
              <w:t>   finance receivables</w:t>
              <w:br/>
              <w:t>   loans: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49,733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SFR mortgage loans:</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277,310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Doubtful &amp; 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SFR mortgage</w:t>
              <w:br/>
              <w:t>   loans: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278,214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Consumer and other</w:t>
              <w:br/>
              <w:t>   loans:</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57,395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Doubtful &amp; Loss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Consumer and</w:t>
              <w:br/>
              <w:t>   other loans: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58,282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Loans, at amortized cost:</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828,097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1,289,113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4,031,666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8,284,950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275,308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83,058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Doubtful &amp; 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Loans at amortized cost: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298,115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835,711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389,035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483,752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1,363,067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4,197,486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1,013,294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62,856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8,643,316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Total gross charge-offs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1045" w:type="dxa"/>
        <w:jc w:val="left"/>
        <w:tblInd w:w="0" w:type="dxa"/>
        <w:tblLayout w:type="fixed"/>
        <w:tblCellMar>
          <w:top w:w="28" w:type="dxa"/>
          <w:left w:w="28" w:type="dxa"/>
          <w:bottom w:w="28" w:type="dxa"/>
          <w:right w:w="28" w:type="dxa"/>
        </w:tblCellMar>
      </w:tblPr>
      <w:tblGrid>
        <w:gridCol w:w="1041"/>
        <w:gridCol w:w="181"/>
        <w:gridCol w:w="586"/>
        <w:gridCol w:w="146"/>
        <w:gridCol w:w="146"/>
        <w:gridCol w:w="181"/>
        <w:gridCol w:w="586"/>
        <w:gridCol w:w="146"/>
        <w:gridCol w:w="146"/>
        <w:gridCol w:w="181"/>
        <w:gridCol w:w="586"/>
        <w:gridCol w:w="146"/>
        <w:gridCol w:w="146"/>
        <w:gridCol w:w="181"/>
        <w:gridCol w:w="691"/>
        <w:gridCol w:w="146"/>
        <w:gridCol w:w="146"/>
        <w:gridCol w:w="181"/>
        <w:gridCol w:w="691"/>
        <w:gridCol w:w="146"/>
        <w:gridCol w:w="146"/>
        <w:gridCol w:w="181"/>
        <w:gridCol w:w="691"/>
        <w:gridCol w:w="146"/>
        <w:gridCol w:w="146"/>
        <w:gridCol w:w="181"/>
        <w:gridCol w:w="586"/>
        <w:gridCol w:w="146"/>
        <w:gridCol w:w="146"/>
        <w:gridCol w:w="188"/>
        <w:gridCol w:w="533"/>
        <w:gridCol w:w="146"/>
        <w:gridCol w:w="146"/>
        <w:gridCol w:w="181"/>
        <w:gridCol w:w="691"/>
        <w:gridCol w:w="391"/>
      </w:tblGrid>
      <w:tr>
        <w:trPr/>
        <w:tc>
          <w:tcPr>
            <w:tcW w:w="10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Origination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Revolving loans 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Revolving loans converted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December 31, 2025</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term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3" w:type="dxa"/>
            <w:gridSpan w:val="3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4"/>
              </w:rPr>
            </w:pPr>
            <w:r>
              <w:rPr>
                <w:rFonts w:ascii="Times New Roman" w:hAnsi="Times New Roman"/>
                <w:i/>
                <w:color w:val="000000"/>
                <w:sz w:val="14"/>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Commercial real estate</w:t>
              <w:br/>
              <w:t>   loans:</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1,143,941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2,631,270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6,303,320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243,809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Doubtful &amp; 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Commercial real</w:t>
              <w:br/>
              <w:t>   estate loans: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600,697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317,051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390,409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1,197,153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1,002,050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2,762,851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260,676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43,508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6,574,395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Construction loans:</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Doubtful &amp; Loss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Construction</w:t>
              <w:br/>
              <w:t>   loans: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SBA loans:</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276,367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Doubtful &amp; 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SBA loans: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46,087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104,685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282,401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Commercial and</w:t>
              <w:br/>
              <w:t>   industrial loans:</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358,873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930,014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31,274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Doubtful &amp; Loss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Commercial and</w:t>
              <w:br/>
              <w:t>   industrial loans: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136,920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73,931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88,538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146,610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380,619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973,631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1150" w:type="dxa"/>
        <w:jc w:val="left"/>
        <w:tblInd w:w="0" w:type="dxa"/>
        <w:tblLayout w:type="fixed"/>
        <w:tblCellMar>
          <w:top w:w="28" w:type="dxa"/>
          <w:left w:w="28" w:type="dxa"/>
          <w:bottom w:w="28" w:type="dxa"/>
          <w:right w:w="28" w:type="dxa"/>
        </w:tblCellMar>
      </w:tblPr>
      <w:tblGrid>
        <w:gridCol w:w="1041"/>
        <w:gridCol w:w="181"/>
        <w:gridCol w:w="586"/>
        <w:gridCol w:w="146"/>
        <w:gridCol w:w="146"/>
        <w:gridCol w:w="181"/>
        <w:gridCol w:w="586"/>
        <w:gridCol w:w="146"/>
        <w:gridCol w:w="146"/>
        <w:gridCol w:w="181"/>
        <w:gridCol w:w="586"/>
        <w:gridCol w:w="146"/>
        <w:gridCol w:w="146"/>
        <w:gridCol w:w="181"/>
        <w:gridCol w:w="691"/>
        <w:gridCol w:w="146"/>
        <w:gridCol w:w="146"/>
        <w:gridCol w:w="181"/>
        <w:gridCol w:w="691"/>
        <w:gridCol w:w="146"/>
        <w:gridCol w:w="146"/>
        <w:gridCol w:w="181"/>
        <w:gridCol w:w="691"/>
        <w:gridCol w:w="146"/>
        <w:gridCol w:w="146"/>
        <w:gridCol w:w="181"/>
        <w:gridCol w:w="691"/>
        <w:gridCol w:w="146"/>
        <w:gridCol w:w="146"/>
        <w:gridCol w:w="188"/>
        <w:gridCol w:w="533"/>
        <w:gridCol w:w="146"/>
        <w:gridCol w:w="146"/>
        <w:gridCol w:w="181"/>
        <w:gridCol w:w="691"/>
        <w:gridCol w:w="391"/>
      </w:tblGrid>
      <w:tr>
        <w:trPr/>
        <w:tc>
          <w:tcPr>
            <w:tcW w:w="10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Origination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Revolving loans 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Revolving loans converted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December 31, 2025</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term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8" w:type="dxa"/>
            <w:gridSpan w:val="3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4"/>
              </w:rPr>
            </w:pPr>
            <w:r>
              <w:rPr>
                <w:rFonts w:ascii="Times New Roman" w:hAnsi="Times New Roman"/>
                <w:i/>
                <w:color w:val="000000"/>
                <w:sz w:val="14"/>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Dairy &amp; livestock and</w:t>
              <w:br/>
              <w:t>   agribusiness loans:</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411,447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412,834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Doubtful &amp; 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Dairy &amp; livestock</w:t>
              <w:br/>
              <w:t>   and agribusiness</w:t>
              <w:br/>
              <w:t>   loans: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429,732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431,577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Municipal lease finance</w:t>
              <w:br/>
              <w:t>   receivables loans:</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Doubtful &amp; Loss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Municipal lease</w:t>
              <w:br/>
              <w:t>   finance receivables</w:t>
              <w:br/>
              <w:t>   loans: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SFR mortgage loans:</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280,841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Doubtful &amp; 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SFR mortgage</w:t>
              <w:br/>
              <w:t>   loans: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57,988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115,360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281,766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Consumer and other</w:t>
              <w:br/>
              <w:t>   loans:</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57,363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Doubtful &amp; Loss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Consumer and</w:t>
              <w:br/>
              <w:t>   other loans: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58,069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Loans, at amortized cost:</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834,194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440,059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494,857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1,334,967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3,018,977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1,064,777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8,358,093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288,399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52,701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Doubtful &amp; 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Loans at amortized cost: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842,237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452,814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509,582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1,394,854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1,162,486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3,158,717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1,114,278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8,699,193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Allowance for Credit Losses (“ACL”)</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Company's allowance models calculate reserves over the average life of the loan, which includes the remaining time to maturity, adjusted for estimated prepayments applied as an adjustment to our commercial real estate and commercial and industrial loans. Our allowance for credit losses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A majority of the ACL relates to loans within the Commercial Real Estate and Commercial and Industrial methodologies, each evaluated on a collective basis. Our ACL amounts are largely driven by portfolio characteristics, including loss history, internal risk grading, various risk attributes, and the economic outlook for certain macroeconomic variables. Risk attributes for commercial real estate loans include original loan to value ratios, origination year, loan seasoning, and macroeconomic variables that include Real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SBA loans.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 portfolio, and expectations for macroeconomic changes. The Company’s ACL estimate incorporates a reasonable and supportable forecast of various macroeconomic variables over the remaining average life of our loans. This forecast incorporates an assumption that each macroeconomic variable will revert to a long-term expectation, starting in years two through three, of the reasonable and supportable forecast period, with the reversion largely completed within the first five years of the forecast. The economic forecast is based on probability weighted scenarios to address macroeconomic uncertainty. Our methodology for assessing the appropriateness of the allowance is reviewed on a regular basis and considers overall risks in the Bank’s loan portfolio. Refer to Note 3 – </w:t>
      </w:r>
      <w:r>
        <w:rPr>
          <w:rFonts w:ascii="Times New Roman" w:hAnsi="Times New Roman"/>
          <w:i/>
          <w:color w:val="000000"/>
          <w:sz w:val="20"/>
        </w:rPr>
        <w:t>Summary of significant Accounting Policies</w:t>
      </w:r>
      <w:r>
        <w:rPr>
          <w:rFonts w:ascii="Times New Roman" w:hAnsi="Times New Roman"/>
          <w:color w:val="000000"/>
          <w:sz w:val="20"/>
        </w:rPr>
        <w:t xml:space="preserve"> included in the 2025 Form 10-K for a more detailed discussion concerning the allowance for credit losses.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ACL totaled $80.2 million at March 31, 2026, compared to $77.2 million at December 31, 2025. The $3.0 million increase in the ACL from December 31, 2025 to March 31, 2026 was comprised of $3.0 million in provision for credit losses and $9,000 in net recoveries. At March 31, 2026, the ACL as a percentage of total loans and leases, at amortized cost, was 0.93%, compared to 0.89% at December 31, 2025. Our economic forecast continues to be a blend of multiple forecasts produced by Moody’s. These U.S. economic forecasts include a baseline forecast as well as multiple forecasts weighted for both upside and downside risks to the baseline forecast. The baseline forecast continues to represent the largest weighting in our multi-weighted forecast scenario, with upside and downside risks weighted among multiple forecasts. As of March 31, 2026, the resulting weighted forecast reflects Real GDP growth declining throughout 2026 and staying below 2% through 2027. The unemployment rate is forecasted to increase, with unemployment averaging 5% by the middle of 2026 and remaining above 5% through 2028. Commercial real estate values are forecasted to continue their decline through the end of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Management believes that the ACL was appropriate at March 31, 2026 and December 31, 2025. Due to inflationary pressures, changing interest rates, lower commercial real estate values, international tariffs, and geopolitical events, no assurance can be given that economic conditions that adversely affect the Company’s service areas or other circumstances will not be reflected in increased provisions for credit losses in the future.</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tables present the balance and activity related to the allowance for credit losses for held-for-investment loans by type for the periods presented.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06"/>
        <w:gridCol w:w="407"/>
        <w:gridCol w:w="1250"/>
        <w:gridCol w:w="146"/>
        <w:gridCol w:w="146"/>
        <w:gridCol w:w="302"/>
        <w:gridCol w:w="674"/>
        <w:gridCol w:w="166"/>
        <w:gridCol w:w="146"/>
        <w:gridCol w:w="303"/>
        <w:gridCol w:w="583"/>
        <w:gridCol w:w="146"/>
        <w:gridCol w:w="146"/>
        <w:gridCol w:w="470"/>
        <w:gridCol w:w="1375"/>
        <w:gridCol w:w="166"/>
        <w:gridCol w:w="146"/>
        <w:gridCol w:w="376"/>
        <w:gridCol w:w="1156"/>
        <w:gridCol w:w="395"/>
      </w:tblGrid>
      <w:tr>
        <w:trPr/>
        <w:tc>
          <w:tcPr>
            <w:tcW w:w="17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Ending Balance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Charge-offs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Recoveries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Provision for (recapture of) credit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Ending Balance March 31, 2026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4"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real estate</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59,323</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Construction</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2,821</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and industrial</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12,544</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Dairy &amp; livestock and agribusiness</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3,348</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Municipal lease finance </w:t>
              <w:br/>
              <w:t>   receivables</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SFR mortgage</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and other loans</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allowance for credit losses</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80,170</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8"/>
        <w:gridCol w:w="404"/>
        <w:gridCol w:w="1243"/>
        <w:gridCol w:w="146"/>
        <w:gridCol w:w="146"/>
        <w:gridCol w:w="352"/>
        <w:gridCol w:w="624"/>
        <w:gridCol w:w="166"/>
        <w:gridCol w:w="146"/>
        <w:gridCol w:w="303"/>
        <w:gridCol w:w="583"/>
        <w:gridCol w:w="146"/>
        <w:gridCol w:w="146"/>
        <w:gridCol w:w="477"/>
        <w:gridCol w:w="1394"/>
        <w:gridCol w:w="166"/>
        <w:gridCol w:w="146"/>
        <w:gridCol w:w="374"/>
        <w:gridCol w:w="1150"/>
        <w:gridCol w:w="395"/>
      </w:tblGrid>
      <w:tr>
        <w:trPr/>
        <w:tc>
          <w:tcPr>
            <w:tcW w:w="169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Ending Balance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Charge-offs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Recoveries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(Recapture of) provision for credit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Ending Balance March 31,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2"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real estate</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65,302</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Construction</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2,608</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and industrial</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6,118</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Dairy &amp; livestock and agribusiness</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2,824</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Municipal lease finance </w:t>
              <w:br/>
              <w:t>   receivables</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SFR mortgage</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and other loans</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allowance for credit losses</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78,252</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Past Due and Nonperforming Loans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We seek to manage asset quality and control credit risk through diversification of the loan portfolio and the application of policies designed to promote sound underwriting and loan monitoring practices. The Bank’s Credit Management Division is responsible for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are conducted on a regular and ongoing basis. These reviews consider such factors as the financial strength of borrowers and any guarantors, the value of the applicable collateral, loan loss experience, estimated credit losses, growth in the loan portfolio, prevailing economic conditions and other factors. Refer to Note 3 – </w:t>
      </w:r>
      <w:r>
        <w:rPr>
          <w:rFonts w:ascii="Times New Roman" w:hAnsi="Times New Roman"/>
          <w:i/>
          <w:color w:val="000000"/>
          <w:sz w:val="20"/>
        </w:rPr>
        <w:t>Summary of Significant Accounting Policies</w:t>
      </w:r>
      <w:r>
        <w:rPr>
          <w:rFonts w:ascii="Times New Roman" w:hAnsi="Times New Roman"/>
          <w:color w:val="000000"/>
          <w:sz w:val="20"/>
        </w:rPr>
        <w:t>, included in the 2025 Form 10-K, for additional discussion concerning the Bank’s policy for past due and nonperforming loans.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recorded investment in, and the aging of, past due loans (including nonaccrual loans), by type of loans as of the dates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17"/>
        <w:gridCol w:w="275"/>
        <w:gridCol w:w="719"/>
        <w:gridCol w:w="146"/>
        <w:gridCol w:w="146"/>
        <w:gridCol w:w="309"/>
        <w:gridCol w:w="593"/>
        <w:gridCol w:w="146"/>
        <w:gridCol w:w="146"/>
        <w:gridCol w:w="286"/>
        <w:gridCol w:w="746"/>
        <w:gridCol w:w="146"/>
        <w:gridCol w:w="146"/>
        <w:gridCol w:w="237"/>
        <w:gridCol w:w="620"/>
        <w:gridCol w:w="146"/>
        <w:gridCol w:w="146"/>
        <w:gridCol w:w="196"/>
        <w:gridCol w:w="826"/>
        <w:gridCol w:w="146"/>
        <w:gridCol w:w="146"/>
        <w:gridCol w:w="312"/>
        <w:gridCol w:w="1314"/>
        <w:gridCol w:w="495"/>
      </w:tblGrid>
      <w:tr>
        <w:trPr/>
        <w:tc>
          <w:tcPr>
            <w:tcW w:w="18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1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30-59 Days 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60-89 Days 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Greater than 89 Days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Loans and Financing Receivables</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3"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real estate</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Owner occupied</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2,353,988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2,359,364</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Non-owner occupied</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4,270,441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4,271,874</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Construction</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 xml:space="preserve">Speculative </w:t>
            </w:r>
            <w:r>
              <w:rPr>
                <w:rFonts w:ascii="Times New Roman" w:hAnsi="Times New Roman"/>
                <w:color w:val="000000"/>
                <w:sz w:val="11"/>
              </w:rPr>
              <w:t>(1)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15,571</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Non-speculative</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43,758</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SBA</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291,702</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Commercial and industrial</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952,260</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Dairy &amp; livestock and agribusiness</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314,838</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Municipal lease finance receivables</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57,453</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SFR mortgage</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278,214</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Consumer and other loans</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58,282</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81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loans at amortized cost</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8,633,510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8,643,316</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21"/>
        <w:gridCol w:w="276"/>
        <w:gridCol w:w="721"/>
        <w:gridCol w:w="146"/>
        <w:gridCol w:w="146"/>
        <w:gridCol w:w="320"/>
        <w:gridCol w:w="565"/>
        <w:gridCol w:w="146"/>
        <w:gridCol w:w="146"/>
        <w:gridCol w:w="287"/>
        <w:gridCol w:w="748"/>
        <w:gridCol w:w="146"/>
        <w:gridCol w:w="146"/>
        <w:gridCol w:w="238"/>
        <w:gridCol w:w="621"/>
        <w:gridCol w:w="146"/>
        <w:gridCol w:w="146"/>
        <w:gridCol w:w="196"/>
        <w:gridCol w:w="826"/>
        <w:gridCol w:w="146"/>
        <w:gridCol w:w="146"/>
        <w:gridCol w:w="313"/>
        <w:gridCol w:w="1319"/>
        <w:gridCol w:w="494"/>
      </w:tblGrid>
      <w:tr>
        <w:trPr/>
        <w:tc>
          <w:tcPr>
            <w:tcW w:w="182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30-59 Days 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60-89 Days 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Greater than 89 Days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Loans and Financing Receivables</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0"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real estate</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Owner occupied</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2,330,311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2,333,241</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Non-owner occupied</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4,237,011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4,241,154</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Construction</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 xml:space="preserve">Speculative </w:t>
            </w:r>
            <w:r>
              <w:rPr>
                <w:rFonts w:ascii="Times New Roman" w:hAnsi="Times New Roman"/>
                <w:color w:val="000000"/>
                <w:sz w:val="11"/>
              </w:rPr>
              <w:t>(1)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12,151</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Non-speculative</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25,661</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SBA</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282,401</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Commercial and industrial</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973,631</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Dairy &amp; livestock and agribusiness</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431,577</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Municipal lease finance receivables</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59,542</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SFR mortgage</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281,766</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Consumer and other loans</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58,069</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loans at amortized cost</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8,691,330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8,699,193</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Speculative construction loans are generally for properties where there is no identified buyer or renter.</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Amortized cost of our finance receivables and loans that are on nonaccrual status, including loans with no allowance are presented as of March 31, 2026 and December 31, 2025 by type of loan.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56"/>
        <w:gridCol w:w="835"/>
        <w:gridCol w:w="2184"/>
        <w:gridCol w:w="146"/>
        <w:gridCol w:w="146"/>
        <w:gridCol w:w="370"/>
        <w:gridCol w:w="970"/>
        <w:gridCol w:w="146"/>
        <w:gridCol w:w="146"/>
        <w:gridCol w:w="980"/>
        <w:gridCol w:w="1732"/>
        <w:gridCol w:w="494"/>
      </w:tblGrid>
      <w:tr>
        <w:trPr/>
        <w:tc>
          <w:tcPr>
            <w:tcW w:w="205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Nonaccrual with No Allowance for 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Total Nonaccrual </w:t>
              <w:br/>
              <w:t>(1)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Loans Past Due Over 89 Days Still Accruing</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w:t>
            </w:r>
          </w:p>
        </w:tc>
        <w:tc>
          <w:tcPr>
            <w:tcW w:w="30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Owner occupied</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Non-owner occupied</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SBA</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Commercial and industrial</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loans at amortized cost</w:t>
            </w:r>
          </w:p>
        </w:tc>
        <w:tc>
          <w:tcPr>
            <w:tcW w:w="8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8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4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0" w:after="0"/>
        <w:jc w:val="left"/>
        <w:rPr>
          <w:rFonts w:ascii="Times New Roman" w:hAnsi="Times New Roman"/>
          <w:sz w:val="20"/>
          <w:bdr w:val="single" w:sz="6" w:space="1" w:color="000000"/>
        </w:rPr>
      </w:pPr>
      <w:r>
        <w:rPr>
          <w:rFonts w:ascii="Times New Roman" w:hAnsi="Times New Roman"/>
          <w:color w:val="000000"/>
          <w:sz w:val="16"/>
          <w:bdr w:val="single" w:sz="6" w:space="1" w:color="000000"/>
        </w:rPr>
        <w:t>As of March 31, 2026, $2.9</w:t>
      </w:r>
      <w:r>
        <w:rPr>
          <w:rFonts w:ascii="Times New Roman" w:hAnsi="Times New Roman"/>
          <w:color w:val="000000"/>
          <w:sz w:val="20"/>
          <w:bdr w:val="single" w:sz="6" w:space="1" w:color="000000"/>
        </w:rPr>
        <w:t xml:space="preserve"> </w:t>
      </w:r>
      <w:r>
        <w:rPr>
          <w:rFonts w:ascii="Times New Roman" w:hAnsi="Times New Roman"/>
          <w:color w:val="000000"/>
          <w:sz w:val="16"/>
          <w:bdr w:val="single" w:sz="6" w:space="1" w:color="000000"/>
        </w:rPr>
        <w:t>million of nonaccruing loans were current, $213,000</w:t>
      </w:r>
      <w:r>
        <w:rPr>
          <w:rFonts w:ascii="Times New Roman" w:hAnsi="Times New Roman"/>
          <w:color w:val="000000"/>
          <w:sz w:val="20"/>
          <w:bdr w:val="single" w:sz="6" w:space="1" w:color="000000"/>
        </w:rPr>
        <w:t xml:space="preserve"> </w:t>
      </w:r>
      <w:r>
        <w:rPr>
          <w:rFonts w:ascii="Times New Roman" w:hAnsi="Times New Roman"/>
          <w:color w:val="000000"/>
          <w:sz w:val="16"/>
          <w:bdr w:val="single" w:sz="6" w:space="1" w:color="000000"/>
        </w:rPr>
        <w:t>were 30-59 days past due, $49,000</w:t>
      </w:r>
      <w:r>
        <w:rPr>
          <w:rFonts w:ascii="Times New Roman" w:hAnsi="Times New Roman"/>
          <w:color w:val="000000"/>
          <w:sz w:val="20"/>
          <w:bdr w:val="single" w:sz="6" w:space="1" w:color="000000"/>
        </w:rPr>
        <w:t xml:space="preserve"> </w:t>
      </w:r>
      <w:r>
        <w:rPr>
          <w:rFonts w:ascii="Times New Roman" w:hAnsi="Times New Roman"/>
          <w:color w:val="000000"/>
          <w:sz w:val="16"/>
          <w:bdr w:val="single" w:sz="6" w:space="1" w:color="000000"/>
        </w:rPr>
        <w:t>were 60-89 days past due, and $2.9</w:t>
      </w:r>
      <w:r>
        <w:rPr>
          <w:rFonts w:ascii="Times New Roman" w:hAnsi="Times New Roman"/>
          <w:color w:val="000000"/>
          <w:sz w:val="20"/>
          <w:bdr w:val="single" w:sz="6" w:space="1" w:color="000000"/>
        </w:rPr>
        <w:t xml:space="preserve"> </w:t>
      </w:r>
      <w:r>
        <w:rPr>
          <w:rFonts w:ascii="Times New Roman" w:hAnsi="Times New Roman"/>
          <w:color w:val="000000"/>
          <w:sz w:val="16"/>
          <w:bdr w:val="single" w:sz="6" w:space="1" w:color="000000"/>
        </w:rPr>
        <w:t>million were 90+ days past due.</w:t>
      </w:r>
      <w:r>
        <w:rPr>
          <w:rFonts w:ascii="Times New Roman" w:hAnsi="Times New Roman"/>
          <w:color w:val="000000"/>
          <w:sz w:val="20"/>
          <w:bdr w:val="single" w:sz="6" w:space="1" w:color="00000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As of March 31, 2026, there were no guaranteed portion of nonaccrual SBA loans that are in process of collection.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56"/>
        <w:gridCol w:w="835"/>
        <w:gridCol w:w="2184"/>
        <w:gridCol w:w="146"/>
        <w:gridCol w:w="146"/>
        <w:gridCol w:w="370"/>
        <w:gridCol w:w="970"/>
        <w:gridCol w:w="146"/>
        <w:gridCol w:w="146"/>
        <w:gridCol w:w="980"/>
        <w:gridCol w:w="1732"/>
        <w:gridCol w:w="494"/>
      </w:tblGrid>
      <w:tr>
        <w:trPr/>
        <w:tc>
          <w:tcPr>
            <w:tcW w:w="205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Nonaccrual with No Allowance for 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Total Nonaccrual </w:t>
              <w:br/>
              <w:t>(1)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Loans Past Due Over 89 Days Still Accruing</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w:t>
            </w:r>
          </w:p>
        </w:tc>
        <w:tc>
          <w:tcPr>
            <w:tcW w:w="30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Owner occupied</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Non-owner occupied</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SBA</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Commercial and industrial</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loans at amortized cost</w:t>
            </w:r>
          </w:p>
        </w:tc>
        <w:tc>
          <w:tcPr>
            <w:tcW w:w="8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8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4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0" w:after="0"/>
        <w:jc w:val="left"/>
        <w:rPr>
          <w:rFonts w:ascii="Times New Roman" w:hAnsi="Times New Roman"/>
          <w:sz w:val="20"/>
          <w:bdr w:val="single" w:sz="6" w:space="1" w:color="000000"/>
        </w:rPr>
      </w:pPr>
      <w:r>
        <w:rPr>
          <w:rFonts w:ascii="Times New Roman" w:hAnsi="Times New Roman"/>
          <w:color w:val="000000"/>
          <w:sz w:val="16"/>
          <w:bdr w:val="single" w:sz="6" w:space="1" w:color="000000"/>
        </w:rPr>
        <w:t>As of December 31, 2025, $4.7</w:t>
      </w:r>
      <w:r>
        <w:rPr>
          <w:rFonts w:ascii="Times New Roman" w:hAnsi="Times New Roman"/>
          <w:color w:val="000000"/>
          <w:sz w:val="20"/>
          <w:bdr w:val="single" w:sz="6" w:space="1" w:color="000000"/>
        </w:rPr>
        <w:t xml:space="preserve"> </w:t>
      </w:r>
      <w:r>
        <w:rPr>
          <w:rFonts w:ascii="Times New Roman" w:hAnsi="Times New Roman"/>
          <w:color w:val="000000"/>
          <w:sz w:val="16"/>
          <w:bdr w:val="single" w:sz="6" w:space="1" w:color="000000"/>
        </w:rPr>
        <w:t>million were 90+ days past due.</w:t>
      </w:r>
      <w:r>
        <w:rPr>
          <w:rFonts w:ascii="Times New Roman" w:hAnsi="Times New Roman"/>
          <w:color w:val="000000"/>
          <w:sz w:val="20"/>
          <w:bdr w:val="single" w:sz="6" w:space="1" w:color="00000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 xml:space="preserve">Excludes $3,000 of guaranteed portion of nonaccrual SBA loans that are in process of collection.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Collateral Dependent Loans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 loan is considered collateral-dependent when the borrower is experiencing financial difficulty and repayment is expected to be provided substantially through the operation or sale of the collateral. The following table presents the recorded investment in collateral-dependent loans by type of loans as of the dates presented. </w:t>
      </w:r>
    </w:p>
    <w:p>
      <w:pPr>
        <w:pStyle w:val="TextBody"/>
        <w:bidi w:val="0"/>
        <w:jc w:val="left"/>
        <w:rPr/>
      </w:pPr>
      <w:r>
        <w:rPr/>
        <w:t> </w:t>
      </w:r>
    </w:p>
    <w:tbl>
      <w:tblPr>
        <w:tblW w:w="8295" w:type="dxa"/>
        <w:jc w:val="left"/>
        <w:tblInd w:w="0" w:type="dxa"/>
        <w:tblLayout w:type="fixed"/>
        <w:tblCellMar>
          <w:top w:w="28" w:type="dxa"/>
          <w:left w:w="28" w:type="dxa"/>
          <w:bottom w:w="28" w:type="dxa"/>
          <w:right w:w="28" w:type="dxa"/>
        </w:tblCellMar>
      </w:tblPr>
      <w:tblGrid>
        <w:gridCol w:w="2556"/>
        <w:gridCol w:w="270"/>
        <w:gridCol w:w="705"/>
        <w:gridCol w:w="146"/>
        <w:gridCol w:w="146"/>
        <w:gridCol w:w="451"/>
        <w:gridCol w:w="869"/>
        <w:gridCol w:w="146"/>
        <w:gridCol w:w="146"/>
        <w:gridCol w:w="196"/>
        <w:gridCol w:w="511"/>
        <w:gridCol w:w="146"/>
        <w:gridCol w:w="146"/>
        <w:gridCol w:w="495"/>
        <w:gridCol w:w="975"/>
        <w:gridCol w:w="391"/>
      </w:tblGrid>
      <w:tr>
        <w:trPr/>
        <w:tc>
          <w:tcPr>
            <w:tcW w:w="255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Loans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Real Estate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Business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Dependent on </w:t>
              <w:br/>
              <w:t>Collateral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8"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SBA</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and industrial</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collateral-dependent loans</w:t>
            </w:r>
          </w:p>
        </w:tc>
        <w:tc>
          <w:tcPr>
            <w:tcW w:w="2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144" w:type="dxa"/>
        <w:jc w:val="left"/>
        <w:tblInd w:w="0" w:type="dxa"/>
        <w:tblLayout w:type="fixed"/>
        <w:tblCellMar>
          <w:top w:w="28" w:type="dxa"/>
          <w:left w:w="28" w:type="dxa"/>
          <w:bottom w:w="28" w:type="dxa"/>
          <w:right w:w="28" w:type="dxa"/>
        </w:tblCellMar>
      </w:tblPr>
      <w:tblGrid>
        <w:gridCol w:w="2556"/>
        <w:gridCol w:w="270"/>
        <w:gridCol w:w="705"/>
        <w:gridCol w:w="146"/>
        <w:gridCol w:w="146"/>
        <w:gridCol w:w="451"/>
        <w:gridCol w:w="869"/>
        <w:gridCol w:w="146"/>
        <w:gridCol w:w="146"/>
        <w:gridCol w:w="201"/>
        <w:gridCol w:w="355"/>
        <w:gridCol w:w="146"/>
        <w:gridCol w:w="146"/>
        <w:gridCol w:w="626"/>
        <w:gridCol w:w="844"/>
        <w:gridCol w:w="391"/>
      </w:tblGrid>
      <w:tr>
        <w:trPr/>
        <w:tc>
          <w:tcPr>
            <w:tcW w:w="255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Loans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Real Estate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Business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Dependent on </w:t>
              <w:br/>
              <w:t>Collateral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7"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SBA</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and industrial</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collateral-dependent loans</w:t>
            </w:r>
          </w:p>
        </w:tc>
        <w:tc>
          <w:tcPr>
            <w:tcW w:w="2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Reserve for Unfunded Loan Commitments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allowance for off-balance sheet credit exposure relates to commitments to extend credit, letters of credit and undisbursed funds on lines of credit. The Company evaluates credit risk associated with the off-balance sheet loan commitments in the same manner as it evaluates credit risk associated with the loan and lease portfolio. The Bank's ACL methodology produced an allowance of $8.8 million for the off-balance sheet credit exposures as of March 31, 2026. There was a $500,000 provision for unfunded loan commitments for the three months ended March 31, 2026, compared to a $500,000 provision for the three months ended March 31, 2025. As of March 31, 2026 and December 31, 2025, the balance in this reserve was $8.8 million and $8.3 million, respectively, and was included in other liabilities.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Modifications of Loans to Borrowers Experiencing Financial Difficulty</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two loans to borrowers experiencing financial difficulty that were modified during the three months ended March 31, 2026 with an amortized cost totaling $15.1 million as of March 31, 2026, including one commercial and industrial loan for $10.4 million and one dairy &amp; livestock and agribusiness loan for $4.7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tables below reflect the amortized cost of loans by type made to borrowers experiencing financial difficulty that were modified during the three months ended March 31, 2026 and 2025 by loan class and modification type.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1"/>
        <w:gridCol w:w="146"/>
        <w:gridCol w:w="314"/>
        <w:gridCol w:w="966"/>
        <w:gridCol w:w="146"/>
        <w:gridCol w:w="146"/>
        <w:gridCol w:w="512"/>
        <w:gridCol w:w="1478"/>
        <w:gridCol w:w="256"/>
        <w:gridCol w:w="146"/>
        <w:gridCol w:w="4404"/>
      </w:tblGrid>
      <w:tr>
        <w:trPr/>
        <w:tc>
          <w:tcPr>
            <w:tcW w:w="1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4" w:type="dxa"/>
            <w:tcBorders/>
            <w:vAlign w:val="center"/>
          </w:tcPr>
          <w:p>
            <w:pPr>
              <w:pStyle w:val="TableContents"/>
              <w:bidi w:val="0"/>
              <w:spacing w:before="0" w:after="283"/>
              <w:jc w:val="left"/>
              <w:rPr>
                <w:sz w:val="4"/>
                <w:szCs w:val="4"/>
              </w:rPr>
            </w:pPr>
            <w:r>
              <w:rPr>
                <w:sz w:val="4"/>
                <w:szCs w:val="4"/>
              </w:rPr>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Total Class of Financing Receivables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Financial Effect</w:t>
            </w:r>
          </w:p>
        </w:tc>
      </w:tr>
      <w:tr>
        <w:trPr/>
        <w:tc>
          <w:tcPr>
            <w:tcW w:w="1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Term Extension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Added a weighted-average 1.0 years to the life of loans, which reduced monthly payment amounts for the borrowers.</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Dairy &amp; livestock and agribusiness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Added a weighted-average 1 years to the life of loans, which reduced monthly payment amounts for the borrowers.</w:t>
            </w:r>
          </w:p>
        </w:tc>
      </w:tr>
      <w:tr>
        <w:trPr/>
        <w:tc>
          <w:tcPr>
            <w:tcW w:w="16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Total Modified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27"/>
        <w:gridCol w:w="146"/>
        <w:gridCol w:w="283"/>
        <w:gridCol w:w="871"/>
        <w:gridCol w:w="146"/>
        <w:gridCol w:w="146"/>
        <w:gridCol w:w="423"/>
        <w:gridCol w:w="1221"/>
        <w:gridCol w:w="256"/>
        <w:gridCol w:w="146"/>
        <w:gridCol w:w="4840"/>
      </w:tblGrid>
      <w:tr>
        <w:trPr/>
        <w:tc>
          <w:tcPr>
            <w:tcW w:w="1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0" w:type="dxa"/>
            <w:tcBorders/>
            <w:vAlign w:val="center"/>
          </w:tcPr>
          <w:p>
            <w:pPr>
              <w:pStyle w:val="TableContents"/>
              <w:bidi w:val="0"/>
              <w:spacing w:before="0" w:after="283"/>
              <w:jc w:val="left"/>
              <w:rPr>
                <w:sz w:val="4"/>
                <w:szCs w:val="4"/>
              </w:rPr>
            </w:pPr>
            <w:r>
              <w:rPr>
                <w:sz w:val="4"/>
                <w:szCs w:val="4"/>
              </w:rPr>
            </w:r>
          </w:p>
        </w:tc>
      </w:tr>
      <w:tr>
        <w:trPr/>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Total Class of Financing Receivables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Financial Effect</w:t>
            </w:r>
          </w:p>
        </w:tc>
      </w:tr>
      <w:tr>
        <w:trPr/>
        <w:tc>
          <w:tcPr>
            <w:tcW w:w="1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4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Term Extension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Added a weighted-average 1.2 years to the life of loans, which reduced monthly payment amounts for the borrowers.</w:t>
            </w:r>
          </w:p>
        </w:tc>
      </w:tr>
      <w:tr>
        <w:trPr/>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and 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Added a weighted-average 1.2 years to the life of loans, which reduced monthly payment amounts for the borrowers.</w:t>
            </w:r>
          </w:p>
        </w:tc>
      </w:tr>
      <w:tr>
        <w:trPr/>
        <w:tc>
          <w:tcPr>
            <w:tcW w:w="1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Dairy &amp; livestock and agribusiness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Added a weighted-average 1.6 years to the life of loans, which reduced monthly payment amounts for the borrowers.</w:t>
            </w:r>
          </w:p>
        </w:tc>
      </w:tr>
      <w:tr>
        <w:trPr/>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Term Extension and Interest Rate Reduction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Added a weighted-average 7.6 years to the life of loans, which reduced monthly payment amounts for the borrowers; reduced weighted-average contractual interest rate from 10.00% to 7.25%.</w:t>
            </w:r>
          </w:p>
        </w:tc>
      </w:tr>
      <w:tr>
        <w:trPr/>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Total Modified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2026 and 2025, there was no modified loans that subsequently defaulted within twelve months of the modification date. Payment default is defined as movement to nonaccrual (nonperforming) status, foreclosure or charge-off, whichever occurs first.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recorded investment in, and the aging of, past due loans at amortized cost (including nonaccrual loans), by type of loans, made to borrowers experiencing financial difficulty as of March 31, 2026.</w:t>
      </w:r>
    </w:p>
    <w:p>
      <w:pPr>
        <w:pStyle w:val="TextBody"/>
        <w:bidi w:val="0"/>
        <w:jc w:val="left"/>
        <w:rPr/>
      </w:pPr>
      <w:r>
        <w:rPr/>
        <w:t> </w:t>
      </w:r>
    </w:p>
    <w:tbl>
      <w:tblPr>
        <w:tblW w:w="6664" w:type="dxa"/>
        <w:jc w:val="left"/>
        <w:tblInd w:w="0" w:type="dxa"/>
        <w:tblLayout w:type="fixed"/>
        <w:tblCellMar>
          <w:top w:w="28" w:type="dxa"/>
          <w:left w:w="28" w:type="dxa"/>
          <w:bottom w:w="28" w:type="dxa"/>
          <w:right w:w="28" w:type="dxa"/>
        </w:tblCellMar>
      </w:tblPr>
      <w:tblGrid>
        <w:gridCol w:w="161"/>
        <w:gridCol w:w="2596"/>
        <w:gridCol w:w="146"/>
        <w:gridCol w:w="241"/>
        <w:gridCol w:w="738"/>
        <w:gridCol w:w="179"/>
        <w:gridCol w:w="179"/>
        <w:gridCol w:w="364"/>
        <w:gridCol w:w="641"/>
        <w:gridCol w:w="179"/>
        <w:gridCol w:w="179"/>
        <w:gridCol w:w="315"/>
        <w:gridCol w:w="555"/>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Payment Status (amortized cost basis)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Current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30-89 Days </w:t>
              <w:br/>
              <w:t>Past Due</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90+ Days </w:t>
              <w:br/>
              <w:t>Past Due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17,556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Dairy &amp; livestock and agribusiness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4,699</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22,255</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6. BORROWINGS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Customer Repurchase Agreements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Bank offers a repurchase agreement product to its customers, known as Citizens Sweep Manager. Under this program, the Bank sells investment securities overnight to customers under an agreement to repurchase (“repurchase agreement”) the securities the next business day at a price reflecting the market value of the use of funds for the period. These repurchase agreements are entered into with customers whose demand deposit account balances exceed a pre-determined threshold. Excess funds above this threshold are invested in overnight repurchase agreements, which earn interest for the customer. As of March 31, 2026, total funds borrowed under these agreements were $494.3 million, with an average interest rate of 1.71% during the first quarter of 2026, compared to $490.6 million at December 31, 2025, with an average interest rate of 1.72%.</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Federal Home Loan Bank Advances and Other Borrowings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and December 31, 2025, borrowings totaled $500 million, which consisted of FHLB advances at an average interest rate of 4.55%. The FHLB advances included $300 million, at a fixed interest rate of 4.73%, maturing in May 2026, and $200 million, at a fixed interest rate of 4.27%, maturing in May 2027.</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March 31, 2026, $6.47 billion of loans and $4.68 billion of investment securities, at carrying value, were pledged to secure public deposits, repurchase agreements, borrowing lines, and for other purposes as required or permitted by law. At December 31, 2025, $6.47 billion of loans and $3.35 billion of investment securities, at carrying value, were pledged to secure public deposits, repurchase agreements, borrowing lines, and for other purposes as required or permitted by law.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March 31, 2026, the Bank's secured borrowing capacity with the FHLB and FRB totaled $5.70 billion, of which $5.20 billion was available as of March 31, 2026. The Bank also has $305.0 million in unsecured Fed Funds lines of credit with other major U.S. banks. These lines of credit are available for overnight borrowings. At December 31, 2025, the Bank's secured borrowing capacity with the FHLB and FRB totaled $5.78 billion, of which $5.28 billion was available as of December 31, 2025. The Bank also has $305.0 million in unsecured Fed Funds lines of credit with other major U.S. banks. These lines of credit are available for overnight borrowings.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EARNINGS PER SHARE RECONCILIATION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three months ended March 31, 2026, and 2025, shares deemed to be antidilutive, and thus excluded from the computation of earnings per common share, were 345,000 and 717,000, respectively.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shows earnings per common share and diluted earnings per common share and reconciles the numerator and denominator of both earnings per common share calculations.</w:t>
      </w:r>
    </w:p>
    <w:p>
      <w:pPr>
        <w:pStyle w:val="TextBody"/>
        <w:bidi w:val="0"/>
        <w:jc w:val="left"/>
        <w:rPr/>
      </w:pPr>
      <w:r>
        <w:rPr/>
        <w:t> </w:t>
      </w:r>
    </w:p>
    <w:tbl>
      <w:tblPr>
        <w:tblW w:w="7800" w:type="dxa"/>
        <w:jc w:val="left"/>
        <w:tblInd w:w="0" w:type="dxa"/>
        <w:tblLayout w:type="fixed"/>
        <w:tblCellMar>
          <w:top w:w="28" w:type="dxa"/>
          <w:left w:w="28" w:type="dxa"/>
          <w:bottom w:w="28" w:type="dxa"/>
          <w:right w:w="28" w:type="dxa"/>
        </w:tblCellMar>
      </w:tblPr>
      <w:tblGrid>
        <w:gridCol w:w="3691"/>
        <w:gridCol w:w="446"/>
        <w:gridCol w:w="291"/>
        <w:gridCol w:w="1028"/>
        <w:gridCol w:w="217"/>
        <w:gridCol w:w="217"/>
        <w:gridCol w:w="291"/>
        <w:gridCol w:w="1028"/>
        <w:gridCol w:w="591"/>
      </w:tblGrid>
      <w:tr>
        <w:trPr/>
        <w:tc>
          <w:tcPr>
            <w:tcW w:w="369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 except per share amounts)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Earnings per common share: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earnings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51,002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51,104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Less: Net earnings allocated to restricted stock</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earnings allocated to common shareholders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50,638</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50,770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Weighted average shares outstanding</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134,760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Basic earnings per common share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0.38</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Diluted earnings per common share: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 allocated to common shareholders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50,638</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50,770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Weighted average shares outstanding</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134,760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Incremental shares from assumed exercise of</w:t>
              <w:br/>
              <w:t>   outstanding options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Diluted weighted average shares outstanding</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134,916</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139,294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Diluted earnings per common share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0.38</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FAIR VALUE INFORMATION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Fair Value Hierarchy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valuation methodologies for financial assets and liabilities measured at fair value on a recurring and non-recurring basis are described in Note 17 — </w:t>
      </w:r>
      <w:r>
        <w:rPr>
          <w:rFonts w:ascii="Times New Roman" w:hAnsi="Times New Roman"/>
          <w:i/>
          <w:color w:val="000000"/>
          <w:sz w:val="20"/>
        </w:rPr>
        <w:t>Fair Value Information,</w:t>
      </w:r>
      <w:r>
        <w:rPr>
          <w:rFonts w:ascii="Times New Roman" w:hAnsi="Times New Roman"/>
          <w:color w:val="000000"/>
          <w:sz w:val="20"/>
        </w:rPr>
        <w:t xml:space="preserve"> included in the 2025 Form 10-K.</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Assets and Liabilities Measured at Fair Value on a Recurring Basis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tables below present the balances of assets and liabilities measured at fair value on a recurring basis as of the dates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47"/>
        <w:gridCol w:w="146"/>
        <w:gridCol w:w="240"/>
        <w:gridCol w:w="1013"/>
        <w:gridCol w:w="146"/>
        <w:gridCol w:w="146"/>
        <w:gridCol w:w="368"/>
        <w:gridCol w:w="652"/>
        <w:gridCol w:w="146"/>
        <w:gridCol w:w="146"/>
        <w:gridCol w:w="356"/>
        <w:gridCol w:w="1503"/>
        <w:gridCol w:w="146"/>
        <w:gridCol w:w="146"/>
        <w:gridCol w:w="653"/>
        <w:gridCol w:w="1156"/>
        <w:gridCol w:w="695"/>
      </w:tblGrid>
      <w:tr>
        <w:trPr/>
        <w:tc>
          <w:tcPr>
            <w:tcW w:w="2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Carrying Value at </w:t>
              <w:b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Quoted Prices</w:t>
              <w:br/>
              <w:t xml:space="preserve">in Active </w:t>
              <w:br/>
              <w:t>Markets for</w:t>
              <w:br/>
              <w:t>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Other 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Unobservable Inputs</w:t>
              <w:br/>
              <w:t>(Level 3)</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Description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securities - AFS: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Government agency/GSE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Mortgage-backed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1,830,082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1,830,082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CMO/REMIC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Municipal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Other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investment securities - AFS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2,589,119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2,589,119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not designated as hedging</w:t>
              <w:br/>
              <w:t>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8"/>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2,589,201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2,589,201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6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Description of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8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not designated as hedging</w:t>
              <w:br/>
              <w:t>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8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8"/>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designated as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8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Fair value hedges: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Cash flow hedges: 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86"/>
        <w:gridCol w:w="146"/>
        <w:gridCol w:w="239"/>
        <w:gridCol w:w="1010"/>
        <w:gridCol w:w="146"/>
        <w:gridCol w:w="146"/>
        <w:gridCol w:w="366"/>
        <w:gridCol w:w="649"/>
        <w:gridCol w:w="146"/>
        <w:gridCol w:w="146"/>
        <w:gridCol w:w="353"/>
        <w:gridCol w:w="1490"/>
        <w:gridCol w:w="146"/>
        <w:gridCol w:w="146"/>
        <w:gridCol w:w="649"/>
        <w:gridCol w:w="1147"/>
        <w:gridCol w:w="694"/>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Carrying Value at </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Quoted Prices</w:t>
              <w:br/>
              <w:t xml:space="preserve">in Active </w:t>
              <w:br/>
              <w:t>Markets for</w:t>
              <w:br/>
              <w:t>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Other 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Unobservable Inputs</w:t>
              <w:br/>
              <w:t>(Level 3)</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Description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securities - AFS: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Government agency/GSE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Mortgage-backed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1,887,654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1,887,654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CMO/REMIC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Municipal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investment securities - AFS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not designated as hedging</w:t>
              <w:br/>
              <w:t>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8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2,683,231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2,683,231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6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Description of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8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not designated as hedging</w:t>
              <w:br/>
              <w:t>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8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designated as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8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Fair value hedges: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Cash flow hedges: 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Assets and Liabilities Measured at Fair Value on a Non-Recurring Basis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may be required to measure certain assets at fair value on a non-recurring basis in accordance with GAAP. These adjustments to fair value usually result from application of lower of cost or fair value accounting or impairment write-downs of individual assets.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assets measured at fair value on a non-recurring basis that were held on the balance sheet at March 31, 2026 and December 31, 2025, the following tables provide the level of valuation assumptions used to determine each adjustment and the carrying value of the related assets that had losses during the period.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35"/>
        <w:gridCol w:w="146"/>
        <w:gridCol w:w="305"/>
        <w:gridCol w:w="802"/>
        <w:gridCol w:w="146"/>
        <w:gridCol w:w="146"/>
        <w:gridCol w:w="512"/>
        <w:gridCol w:w="907"/>
        <w:gridCol w:w="146"/>
        <w:gridCol w:w="146"/>
        <w:gridCol w:w="502"/>
        <w:gridCol w:w="891"/>
        <w:gridCol w:w="146"/>
        <w:gridCol w:w="146"/>
        <w:gridCol w:w="417"/>
        <w:gridCol w:w="1092"/>
        <w:gridCol w:w="146"/>
        <w:gridCol w:w="146"/>
        <w:gridCol w:w="369"/>
        <w:gridCol w:w="962"/>
        <w:gridCol w:w="797"/>
      </w:tblGrid>
      <w:tr>
        <w:trPr/>
        <w:tc>
          <w:tcPr>
            <w:tcW w:w="13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1335"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 value at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Quoted Prices in Active Markets for Identical Assets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Other Observable 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Unobservable Inputs (Level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Losses For The Three Months Ended March 31, 2026</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5"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7"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35"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Description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2,759</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real estate 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133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2,759</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24"/>
        <w:gridCol w:w="146"/>
        <w:gridCol w:w="289"/>
        <w:gridCol w:w="888"/>
        <w:gridCol w:w="146"/>
        <w:gridCol w:w="146"/>
        <w:gridCol w:w="497"/>
        <w:gridCol w:w="881"/>
        <w:gridCol w:w="146"/>
        <w:gridCol w:w="146"/>
        <w:gridCol w:w="493"/>
        <w:gridCol w:w="874"/>
        <w:gridCol w:w="146"/>
        <w:gridCol w:w="146"/>
        <w:gridCol w:w="364"/>
        <w:gridCol w:w="1124"/>
        <w:gridCol w:w="146"/>
        <w:gridCol w:w="146"/>
        <w:gridCol w:w="466"/>
        <w:gridCol w:w="896"/>
        <w:gridCol w:w="795"/>
      </w:tblGrid>
      <w:tr>
        <w:trPr/>
        <w:tc>
          <w:tcPr>
            <w:tcW w:w="1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1324"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 value at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Quoted Prices in Active Markets for Identical Assets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Other Observable 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Unobservable Inputs (Level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Losses For The Year Ended December 31, 2025</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4"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0"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4"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Description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real estate 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132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disclosure presents the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of March 31, 2026 and December 31, 2025, respectively. The use of different market assumptions and/or estimation methodologies may have a material effect on the estimated fair value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71"/>
        <w:gridCol w:w="196"/>
        <w:gridCol w:w="826"/>
        <w:gridCol w:w="146"/>
        <w:gridCol w:w="146"/>
        <w:gridCol w:w="196"/>
        <w:gridCol w:w="691"/>
        <w:gridCol w:w="146"/>
        <w:gridCol w:w="146"/>
        <w:gridCol w:w="196"/>
        <w:gridCol w:w="826"/>
        <w:gridCol w:w="146"/>
        <w:gridCol w:w="146"/>
        <w:gridCol w:w="196"/>
        <w:gridCol w:w="826"/>
        <w:gridCol w:w="146"/>
        <w:gridCol w:w="146"/>
        <w:gridCol w:w="196"/>
        <w:gridCol w:w="826"/>
        <w:gridCol w:w="491"/>
      </w:tblGrid>
      <w:tr>
        <w:trPr/>
        <w:tc>
          <w:tcPr>
            <w:tcW w:w="35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 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3"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452,386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Interest-earning balances due from</w:t>
              <w:br/>
              <w:t>   depository institutions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securities available-for-sale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2,589,119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2,589,119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2,589,119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securities held-to-maturity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2,248,038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1,892,313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1,892,313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loans, net of allowance for credit losses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8,563,146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8,425,435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8,425,435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not designated as hedging instruments: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Interest rate swaps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Deposits:</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8"/>
              </w:rPr>
              <w:t>Interest-bearing</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4,844,717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4,842,468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4,842,468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Borrowings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946,756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not designated as hedging instruments: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Interest rate swaps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designated as hedging instruments: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8"/>
              </w:rPr>
              <w:t>Fair value hedges: interest rate swaps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8"/>
              </w:rPr>
              <w:t>Cash flow hedges: interest rate swaps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71"/>
        <w:gridCol w:w="196"/>
        <w:gridCol w:w="826"/>
        <w:gridCol w:w="146"/>
        <w:gridCol w:w="146"/>
        <w:gridCol w:w="196"/>
        <w:gridCol w:w="691"/>
        <w:gridCol w:w="146"/>
        <w:gridCol w:w="146"/>
        <w:gridCol w:w="196"/>
        <w:gridCol w:w="826"/>
        <w:gridCol w:w="146"/>
        <w:gridCol w:w="146"/>
        <w:gridCol w:w="196"/>
        <w:gridCol w:w="826"/>
        <w:gridCol w:w="146"/>
        <w:gridCol w:w="146"/>
        <w:gridCol w:w="196"/>
        <w:gridCol w:w="826"/>
        <w:gridCol w:w="491"/>
      </w:tblGrid>
      <w:tr>
        <w:trPr/>
        <w:tc>
          <w:tcPr>
            <w:tcW w:w="35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 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3"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376,389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Interest-earning balances due from</w:t>
              <w:br/>
              <w:t>   depository institutions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securities available-for-sale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2,683,070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securities held-to-maturity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2,270,391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1,925,492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1,925,492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loans, net of allowance for credit losses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8,514,750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8,514,750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not designated as hedging instruments: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Interest rate swaps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Deposits:</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8"/>
              </w:rPr>
              <w:t>Interest-bearing</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5,271,291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5,268,983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5,268,983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Borrowings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941,735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not designated as hedging instruments: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Interest rate swaps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designated as hedging instruments: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8"/>
              </w:rPr>
              <w:t>Fair value hedges: interest rate swaps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Cash flow hedges: interest rate swaps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fair value estimates presented herein are based on pertinent information available to management as of March 31, 2026 and December 31, 2025, respectively.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DERIVATIVE FINANCIAL INSTRUMENTS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Derivatives Not Designated as Hedging Instruments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part of its ongoing asset/liability management strategy, the Company utilizes interest rate swap agreements (“swaps”) to manage exposure to interest rate risk. As of March 31, 2026, the Company has entered into 101 interest-rate swap agreements with customers with an aggregate notional amount totaling $310.7 million. Under the terms of the interest rate swap agreements with customers, the Company pays a variable rate and receives a fixed rate. Concurrently, the Company entered into a corresponding offsetting swap with a third-party financial institution to mitigate the Company's interest rate risk exposure arising from the customer swap. The net effect of these arrangements allows the Company to retain a variable rate loan exposure, while providing the customer with economic equivalent of a fixed rate loan. The variable rate received by the Company is based on Secured Overnight Financing Rate (“SOFR”) plus a contractual spread.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swaps do not qualify for hedging accounting and are accounted for as freestanding derivatives. Accordingly, these instruments are recorded at fair value as components of other assets and other liabilities on the Company’s consolidated balance sheet. Changes in the fair value of these swaps are recognized in the Company’s statement of earnings as a component of noninterest income. The changes in the fair value of the customer swaps and the corresponding counterparty swaps generally offset each other; therefore, these derivative instruments are not expected to have a material impact on the Company’s results of operations. However, the Company is exposed to credit risk related to both customer and counterparty’s performance under these agreements. The swaps are subject to a master netting arrangement with its counterparties and include provisions that require the posting of collateral when the fair value of the derivative exceeds certain agreed upon threshold limits.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Management believes that the potential credit risk associated with customer interest rate swaps is mitigated through the loan underwriting process that consider the additional exposure arising from the related derivative, as well as through ongoing monitoring of counterparty creditworthiness. Nevertheless, these derivatives are subject to market and counterparty credit risk, and there can be no assurance that mitigation efforts will be fully effective.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Derivatives Designated as Hedging Instruments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Fair Value Hedges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To manage interest rate risk associated with our AFS MBS securities portfolio, the Company entered into pay-fixed, receive-floating interest rate swap contracts to hedge exposure to changes in the fair value of the hedged portfolio attributable to changes in interest rates. These interest rate swap contracts are designated as fair value hedges that qualify for hedge accounting under ASC 815, </w:t>
      </w:r>
      <w:r>
        <w:rPr>
          <w:rFonts w:ascii="Times New Roman" w:hAnsi="Times New Roman"/>
          <w:i/>
          <w:color w:val="000000"/>
          <w:sz w:val="20"/>
        </w:rPr>
        <w:t>Derivatives and Hedging</w:t>
      </w:r>
      <w:r>
        <w:rPr>
          <w:rFonts w:ascii="Times New Roman" w:hAnsi="Times New Roman"/>
          <w:color w:val="000000"/>
          <w:sz w:val="20"/>
        </w:rPr>
        <w:t>. The Company has elected to apply the portfolio layer method for these fair value hedges in accordance with ASU 2022-01. Under this method, the hedged item is defined as a stated amount of the closed AFS portfolio. Basis adjustments resulting from hedge accounting are recorded at the portfolio level and are not allocated to individual securities. These basis adjustments impact the unrealized gains and losses of the AFS securities within the closed portfolio and are reflected in accumulated other comprehensive income (“AOCI”). The related interest rate swaps are recorded within other assets and other liabilities on our consolidated balance sheet. For qualifying fair value hedges, changes in the fair value of the derivative instruments and changes in the fair value of the hedged portfolio layer attributable to the hedged risk are recognized in earnings as they occur. Amounts recognized in earnings are recorded in “investment securities available-for-sale” as part of interest income in the consolidated statements of earnings, consistent with the classification of the hedged AFS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May 2025, the Company terminated $700 million notional of pay-fixed interest rate swaps with a weighted average fixed rate of approximately 3.7%, which were originally scheduled to mature in June of 2028. These swaps were replaced with new pay-fixed interest rate swaps with maturity dates in May of 2029, 2030 and 2031, with a weighted pay-fixed rate of 3.68%. At March 31, 2026 and December 31, 2025, interest rate swaps with an aggregate notional amount of $700 million were designated as fair value hedges.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Flow Hedges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manage our interest rate risk associated with brokered certificates of deposits (“CDs”), FHLB advances or other fixed rate advances, the Company enters into interest rate derivative contracts that are designated as qualifying cash flow hedges to mitigate the exposure to variability in expected future cash flows attributable to changes in a contractually specified interest rates. During the first quarter of 2024, the Company issued $300 million of 3-month term brokered CDs and entered into 3-year pay-fixed interest rate swaps with a notional amount of $300 million maturing in the second quarter of 2027. The swaps carry a weighted average fixed rate of approximately 4.10%, with the Company receiving daily SOFR. These swaps are designated as cash flow hedges to mitigate interest rate risk associated with the brokered CDs.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qualify for hedge accounting, the Company performs a formal effectiveness assessment at inception using statistical regression analysis, and continues to monitor effectiveness each reporting period through quantitative or qualitative methods. If a hedge is determined to be ineffective, hedge accounting is discontinued and any gain or loss in AOCI is recognized in earnings immediately. The cash flow hedges are recorded at fair value in other assets or other liabilities on the consolidated balance sheets with changes in fair value recorded in AOCI, net of tax. All related cash flows are reported in the operating activities section of the consolidated statement of cash flows. Amounts recorded to AOCI are reclassified into earnings in the same period in which the hedged asset or liability affects earnings and are presented in the same income statement line item as the hedged item.</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Balance Sheet Classification of Derivative Financial Instruments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2026 and December 31, 2025, the notional amount, the location of the asset and liability, and their respective fair values, are summarized in the tables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37"/>
        <w:gridCol w:w="146"/>
        <w:gridCol w:w="196"/>
        <w:gridCol w:w="691"/>
        <w:gridCol w:w="146"/>
        <w:gridCol w:w="146"/>
        <w:gridCol w:w="1324"/>
        <w:gridCol w:w="146"/>
        <w:gridCol w:w="264"/>
        <w:gridCol w:w="467"/>
        <w:gridCol w:w="146"/>
        <w:gridCol w:w="146"/>
        <w:gridCol w:w="196"/>
        <w:gridCol w:w="691"/>
        <w:gridCol w:w="146"/>
        <w:gridCol w:w="146"/>
        <w:gridCol w:w="1324"/>
        <w:gridCol w:w="146"/>
        <w:gridCol w:w="223"/>
        <w:gridCol w:w="584"/>
        <w:gridCol w:w="394"/>
      </w:tblGrid>
      <w:tr>
        <w:trPr/>
        <w:tc>
          <w:tcPr>
            <w:tcW w:w="25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53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Liability Derivatives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12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not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5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2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5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Fair value hedges: 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3,915</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flow hedges: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5,139</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08"/>
        <w:gridCol w:w="146"/>
        <w:gridCol w:w="196"/>
        <w:gridCol w:w="691"/>
        <w:gridCol w:w="146"/>
        <w:gridCol w:w="146"/>
        <w:gridCol w:w="1313"/>
        <w:gridCol w:w="146"/>
        <w:gridCol w:w="252"/>
        <w:gridCol w:w="484"/>
        <w:gridCol w:w="146"/>
        <w:gridCol w:w="146"/>
        <w:gridCol w:w="196"/>
        <w:gridCol w:w="691"/>
        <w:gridCol w:w="146"/>
        <w:gridCol w:w="146"/>
        <w:gridCol w:w="1313"/>
        <w:gridCol w:w="146"/>
        <w:gridCol w:w="209"/>
        <w:gridCol w:w="643"/>
        <w:gridCol w:w="395"/>
      </w:tblGrid>
      <w:tr>
        <w:trPr/>
        <w:tc>
          <w:tcPr>
            <w:tcW w:w="2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50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Liability Derivatives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156"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not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5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2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5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Fair value hedges: 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8,650</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flow hedges: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11,269</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Effect of Derivatives Financial Instruments on the Condensed Consolidated Statements of Earnings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summarizes the effect of derivative financial instruments on the condensed consolidated statements of earnings for the periods presented. </w:t>
      </w:r>
    </w:p>
    <w:p>
      <w:pPr>
        <w:pStyle w:val="TextBody"/>
        <w:bidi w:val="0"/>
        <w:jc w:val="left"/>
        <w:rPr/>
      </w:pPr>
      <w:r>
        <w:rPr/>
        <w:t> </w:t>
      </w:r>
    </w:p>
    <w:tbl>
      <w:tblPr>
        <w:tblW w:w="8324" w:type="dxa"/>
        <w:jc w:val="left"/>
        <w:tblInd w:w="0" w:type="dxa"/>
        <w:tblLayout w:type="fixed"/>
        <w:tblCellMar>
          <w:top w:w="28" w:type="dxa"/>
          <w:left w:w="28" w:type="dxa"/>
          <w:bottom w:w="28" w:type="dxa"/>
          <w:right w:w="28" w:type="dxa"/>
        </w:tblCellMar>
      </w:tblPr>
      <w:tblGrid>
        <w:gridCol w:w="2251"/>
        <w:gridCol w:w="146"/>
        <w:gridCol w:w="2746"/>
        <w:gridCol w:w="146"/>
        <w:gridCol w:w="391"/>
        <w:gridCol w:w="690"/>
        <w:gridCol w:w="291"/>
        <w:gridCol w:w="291"/>
        <w:gridCol w:w="391"/>
        <w:gridCol w:w="690"/>
        <w:gridCol w:w="2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Location of Gain Recognized in </w:t>
              <w:br/>
              <w:t>Income on Derivative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Amount of Gain Recognized in </w:t>
              <w:br/>
              <w:t>Income on Derivative Instruments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4"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74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 xml:space="preserve">Derivatives Not Designated </w:t>
              <w:br/>
              <w:t>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8"/>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3495"/>
        <w:gridCol w:w="146"/>
        <w:gridCol w:w="2535"/>
        <w:gridCol w:w="146"/>
        <w:gridCol w:w="426"/>
        <w:gridCol w:w="948"/>
        <w:gridCol w:w="361"/>
        <w:gridCol w:w="317"/>
        <w:gridCol w:w="426"/>
        <w:gridCol w:w="1111"/>
        <w:gridCol w:w="294"/>
      </w:tblGrid>
      <w:tr>
        <w:trPr/>
        <w:tc>
          <w:tcPr>
            <w:tcW w:w="3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Location of Gain Recognized in </w:t>
              <w:br/>
              <w:t>Income on Derivative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 of (Losses) Gains Recognized in Interest</w:t>
              <w:br/>
              <w:t>Income on Derivative Instruments</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 xml:space="preserve">Fair value hedges: </w:t>
              <w:br/>
              <w:t>     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 xml:space="preserve">Cash flow hedges: </w:t>
              <w:br/>
              <w:t>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5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BALANCE SHEET OFFSETTING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Assets and liabilities relating to certain financial instruments, including, derivative instruments and securities sold under repurchase agreements, may be eligible for offset in the condensed consolidated balance sheets as permitted under accounting guidance. As noted above, our interest rate swap derivatives are subject to master netting arrangements. Our interest rate swap derivatives require the Company to pledge investment securities as collateral based on certain risk thresholds. Investment securities that have been pledged by the Company to counterparties continue to be reported in the Company’s condensed consolidated balance sheets unless the Company defaults. The Company offer a repurchase agreement product to our customers, which include master netting agreements that allow for the netting of collateral positions. This product, known as Citizens Sweep Manager, involves the sale of certain of securities overnight to customers under agreements to repurchase the securities the next business day. The repurchase agreements are not offset in the Company’s condensed consolidated balances.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summarize gross and net information about financial instruments and derivative instruments that are offset in the consolidated balance sheets that are subject to enforceable master netting arrangement at March 31, 2026 and December 31, 2025.</w:t>
      </w:r>
    </w:p>
    <w:tbl>
      <w:tblPr>
        <w:tblW w:w="10205" w:type="dxa"/>
        <w:jc w:val="left"/>
        <w:tblInd w:w="0" w:type="dxa"/>
        <w:tblLayout w:type="fixed"/>
        <w:tblCellMar>
          <w:top w:w="28" w:type="dxa"/>
          <w:left w:w="28" w:type="dxa"/>
          <w:bottom w:w="28" w:type="dxa"/>
          <w:right w:w="28" w:type="dxa"/>
        </w:tblCellMar>
      </w:tblPr>
      <w:tblGrid>
        <w:gridCol w:w="1194"/>
        <w:gridCol w:w="390"/>
        <w:gridCol w:w="880"/>
        <w:gridCol w:w="146"/>
        <w:gridCol w:w="146"/>
        <w:gridCol w:w="394"/>
        <w:gridCol w:w="853"/>
        <w:gridCol w:w="166"/>
        <w:gridCol w:w="146"/>
        <w:gridCol w:w="386"/>
        <w:gridCol w:w="867"/>
        <w:gridCol w:w="146"/>
        <w:gridCol w:w="146"/>
        <w:gridCol w:w="316"/>
        <w:gridCol w:w="792"/>
        <w:gridCol w:w="171"/>
        <w:gridCol w:w="222"/>
        <w:gridCol w:w="202"/>
        <w:gridCol w:w="777"/>
        <w:gridCol w:w="166"/>
        <w:gridCol w:w="213"/>
        <w:gridCol w:w="198"/>
        <w:gridCol w:w="670"/>
        <w:gridCol w:w="618"/>
      </w:tblGrid>
      <w:tr>
        <w:trPr/>
        <w:tc>
          <w:tcPr>
            <w:tcW w:w="119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Amounts Recognized in the Condensed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Amounts Offset in the Condensed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Amounts Presented in the Condensed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Amounts Not Offset</w:t>
              <w:br/>
              <w:t>in the Condensed Consolidated Balance Sheets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 Balance Sheets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 Balance Sheets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 Balance Sheets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Financial Instruments</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Collateral Pledged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Amount</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3"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March 31, 2026</w:t>
            </w:r>
          </w:p>
        </w:tc>
        <w:tc>
          <w:tcPr>
            <w:tcW w:w="12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Financial assets:</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assets</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Financial liabilities:</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liabilities</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28,062</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 agreements</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494,257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494,257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(494,257</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w:t>
            </w:r>
          </w:p>
        </w:tc>
        <w:tc>
          <w:tcPr>
            <w:tcW w:w="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526,706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499,478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(499,396</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28,062</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2025</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Financial assets:</w:t>
            </w:r>
          </w:p>
        </w:tc>
        <w:tc>
          <w:tcPr>
            <w:tcW w:w="12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assets</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w:t>
            </w:r>
          </w:p>
        </w:tc>
        <w:tc>
          <w:tcPr>
            <w:tcW w:w="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Financial liabilities:</w:t>
            </w:r>
          </w:p>
        </w:tc>
        <w:tc>
          <w:tcPr>
            <w:tcW w:w="12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liabilities</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27,119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52,925</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 agreements</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490,601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490,601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(31,277</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529,150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502,031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27,119</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(507,502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21,648</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Represents the fair value of securities pledged with counterparty bank.</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Represents cash collateral received from or pledged with counterparty bank. Amounts are limited to the derivative asset or liability balance and, accordingly, do not include excess collateral, if any, received or pledged.</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OTHER COMPREHENSIVE INCOME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below provides a summary of the components of OCI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67"/>
        <w:gridCol w:w="146"/>
        <w:gridCol w:w="226"/>
        <w:gridCol w:w="660"/>
        <w:gridCol w:w="166"/>
        <w:gridCol w:w="146"/>
        <w:gridCol w:w="203"/>
        <w:gridCol w:w="594"/>
        <w:gridCol w:w="166"/>
        <w:gridCol w:w="146"/>
        <w:gridCol w:w="203"/>
        <w:gridCol w:w="593"/>
        <w:gridCol w:w="166"/>
        <w:gridCol w:w="146"/>
        <w:gridCol w:w="217"/>
        <w:gridCol w:w="669"/>
        <w:gridCol w:w="166"/>
        <w:gridCol w:w="146"/>
        <w:gridCol w:w="196"/>
        <w:gridCol w:w="661"/>
        <w:gridCol w:w="166"/>
        <w:gridCol w:w="146"/>
        <w:gridCol w:w="196"/>
        <w:gridCol w:w="601"/>
        <w:gridCol w:w="813"/>
      </w:tblGrid>
      <w:tr>
        <w:trPr/>
        <w:tc>
          <w:tcPr>
            <w:tcW w:w="2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2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Before-tax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effect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Before-tax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effect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After-tax</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9"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fair value recorded in accumulated OCI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41,754</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net unrealized losses on securities</w:t>
              <w:br/>
              <w:t>   transferred from available-for-sale to held-to-maturity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Derivatives designated as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66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change in fair value recorded in accumulated OCI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(5,861</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66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change in fair value recorded in accumulated OCI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266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34,764</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LEASES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operating leases, where the Company is a lessee, include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condensed consolidated balance sheet.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While the Company has, as a lessor, certain equipment finance leases, such leases are not material to the Company’s consolidated financial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tables below present the components of lease costs and supplemental information related to leases as of and for the periods presented.</w:t>
      </w:r>
    </w:p>
    <w:p>
      <w:pPr>
        <w:pStyle w:val="TextBody"/>
        <w:bidi w:val="0"/>
        <w:jc w:val="left"/>
        <w:rPr/>
      </w:pPr>
      <w:r>
        <w:rPr/>
        <w:t> </w:t>
      </w:r>
    </w:p>
    <w:tbl>
      <w:tblPr>
        <w:tblW w:w="4990" w:type="dxa"/>
        <w:jc w:val="left"/>
        <w:tblInd w:w="0" w:type="dxa"/>
        <w:tblLayout w:type="fixed"/>
        <w:tblCellMar>
          <w:top w:w="28" w:type="dxa"/>
          <w:left w:w="28" w:type="dxa"/>
          <w:bottom w:w="28" w:type="dxa"/>
          <w:right w:w="28" w:type="dxa"/>
        </w:tblCellMar>
      </w:tblPr>
      <w:tblGrid>
        <w:gridCol w:w="2236"/>
        <w:gridCol w:w="146"/>
        <w:gridCol w:w="217"/>
        <w:gridCol w:w="668"/>
        <w:gridCol w:w="146"/>
        <w:gridCol w:w="146"/>
        <w:gridCol w:w="280"/>
        <w:gridCol w:w="860"/>
        <w:gridCol w:w="29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Lease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ROU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43,786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46,537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4515" w:type="dxa"/>
        <w:jc w:val="left"/>
        <w:tblInd w:w="0" w:type="dxa"/>
        <w:tblLayout w:type="fixed"/>
        <w:tblCellMar>
          <w:top w:w="28" w:type="dxa"/>
          <w:left w:w="28" w:type="dxa"/>
          <w:bottom w:w="28" w:type="dxa"/>
          <w:right w:w="28" w:type="dxa"/>
        </w:tblCellMar>
      </w:tblPr>
      <w:tblGrid>
        <w:gridCol w:w="2126"/>
        <w:gridCol w:w="146"/>
        <w:gridCol w:w="201"/>
        <w:gridCol w:w="525"/>
        <w:gridCol w:w="150"/>
        <w:gridCol w:w="150"/>
        <w:gridCol w:w="201"/>
        <w:gridCol w:w="525"/>
        <w:gridCol w:w="491"/>
      </w:tblGrid>
      <w:tr>
        <w:trPr/>
        <w:tc>
          <w:tcPr>
            <w:tcW w:w="2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 xml:space="preserve">Operating lease expense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Sublease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2,577</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Includes short-term leases and variable lease costs, which are immaterial.</w:t>
      </w:r>
    </w:p>
    <w:p>
      <w:pPr>
        <w:pStyle w:val="TextBody"/>
        <w:bidi w:val="0"/>
        <w:jc w:val="left"/>
        <w:rPr/>
      </w:pPr>
      <w:r>
        <w:rPr/>
        <w:t> </w:t>
      </w:r>
    </w:p>
    <w:tbl>
      <w:tblPr>
        <w:tblW w:w="5599" w:type="dxa"/>
        <w:jc w:val="left"/>
        <w:tblInd w:w="0" w:type="dxa"/>
        <w:tblLayout w:type="fixed"/>
        <w:tblCellMar>
          <w:top w:w="28" w:type="dxa"/>
          <w:left w:w="28" w:type="dxa"/>
          <w:bottom w:w="28" w:type="dxa"/>
          <w:right w:w="28" w:type="dxa"/>
        </w:tblCellMar>
      </w:tblPr>
      <w:tblGrid>
        <w:gridCol w:w="3256"/>
        <w:gridCol w:w="146"/>
        <w:gridCol w:w="196"/>
        <w:gridCol w:w="511"/>
        <w:gridCol w:w="146"/>
        <w:gridCol w:w="146"/>
        <w:gridCol w:w="196"/>
        <w:gridCol w:w="511"/>
        <w:gridCol w:w="4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paid for amounts included in the</w:t>
              <w:br/>
              <w:t>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Operating cash outflows from operating</w:t>
              <w:br/>
              <w:t>   leases,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5755" w:type="dxa"/>
        <w:jc w:val="left"/>
        <w:tblInd w:w="0" w:type="dxa"/>
        <w:tblLayout w:type="fixed"/>
        <w:tblCellMar>
          <w:top w:w="28" w:type="dxa"/>
          <w:left w:w="28" w:type="dxa"/>
          <w:bottom w:w="28" w:type="dxa"/>
          <w:right w:w="28" w:type="dxa"/>
        </w:tblCellMar>
      </w:tblPr>
      <w:tblGrid>
        <w:gridCol w:w="2881"/>
        <w:gridCol w:w="146"/>
        <w:gridCol w:w="227"/>
        <w:gridCol w:w="658"/>
        <w:gridCol w:w="256"/>
        <w:gridCol w:w="146"/>
        <w:gridCol w:w="293"/>
        <w:gridCol w:w="847"/>
        <w:gridCol w:w="30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b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Lease Term and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remaining lease term</w:t>
              <w:br/>
              <w:t>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lease arrangements that have not yet commenced as of March 31, 2026 and the Company’s short-term lease costs and variable lease costs, for the three months ended March 31, 2026 and 2025 are not material to the consolidated financial statements. The future lease payments required for leases that have initial or remaining non-cancelable lease terms in excess of one year as of March 31, 2026, excluding property taxes and insurance, are as follows:</w:t>
      </w:r>
    </w:p>
    <w:p>
      <w:pPr>
        <w:pStyle w:val="TextBody"/>
        <w:bidi w:val="0"/>
        <w:jc w:val="left"/>
        <w:rPr/>
      </w:pPr>
      <w:r>
        <w:rPr/>
        <w:t> </w:t>
      </w:r>
    </w:p>
    <w:tbl>
      <w:tblPr>
        <w:tblW w:w="6378" w:type="dxa"/>
        <w:jc w:val="left"/>
        <w:tblInd w:w="0" w:type="dxa"/>
        <w:tblLayout w:type="fixed"/>
        <w:tblCellMar>
          <w:top w:w="28" w:type="dxa"/>
          <w:left w:w="28" w:type="dxa"/>
          <w:bottom w:w="28" w:type="dxa"/>
          <w:right w:w="28" w:type="dxa"/>
        </w:tblCellMar>
      </w:tblPr>
      <w:tblGrid>
        <w:gridCol w:w="4201"/>
        <w:gridCol w:w="146"/>
        <w:gridCol w:w="398"/>
        <w:gridCol w:w="1342"/>
        <w:gridCol w:w="2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 (excluding the three months ended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26,375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future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63,549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(17,457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46,092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REVENUE RECOGNITION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presents noninterest income, segregated by revenue streams in-scope and out-of-scope of Topic 606, for the periods indicated. </w:t>
      </w:r>
    </w:p>
    <w:p>
      <w:pPr>
        <w:pStyle w:val="TextBody"/>
        <w:bidi w:val="0"/>
        <w:jc w:val="left"/>
        <w:rPr/>
      </w:pPr>
      <w:r>
        <w:rPr/>
        <w:t> </w:t>
      </w:r>
    </w:p>
    <w:tbl>
      <w:tblPr>
        <w:tblW w:w="6364" w:type="dxa"/>
        <w:jc w:val="left"/>
        <w:tblInd w:w="0" w:type="dxa"/>
        <w:tblLayout w:type="fixed"/>
        <w:tblCellMar>
          <w:top w:w="28" w:type="dxa"/>
          <w:left w:w="28" w:type="dxa"/>
          <w:bottom w:w="28" w:type="dxa"/>
          <w:right w:w="28" w:type="dxa"/>
        </w:tblCellMar>
      </w:tblPr>
      <w:tblGrid>
        <w:gridCol w:w="3641"/>
        <w:gridCol w:w="146"/>
        <w:gridCol w:w="196"/>
        <w:gridCol w:w="601"/>
        <w:gridCol w:w="146"/>
        <w:gridCol w:w="146"/>
        <w:gridCol w:w="196"/>
        <w:gridCol w:w="601"/>
        <w:gridCol w:w="691"/>
      </w:tblGrid>
      <w:tr>
        <w:trPr/>
        <w:tc>
          <w:tcPr>
            <w:tcW w:w="3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March 31,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8"/>
              </w:rPr>
            </w:pPr>
            <w:r>
              <w:rPr>
                <w:rFonts w:ascii="Times New Roman" w:hAnsi="Times New Roman"/>
                <w:i/>
                <w:color w:val="000000"/>
                <w:sz w:val="18"/>
              </w:rPr>
              <w:t>In-scope of Topic 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Service charges on deposit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4,908</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Trust and investment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Bankcard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Gain on OREO,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2,183</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2,266</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Noninterest Income (in-scope of Topic 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Noninterest Income (out-of-scope of Topic 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2,831</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18"/>
              </w:rPr>
            </w:pPr>
            <w:r>
              <w:rPr>
                <w:rFonts w:ascii="Times New Roman" w:hAnsi="Times New Roman"/>
                <w:b/>
                <w:color w:val="000000"/>
                <w:sz w:val="18"/>
              </w:rPr>
              <w:t>Total 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16,229</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Note 3 – </w:t>
      </w:r>
      <w:r>
        <w:rPr>
          <w:rFonts w:ascii="Times New Roman" w:hAnsi="Times New Roman"/>
          <w:i/>
          <w:color w:val="000000"/>
          <w:sz w:val="20"/>
        </w:rPr>
        <w:t>Summary of Significant Accounting Policies</w:t>
      </w:r>
      <w:r>
        <w:rPr>
          <w:rFonts w:ascii="Times New Roman" w:hAnsi="Times New Roman"/>
          <w:color w:val="000000"/>
          <w:sz w:val="20"/>
        </w:rPr>
        <w:t xml:space="preserve"> and Note 22 – </w:t>
      </w:r>
      <w:r>
        <w:rPr>
          <w:rFonts w:ascii="Times New Roman" w:hAnsi="Times New Roman"/>
          <w:i/>
          <w:color w:val="000000"/>
          <w:sz w:val="20"/>
        </w:rPr>
        <w:t>Revenue Recognition,</w:t>
      </w:r>
      <w:r>
        <w:rPr>
          <w:rFonts w:ascii="Times New Roman" w:hAnsi="Times New Roman"/>
          <w:color w:val="000000"/>
          <w:sz w:val="20"/>
        </w:rPr>
        <w:t xml:space="preserve"> included in our Annual Report on Form 10-K for the year ended December 31, 2025 for a more detailed discussion about noninterest revenue streams that are in-scope of Topic 606.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14. INCOME TAXES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invests in low income housing tax credit and solar tax funds that are designed to generate a return primarily through the realization of federal tax credits. The Company accounts for these investments by amortizing the cost of tax credit investments over the life of the investment using a proportional amortization method and tax credit investment amortization expense is a component of the provision for income taxes.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balances of the Company's tax credit investments and related unfunded commitments at March 31, 2026 and December 31, 2025:</w:t>
      </w:r>
    </w:p>
    <w:p>
      <w:pPr>
        <w:pStyle w:val="TextBody"/>
        <w:bidi w:val="0"/>
        <w:jc w:val="left"/>
        <w:rPr/>
      </w:pPr>
      <w:r>
        <w:rPr/>
        <w:t> </w:t>
      </w:r>
    </w:p>
    <w:tbl>
      <w:tblPr>
        <w:tblW w:w="6975" w:type="dxa"/>
        <w:jc w:val="left"/>
        <w:tblInd w:w="0" w:type="dxa"/>
        <w:tblLayout w:type="fixed"/>
        <w:tblCellMar>
          <w:top w:w="28" w:type="dxa"/>
          <w:left w:w="28" w:type="dxa"/>
          <w:bottom w:w="28" w:type="dxa"/>
          <w:right w:w="28" w:type="dxa"/>
        </w:tblCellMar>
      </w:tblPr>
      <w:tblGrid>
        <w:gridCol w:w="3511"/>
        <w:gridCol w:w="146"/>
        <w:gridCol w:w="285"/>
        <w:gridCol w:w="1005"/>
        <w:gridCol w:w="146"/>
        <w:gridCol w:w="146"/>
        <w:gridCol w:w="341"/>
        <w:gridCol w:w="1204"/>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 credit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135,254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Unfunded commitments - tax credit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other information related to the Company's tax credit investments at March 31, 2026 and December 31, 2025:</w:t>
      </w:r>
    </w:p>
    <w:p>
      <w:pPr>
        <w:pStyle w:val="TextBody"/>
        <w:bidi w:val="0"/>
        <w:jc w:val="left"/>
        <w:rPr/>
      </w:pPr>
      <w:r>
        <w:rPr/>
        <w:t> </w:t>
      </w:r>
    </w:p>
    <w:tbl>
      <w:tblPr>
        <w:tblW w:w="8580" w:type="dxa"/>
        <w:jc w:val="left"/>
        <w:tblInd w:w="0" w:type="dxa"/>
        <w:tblLayout w:type="fixed"/>
        <w:tblCellMar>
          <w:top w:w="28" w:type="dxa"/>
          <w:left w:w="28" w:type="dxa"/>
          <w:bottom w:w="28" w:type="dxa"/>
          <w:right w:w="28" w:type="dxa"/>
        </w:tblCellMar>
      </w:tblPr>
      <w:tblGrid>
        <w:gridCol w:w="5116"/>
        <w:gridCol w:w="146"/>
        <w:gridCol w:w="317"/>
        <w:gridCol w:w="973"/>
        <w:gridCol w:w="146"/>
        <w:gridCol w:w="146"/>
        <w:gridCol w:w="379"/>
        <w:gridCol w:w="1166"/>
        <w:gridCol w:w="191"/>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 credits and other tax benefits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 credit amortization expense included in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15. SUBSEQUENT EVENTS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Acquisition of Heritage Commerce Corp.</w:t>
      </w:r>
    </w:p>
    <w:p>
      <w:pPr>
        <w:pStyle w:val="TextBody"/>
        <w:bidi w:val="0"/>
        <w:spacing w:before="0" w:after="16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On April 17, 2026, the Company completed its previously announced acquisition of Heritage Commerce Corp (“Heritage”), including its banking subsidiary, Heritage Bank of Commerce, in an all-stock transaction in accordance with the terms and conditions of that certain Agreement and Plan of Reorganization and Merger, dated as of December 17, 2025, by and between CVB and Heritage (the “Merger Agreement”). On the Closing Date, Heritage merged with and into CVB, with CVB being the surviving entity (the “Heritage Merger”). Immediately thereafter, Heritage’s wholly-owned banking subsidiary, Heritage Bank of Commerce, merged with and into Citizens Business Bank, N.A. Under the terms of the Merger Agreement, Heritage shareholders received 0.65 shares of the Company’s common stock for each share of Heritage common stock they own. As a result of the merger, the Company issued approximately 41 million shares of common stock to former Heritage shareholders, representing approximately $845 million of consideration. At close, Heritage had loans with a book value of approximately $3.6 billion and approximately $4.8 billion of deposits.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Heritage Merger will be accounted for under ASC 805 as a business combination. Effective the closing date of April 17, 2026, Heritage’s financial results are included in the Company’s consolidated operations and will be reported in the Company’s second quarter 2026 results. Due to the recent closing of the merger, the accounting for the business combination, including the purchase price allocation, is incomplete. The preliminary initial merger accounting is expected to be completed in the second quarter of 2026.</w:t>
      </w:r>
    </w:p>
    <w:p>
      <w:pPr>
        <w:pStyle w:val="TextBody"/>
        <w:bidi w:val="0"/>
        <w:spacing w:before="200" w:after="283"/>
        <w:jc w:val="both"/>
        <w:rPr/>
      </w:pPr>
      <w:r>
        <w:rPr/>
        <w:t> </w:t>
      </w:r>
    </w:p>
    <w:p>
      <w:pPr>
        <w:pStyle w:val="TextBody"/>
        <w:bidi w:val="0"/>
        <w:spacing w:before="20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bookmarkStart w:id="10" w:name="i_item2_mda"/>
      <w:bookmarkEnd w:id="10"/>
      <w:r>
        <w:rPr>
          <w:rFonts w:ascii="Times New Roman" w:hAnsi="Times New Roman"/>
          <w:b/>
          <w:color w:val="000000"/>
          <w:sz w:val="20"/>
        </w:rPr>
        <w:t>ITEM 2. MANAGEMENT’S DISCUSSION AND ANALYSIS OF FINANCIAL CONDITION AND RESULTS OF OPERATIONS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discussion provides information about the results of operations, financial condition, liquidity and capital resources of CVB Financial Corp. (referred to herein on an unconsolidated basis as “CVB” and on a consolidated basis as “we,” “our” or the “Company”) and its wholly owned bank subsidiary, Citizens Business Bank, National Association (the “Bank” or “CBB”). This information is intended to facilitate the understanding and assessment of significant changes and trends related to our financial condition and the results of our operations. This discussion and analysis should be read in conjunction with our Annual Report on Form 10-K for the year ended December 31, 2025 (the “2025 Form 10-K”) and the unaudited condensed consolidated financial statements and accompanying notes presented elsewhere in this report.</w:t>
      </w:r>
    </w:p>
    <w:p>
      <w:pPr>
        <w:pStyle w:val="TextBody"/>
        <w:bidi w:val="0"/>
        <w:jc w:val="left"/>
        <w:rPr/>
      </w:pPr>
      <w:r>
        <w:rPr/>
        <w:t> </w:t>
      </w:r>
    </w:p>
    <w:p>
      <w:pPr>
        <w:pStyle w:val="TextBody"/>
        <w:bidi w:val="0"/>
        <w:jc w:val="center"/>
        <w:rPr>
          <w:rFonts w:ascii="Times New Roman" w:hAnsi="Times New Roman"/>
          <w:b/>
          <w:color w:val="000000"/>
          <w:sz w:val="20"/>
        </w:rPr>
      </w:pPr>
      <w:bookmarkStart w:id="11" w:name="critical_accounting_policies"/>
      <w:bookmarkEnd w:id="11"/>
      <w:r>
        <w:rPr>
          <w:rFonts w:ascii="Times New Roman" w:hAnsi="Times New Roman"/>
          <w:b/>
          <w:color w:val="000000"/>
          <w:sz w:val="20"/>
        </w:rPr>
        <w:t>CRITICAL ACCOUNTING POLICIES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discussion and analysis of the Company’s unaudited condensed consolidated financial statements are based upon the Company’s unaudited condensed consolidated financial statements, which have been prepared in accordance with accounting principles generally accepted in the United States of America. The preparation of these unaudited condensed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we believe are most important in our estimation process. We utilize information available to us to make the necessary estimates to value the related assets and liabilities. Actual performance that differs from our estimates and future changes in the key variables and information could change future valuations and impact the results of operations.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Allowance for Credit Losses (“ACL”)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Business Combinations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Valuation and Recoverability of Goodwill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Our significant accounting policies are described in greater detail in our 2025 Form 10-K in the “Critical Accounting Policies” section of Management’s Discussion and Analysis of Financial Condition and Results of Operations and in </w:t>
      </w:r>
      <w:r>
        <w:rPr>
          <w:rFonts w:ascii="Times New Roman" w:hAnsi="Times New Roman"/>
          <w:i/>
          <w:color w:val="000000"/>
          <w:sz w:val="20"/>
        </w:rPr>
        <w:t>Note 3 – Summary of Significant Accounting Policies</w:t>
      </w:r>
      <w:r>
        <w:rPr>
          <w:rFonts w:ascii="Times New Roman" w:hAnsi="Times New Roman"/>
          <w:color w:val="000000"/>
          <w:sz w:val="20"/>
        </w:rPr>
        <w:t xml:space="preserve"> included in the 2025 Form 10-K.</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bookmarkStart w:id="12" w:name="overview"/>
      <w:bookmarkEnd w:id="12"/>
      <w:r>
        <w:rPr>
          <w:rFonts w:ascii="Times New Roman" w:hAnsi="Times New Roman"/>
          <w:b/>
          <w:color w:val="000000"/>
          <w:sz w:val="20"/>
        </w:rPr>
        <w:t>OVERVIEW</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the first quarter of 2026, we reported net earnings of $51.0 million, or diluted earnings per share of $0.38, compared with $51.1 million, or diluted earnings per share of $0.36 for the first quarter of 2025. Net earnings for the first quarter of 2026 produced an annualized return on average equity (“ROAE”) of 8.86%, an annualized return on average tangible common equity (“ROATCE”) of 13.38%, and an annualized return on average assets (“ROAA”) of 1.33%. Our net interest margin (“NIM”), on a tax equivalent basis, was 3.44% for the first quarter of 2026, while our efficiency ratio was 45.84%. ROATCE is a non-GAAP financial measure. For additional details, refer to Item 2. </w:t>
      </w:r>
      <w:r>
        <w:rPr>
          <w:rFonts w:ascii="Times New Roman" w:hAnsi="Times New Roman"/>
          <w:i/>
          <w:color w:val="000000"/>
          <w:sz w:val="20"/>
        </w:rPr>
        <w:t>Management’s Discussion and Analysis of Financial Condition and Results of Operations (“MD&amp;A”) — GAAP to Non-GAAP Reconciliation</w:t>
      </w:r>
      <w:r>
        <w:rPr>
          <w:rFonts w:ascii="Times New Roman" w:hAnsi="Times New Roman"/>
          <w:color w:val="000000"/>
          <w:sz w:val="20"/>
        </w:rPr>
        <w:t xml:space="preserve"> in this Form 10-Q.</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interest income was $117.8 million for the first quarter of 2026, an increase of $7.4 million, or 6.70%, from the first quarter of 2025. The increase was primarily driven by a $6.1 million increase in interest income that resulted from $335.7 million in higher average interest-earning assets and a seven basis point increase in the yield on earning assets. In addition to the increase in interest income, interest expense declined from the first quarter of 2025 by $1.3 million, as a five basis point decrease in the cost of deposits and customer repurchase agreements offset the $288.2 million increase in average total deposits and customer repurchase agreements.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Noninterest income was $14.3 million for the first quarter of 2026, a decrease of $2.0 million, or 12.0%, compared to $16.2 million for the first quarter of 2025. The decrease was primarily due to a $2.2 million gain on sale of other real estate owned (“OREO”) during the first quarter of 2025. Bank-owned life insurance (“BOLI”) income for the first quarter of 2026 increased by $308,000 compared to the first quarter of 2025. Trust and investment services income increased by $300,000, or 9.2%, from the first quarter of 2025.</w:t>
      </w:r>
    </w:p>
    <w:p>
      <w:pPr>
        <w:pStyle w:val="TextBody"/>
        <w:bidi w:val="0"/>
        <w:jc w:val="both"/>
        <w:rPr>
          <w:rFonts w:ascii="Times New Roman" w:hAnsi="Times New Roman"/>
          <w:color w:val="000000"/>
          <w:sz w:val="20"/>
        </w:rPr>
      </w:pPr>
      <w:r>
        <w:rPr>
          <w:rFonts w:ascii="Times New Roman" w:hAnsi="Times New Roman"/>
          <w:color w:val="000000"/>
          <w:sz w:val="20"/>
        </w:rPr>
        <w:t>Noninterest expense for the first quarter of 2026 was $60.6 million, an increase of $1.4 million, or 2.41%, compared to $59.1 million for the first quarter of 2025. Acquisition related expenses for the acquisition of Heritage Commerce Corp, announced at the end of the fourth quarter of 2025, totaled $1.1 million in the first quarter of 2026. Excluding acquisition expense, the increase in noninterest expense compared to the first quarter of 2025 was $295,000.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March 31, 2026, total assets were $15.51 billion, a decrease of $123.5 million, or 0.79%, from total assets of $15.63 billion at December 31, 2025. Interest-earning assets were $13.86 billion at March 31, 2026, a decrease of $135.4 million, or 0.97%, when compared with $13.99 billion at December 31, 2025. The decrease in interest-earning assets was primarily due to a $116.3 million decrease in investment securities, a $55.9 million decrease in total loans and a $8.1 million decrease in interest-earning balances due from depository institutions, partially offset by a $44.9 million increase in interest-earning balances due from the Federal Reserve.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investment securities were $4.84 billion at March 31, 2026, a decrease of $116.3 million, or 2.35%, from $4.95 billion at December 31, 2025. At March 31, 2026, investment securities held-to-maturity (“HTM”) totaled $2.25 billion, a $22.4 million, or 0.98%, decline from $2.27 billion at December 31, 2025. At March 31, 2026, available-for-sale (“AFS”) investment securities totaled $2.59 billion, inclusive of a pre-tax net unrealized loss of $310.4 million. AFS securities decreased by $94.00 million, or 3.50%, from $2.68 billion at December 31, 2025. The pre-tax unrealized loss increased by $2.6 million from December 31, 2025. Our tax equivalent yield on investments was 2.63% for the quarter ended March 31, 2026, compared to 2.63% for the first quarter of 2025.</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Fair value hedging transactions with $700 million notional pay-fixed interest rate swaps, had a fair value which totaled $3.9 million and was reflected as a liability at March 31, 2026. The fair value of these instruments totaled $8.6 million and were reflected as a liability at December 31, 2025. These instruments generated negative interest income of $96,000 for the first quarter of 2026, compared to interest income of $1.1 million for the first quarter of 2025, respectively. Refer to Note 9 – </w:t>
      </w:r>
      <w:r>
        <w:rPr>
          <w:rFonts w:ascii="Times New Roman" w:hAnsi="Times New Roman"/>
          <w:i/>
          <w:color w:val="000000"/>
          <w:sz w:val="20"/>
        </w:rPr>
        <w:t>Derivative Financial Instruments</w:t>
      </w:r>
      <w:r>
        <w:rPr>
          <w:rFonts w:ascii="Times New Roman" w:hAnsi="Times New Roman"/>
          <w:color w:val="000000"/>
          <w:sz w:val="20"/>
        </w:rPr>
        <w:t xml:space="preserve"> of the notes to the consolidated financial statements of this report for additional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loans and leases, at amortized cost, of $8.64 billion at March 31, 2026, decreased by $55.9 million, or 0.64%, from December 31, 2025. The decrease from the prior year end was primarily due to decreases of $114.0 million in dairy and livestock loans associated with the seasonal increase that occurs every calendar year end, offset in part by increases of $56.8 million in commercial real estate loans. Our loan yields were 5.32% for the quarter ended March 31, 2026, compared to 5.22% for the first quarter of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allowance for credit losses totaled $80.2 million at March 31, 2026, compared to $77.2 million at December 31, 2025. The increase was primarily due to a $3.0 million provision for credit losses in the first quarter of 2026.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Noninterest-bearing deposits were $7.10 billion at March 31, 2026, an increase of $299.8 million, or 4.41%, when compared to $6.80 billion at December 31, 2025. At March 31, 2026, noninterest-bearing deposits were 59.44% of total deposits, compared to 56.33% at December 31,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Interest-bearing deposits were $4.84 billion at March 31, 2026, a decrease of $426.6 million, or 8.09%, when compared to $5.27 billion at December 31, 2025. Customer repurchase agreements totaled $494.3 million at March 31, 2026, compared to $490.6 million at December 31, 2025. Our average cost of total deposits including customer repurchase agreements was 0.82% for the quarter ended March 31, 2026, compared to 0.87% for the quarter ended March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March 31, 2026 and December 31, 2025, total borrowings consisted of $500.0 million of FHLB advances at a weighted average cost of approximately 4.6%. The Federal Home Loan Bank of San Francisco (“FHLB”) advances include maturities of $300.0 million in May 2026 and $200.0 million in May 2027.</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Company’s total stockholders' equity was $2.32 billion at March 31, 2026, an increase of $26.1 million compared $2.30 billion at December 31, 2025. The increase was primarily attributable to $51.0 million in net earnings and a $2.7 million increase in other comprehensive income, partially offset by $27.2 million in cash dividends declared. We engaged in no stock repurchases during the first quarter of 2026. Our tangible book value per share at March 31, 2026 was $11.42, which compares to $11.24 at December 31, 2025. Tangible book value per share is a non-GAAP financial measure. For additional details, refer to Item 2. – </w:t>
      </w:r>
      <w:r>
        <w:rPr>
          <w:rFonts w:ascii="Times New Roman" w:hAnsi="Times New Roman"/>
          <w:i/>
          <w:color w:val="000000"/>
          <w:sz w:val="20"/>
        </w:rPr>
        <w:t>MD&amp;A — GAAP to Non-GAAP Reconciliation.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Our capital ratios under the revised capital framework referred to as Basel III remain well-above regulatory requirements. As of March 31, 2026, the Company’s Tier 1 leverage capital ratio was 11.9%, Common Equity Tier 1 (“CET1”) ratio was 16.3%, Tier 1 risk-based capital ratio was 16.3%, and total risk-based capital ratio was 17.1%. Refer to Item 2. – </w:t>
      </w:r>
      <w:r>
        <w:rPr>
          <w:rFonts w:ascii="Times New Roman" w:hAnsi="Times New Roman"/>
          <w:i/>
          <w:color w:val="000000"/>
          <w:sz w:val="20"/>
        </w:rPr>
        <w:t>MD&amp;A —Analysis of Financial Condition – Capital Resources</w:t>
      </w:r>
      <w:r>
        <w:rPr>
          <w:rFonts w:ascii="Times New Roman" w:hAnsi="Times New Roman"/>
          <w:color w:val="000000"/>
          <w:sz w:val="20"/>
        </w:rPr>
        <w:t>.</w:t>
      </w:r>
    </w:p>
    <w:p>
      <w:pPr>
        <w:pStyle w:val="TextBody"/>
        <w:bidi w:val="0"/>
        <w:jc w:val="both"/>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Acquisition of Heritage Commerce Corp.</w:t>
      </w:r>
    </w:p>
    <w:p>
      <w:pPr>
        <w:pStyle w:val="TextBody"/>
        <w:bidi w:val="0"/>
        <w:spacing w:before="0" w:after="16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On April 17, 2026, the Company completed its previously announced acquisition of Heritage Commerce Corp (“Heritage”), including its banking subsidiary, Heritage Bank of Commerce, in an all-stock transaction in accordance with the terms and conditions of that certain Agreement and Plan of Reorganization and Merger, dated as of December 17, 2025, by and between CVB and Heritage (the “Merger Agreement”). On the Closing Date, Heritage merged with and into CVB, with CVB being the surviving entity (the “Heritage Merger”). Immediately thereafter, Heritage’s wholly-owned banking subsidiary, Heritage Bank of Commerce, merged with and into Citizens Business Bank, N.A. Under the terms of the Merger Agreement, Heritage shareholders received 0.65 shares of the Company’s common stock for each share of Heritage common stock they own. As a result of the merger, the Company issued approximately 41 million shares of common stock to former Heritage shareholders, representing approximately $845 million of consideration. At close, Heritage had loans with a book value of approximately $3.6 billion and approximately $4.8 billion of deposits.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Heritage Merger will be accounted for under ASC 805 as a business combination. Effective the closing date of April 17, 2026, Heritage’s financial results are included in the Company’s consolidated operations and will be reported in the Company’s second quarter 2026 results.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bookmarkStart w:id="13" w:name="analysis_results_operations"/>
      <w:bookmarkEnd w:id="13"/>
      <w:r>
        <w:rPr>
          <w:rFonts w:ascii="Times New Roman" w:hAnsi="Times New Roman"/>
          <w:b/>
          <w:color w:val="000000"/>
          <w:sz w:val="20"/>
        </w:rPr>
        <w:t>ANALYSIS OF THE RESULTS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Financial Performance</w:t>
      </w:r>
      <w:r>
        <w:rPr>
          <w:rFonts w:ascii="Times New Roman" w:hAnsi="Times New Roman"/>
          <w:color w:val="000000"/>
          <w:sz w:val="20"/>
        </w:rPr>
        <w:t xml:space="preserve"> </w:t>
      </w:r>
    </w:p>
    <w:p>
      <w:pPr>
        <w:pStyle w:val="TextBody"/>
        <w:bidi w:val="0"/>
        <w:jc w:val="left"/>
        <w:rPr/>
      </w:pPr>
      <w:r>
        <w:rPr/>
        <w:t> </w:t>
      </w:r>
    </w:p>
    <w:tbl>
      <w:tblPr>
        <w:tblW w:w="8294" w:type="dxa"/>
        <w:jc w:val="left"/>
        <w:tblInd w:w="0" w:type="dxa"/>
        <w:tblLayout w:type="fixed"/>
        <w:tblCellMar>
          <w:top w:w="28" w:type="dxa"/>
          <w:left w:w="28" w:type="dxa"/>
          <w:bottom w:w="28" w:type="dxa"/>
          <w:right w:w="28" w:type="dxa"/>
        </w:tblCellMar>
      </w:tblPr>
      <w:tblGrid>
        <w:gridCol w:w="2986"/>
        <w:gridCol w:w="196"/>
        <w:gridCol w:w="691"/>
        <w:gridCol w:w="256"/>
        <w:gridCol w:w="146"/>
        <w:gridCol w:w="252"/>
        <w:gridCol w:w="888"/>
        <w:gridCol w:w="256"/>
        <w:gridCol w:w="146"/>
        <w:gridCol w:w="196"/>
        <w:gridCol w:w="571"/>
        <w:gridCol w:w="256"/>
        <w:gridCol w:w="146"/>
        <w:gridCol w:w="146"/>
        <w:gridCol w:w="661"/>
        <w:gridCol w:w="501"/>
      </w:tblGrid>
      <w:tr>
        <w:trPr/>
        <w:tc>
          <w:tcPr>
            <w:tcW w:w="29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Variance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 except per share amounts)</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interest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117,840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122,658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recapture of credit losses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-220.00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11,193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27.57</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(17,549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(19,319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earnings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51,002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55,044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Earnings per common share: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Return on average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Return on average shareholders' equity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Efficiency ratio</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expense to average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041" w:type="dxa"/>
        <w:jc w:val="left"/>
        <w:tblInd w:w="0" w:type="dxa"/>
        <w:tblLayout w:type="fixed"/>
        <w:tblCellMar>
          <w:top w:w="28" w:type="dxa"/>
          <w:left w:w="28" w:type="dxa"/>
          <w:bottom w:w="28" w:type="dxa"/>
          <w:right w:w="28" w:type="dxa"/>
        </w:tblCellMar>
      </w:tblPr>
      <w:tblGrid>
        <w:gridCol w:w="2986"/>
        <w:gridCol w:w="196"/>
        <w:gridCol w:w="691"/>
        <w:gridCol w:w="256"/>
        <w:gridCol w:w="146"/>
        <w:gridCol w:w="196"/>
        <w:gridCol w:w="691"/>
        <w:gridCol w:w="256"/>
        <w:gridCol w:w="146"/>
        <w:gridCol w:w="196"/>
        <w:gridCol w:w="571"/>
        <w:gridCol w:w="256"/>
        <w:gridCol w:w="146"/>
        <w:gridCol w:w="146"/>
        <w:gridCol w:w="661"/>
        <w:gridCol w:w="501"/>
      </w:tblGrid>
      <w:tr>
        <w:trPr/>
        <w:tc>
          <w:tcPr>
            <w:tcW w:w="29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Variance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 except per share amounts)</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interest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117,840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recapture of credit losses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(17,549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(18,425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earnings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51,002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51,104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Earnings per common share: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Return on average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Return on average shareholders' equity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Efficiency ratio</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expense to average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GAAP to Non-GAAP Reconciliation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uses certain non-GAAP financial measures to provide supplemental information regarding the Company's operational performance and to enhance investors’ overall understanding of such financial performance. However, these non-GAAP financial measures are supplemental and are not a substitute for an analysis based on GAAP measures. As other companies may use different calculations for these adjusted measures, this presentation may not be comparable to other similarly titled adjusted measures reported by other companies.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Return on Average Tangible Common Equity Reconciliation (Non-GAAP)</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return on average tangible common equity is a non-GAAP disclosure. The Company uses certain non-GAAP financial measures to provide supplemental information regarding the Company's performance.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pStyle w:val="TextBody"/>
        <w:bidi w:val="0"/>
        <w:jc w:val="left"/>
        <w:rPr/>
      </w:pPr>
      <w:r>
        <w:rPr/>
        <w:t> </w:t>
      </w:r>
    </w:p>
    <w:tbl>
      <w:tblPr>
        <w:tblW w:w="8931" w:type="dxa"/>
        <w:jc w:val="left"/>
        <w:tblInd w:w="0" w:type="dxa"/>
        <w:tblLayout w:type="fixed"/>
        <w:tblCellMar>
          <w:top w:w="28" w:type="dxa"/>
          <w:left w:w="28" w:type="dxa"/>
          <w:bottom w:w="28" w:type="dxa"/>
          <w:right w:w="28" w:type="dxa"/>
        </w:tblCellMar>
      </w:tblPr>
      <w:tblGrid>
        <w:gridCol w:w="4186"/>
        <w:gridCol w:w="146"/>
        <w:gridCol w:w="196"/>
        <w:gridCol w:w="826"/>
        <w:gridCol w:w="256"/>
        <w:gridCol w:w="146"/>
        <w:gridCol w:w="218"/>
        <w:gridCol w:w="922"/>
        <w:gridCol w:w="256"/>
        <w:gridCol w:w="146"/>
        <w:gridCol w:w="196"/>
        <w:gridCol w:w="826"/>
        <w:gridCol w:w="6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 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Less: Tax effect of amortization of intangible assets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Tangible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51,605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55,665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51,918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Average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2,335,673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2,304,085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2,226,948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Average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Average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Average tangible common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1,564,510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1,532,087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1,451,608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Return on average equity, annualized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Return on average tangible common equity, annualized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Tax effected at respective statutory rates.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Annualized where applicable.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Tangible Book Value (Non-GAAP)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tangible book value per share is a non-GAAP financial measure derived from GAAP-based amounts. The following is a reconciliation of tangible book value to the Company stockholders' equity computed in accordance with GAAP, as well as a calculation of tangible book value per share.</w:t>
      </w:r>
    </w:p>
    <w:p>
      <w:pPr>
        <w:pStyle w:val="TextBody"/>
        <w:bidi w:val="0"/>
        <w:jc w:val="left"/>
        <w:rPr/>
      </w:pPr>
      <w:r>
        <w:rPr/>
        <w:t> </w:t>
      </w:r>
    </w:p>
    <w:tbl>
      <w:tblPr>
        <w:tblW w:w="7928" w:type="dxa"/>
        <w:jc w:val="left"/>
        <w:tblInd w:w="0" w:type="dxa"/>
        <w:tblLayout w:type="fixed"/>
        <w:tblCellMar>
          <w:top w:w="28" w:type="dxa"/>
          <w:left w:w="28" w:type="dxa"/>
          <w:bottom w:w="28" w:type="dxa"/>
          <w:right w:w="28" w:type="dxa"/>
        </w:tblCellMar>
      </w:tblPr>
      <w:tblGrid>
        <w:gridCol w:w="2941"/>
        <w:gridCol w:w="146"/>
        <w:gridCol w:w="196"/>
        <w:gridCol w:w="1006"/>
        <w:gridCol w:w="166"/>
        <w:gridCol w:w="146"/>
        <w:gridCol w:w="196"/>
        <w:gridCol w:w="1006"/>
        <w:gridCol w:w="166"/>
        <w:gridCol w:w="146"/>
        <w:gridCol w:w="196"/>
        <w:gridCol w:w="1006"/>
        <w:gridCol w:w="61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 except per share amounts)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2,321,281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2,295,224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2,228,419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Tangible book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1,550,535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1,523,628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1,453,785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15,507,580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15,631,054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15,256,591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14,736,834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14,859,458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14,481,957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shares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135,791,180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135,551,799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139,089,612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Tangible book value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Net Interest Income</w:t>
      </w:r>
    </w:p>
    <w:p>
      <w:pPr>
        <w:pStyle w:val="TextBody"/>
        <w:bidi w:val="0"/>
        <w:jc w:val="both"/>
        <w:rPr>
          <w:rFonts w:ascii="Times New Roman" w:hAnsi="Times New Roman"/>
          <w:sz w:val="20"/>
        </w:rPr>
      </w:pPr>
      <w:r>
        <w:rPr>
          <w:rFonts w:ascii="Times New Roman" w:hAnsi="Times New Roman"/>
          <w:color w:val="000000"/>
          <w:sz w:val="20"/>
        </w:rPr>
        <w:t xml:space="preserve">The principal component of our earnings is net interest income, which is the difference between the interest and fees earned on loans and investments (interest-earning assets) and the interest paid on deposits and borrowed funds (interest-bearing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Net interest margin and net interest spread are included on a tax equivalent (“TE”) basis by adjusting interest income utilizing the federal statutory corporate tax rates of 21% in effect for the three months ended March 31, 2026 and 2025. Our net interest income, interest spread, and net interest margin are sensitive to general business and economic conditions. These conditions include short-term and long-term interest rates, inflation, monetary supply, and the strength of the international, national and state economies, in general, and more specifically, the local economies in which we conduct business. We manage interest rate risk within policy limits approved by the Board of Directors, which guides and limits the interest rate risk over short-term and long-term horizons. Sources of interest rate risk include differences in maturity and re-pricing characteristics of assets and liabilities, changes in the shape of the yield curve, and embedded options in assets or liabilities. The mix of interest-earning assets as well as the mix of noninterest bearing deposits and interest-bearing liabilities impacts our ability to manage net interest income during changing interest rate conditions. We also utilize certain derivative instruments to partially hedge interest rate risk. See Item 2 – </w:t>
      </w:r>
      <w:r>
        <w:rPr>
          <w:rFonts w:ascii="Times New Roman" w:hAnsi="Times New Roman"/>
          <w:i/>
          <w:color w:val="000000"/>
          <w:sz w:val="20"/>
        </w:rPr>
        <w:t>MD&amp;A – Asset/Liability and Market Risk Management – Interest Rate Sensitivity Management</w:t>
      </w:r>
      <w:r>
        <w:rPr>
          <w:rFonts w:ascii="Times New Roman" w:hAnsi="Times New Roman"/>
          <w:color w:val="000000"/>
          <w:sz w:val="20"/>
        </w:rPr>
        <w:t xml:space="preserve"> included herein.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tables below present the interest rate spread, net interest margin and the composition of average interest-earning assets and average interest-bearing liabilities by category for the periods indicated, including the changes in average balance, composition, and average yield/rate between these respective periods.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02"/>
        <w:gridCol w:w="196"/>
        <w:gridCol w:w="916"/>
        <w:gridCol w:w="146"/>
        <w:gridCol w:w="146"/>
        <w:gridCol w:w="196"/>
        <w:gridCol w:w="691"/>
        <w:gridCol w:w="146"/>
        <w:gridCol w:w="146"/>
        <w:gridCol w:w="146"/>
        <w:gridCol w:w="421"/>
        <w:gridCol w:w="256"/>
        <w:gridCol w:w="146"/>
        <w:gridCol w:w="196"/>
        <w:gridCol w:w="916"/>
        <w:gridCol w:w="146"/>
        <w:gridCol w:w="146"/>
        <w:gridCol w:w="196"/>
        <w:gridCol w:w="691"/>
        <w:gridCol w:w="146"/>
        <w:gridCol w:w="146"/>
        <w:gridCol w:w="146"/>
        <w:gridCol w:w="421"/>
        <w:gridCol w:w="901"/>
      </w:tblGrid>
      <w:tr>
        <w:trPr/>
        <w:tc>
          <w:tcPr>
            <w:tcW w:w="26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Yield/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Yield/</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Rate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Rate</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INTEREST-EARNING ASSETS</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Investment securities </w:t>
            </w:r>
            <w:r>
              <w:rPr>
                <w:rFonts w:ascii="Times New Roman" w:hAnsi="Times New Roman"/>
                <w:color w:val="000000"/>
                <w:sz w:val="12"/>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Available-for-sale securities:</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Taxable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2,639,622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2,518,657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Tax-advantaged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Held-to-maturity securities:</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Taxable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1,905,735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2,003,206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Tax-advantaged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in FHLB, FRB, and other stock</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Interest-earning deposits with other institutions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Loans </w:t>
            </w:r>
            <w:r>
              <w:rPr>
                <w:rFonts w:ascii="Times New Roman" w:hAnsi="Times New Roman"/>
                <w:color w:val="000000"/>
                <w:sz w:val="12"/>
              </w:rPr>
              <w:t>(2)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8,624,604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8,467,465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interest-earning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13,892,303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13,556,584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noninterest-earning assets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1,671,941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1,612,722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assets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15,564,244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15,169,306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INTEREST-BEARING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Savings deposits </w:t>
            </w:r>
            <w:r>
              <w:rPr>
                <w:rFonts w:ascii="Times New Roman" w:hAnsi="Times New Roman"/>
                <w:color w:val="000000"/>
                <w:sz w:val="12"/>
              </w:rPr>
              <w:t>(3)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4,475,234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4,303,105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deposits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566,665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563,213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interest-bearing deposits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5,041,899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4,866,318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Customer repurchase agreements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FHLB advances and other borrowings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 Other interest-bearing liabilities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Interest-bearing liabilities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6,110,510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5,737,002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Noninterest-bearing deposits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6,894,427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7,006,357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Stockholders' 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2,335,673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2,226,948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15,564,244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15,169,306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interest income</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117,840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interest spread - tax equivalent</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interest margin</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interest margin - tax equivalent</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0" w:after="0"/>
        <w:jc w:val="both"/>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0" w:after="0"/>
        <w:jc w:val="both"/>
        <w:rPr>
          <w:rFonts w:ascii="Times New Roman" w:hAnsi="Times New Roman"/>
          <w:color w:val="000000"/>
          <w:sz w:val="16"/>
          <w:bdr w:val="single" w:sz="6" w:space="1" w:color="000000"/>
        </w:rPr>
      </w:pPr>
      <w:r>
        <w:rPr>
          <w:rFonts w:ascii="Times New Roman" w:hAnsi="Times New Roman"/>
          <w:color w:val="000000"/>
          <w:sz w:val="16"/>
          <w:bdr w:val="single" w:sz="6" w:space="1" w:color="000000"/>
        </w:rPr>
        <w:t xml:space="preserve">Includes TE adjustments utilizing federal statutory corporate rates of 21% in effect for the three months ended March 31, 2026 and March 31, 2025. The non-TE rates for total investment securities were 2.59% and 2.59% for the three months ended March 31, 2026 and March 31, 2025, respectively.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Includes loan fees of $1.2 million and $700,000 for the three months ended March 31, 2026 and 2025, respectively. Prepayment penalty fees of $521,000 and $931,000 are included in interest income for the three months ended March 31, 2026 and 2025, respectively. Average balances include nonperforming loans.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jc w:val="both"/>
        <w:rPr>
          <w:rFonts w:ascii="Times New Roman" w:hAnsi="Times New Roman"/>
          <w:color w:val="000000"/>
          <w:sz w:val="16"/>
        </w:rPr>
      </w:pPr>
      <w:r>
        <w:rPr>
          <w:rFonts w:ascii="Times New Roman" w:hAnsi="Times New Roman"/>
          <w:color w:val="000000"/>
          <w:sz w:val="16"/>
        </w:rPr>
        <w:t>Includes interest-bearing demand and money market accounts.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interest rate. The change in interest income or expense attributable to changes in interest rates is calculated by multiplying the change in interest rate by the initial volume. The net change or the combined impact of volume and rate changes allocated proportionately to changes in volume and changes in interest rates.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Rate and Volume Analysis for Changes in Interest Income, Interest Expense and Net Interest Income</w:t>
      </w:r>
    </w:p>
    <w:p>
      <w:pPr>
        <w:pStyle w:val="TextBody"/>
        <w:bidi w:val="0"/>
        <w:jc w:val="center"/>
        <w:rPr/>
      </w:pPr>
      <w:r>
        <w:rPr/>
        <w:t> </w:t>
      </w:r>
    </w:p>
    <w:tbl>
      <w:tblPr>
        <w:tblW w:w="8418" w:type="dxa"/>
        <w:jc w:val="left"/>
        <w:tblInd w:w="0" w:type="dxa"/>
        <w:tblLayout w:type="fixed"/>
        <w:tblCellMar>
          <w:top w:w="28" w:type="dxa"/>
          <w:left w:w="28" w:type="dxa"/>
          <w:bottom w:w="28" w:type="dxa"/>
          <w:right w:w="28" w:type="dxa"/>
        </w:tblCellMar>
      </w:tblPr>
      <w:tblGrid>
        <w:gridCol w:w="3831"/>
        <w:gridCol w:w="258"/>
        <w:gridCol w:w="674"/>
        <w:gridCol w:w="219"/>
        <w:gridCol w:w="192"/>
        <w:gridCol w:w="258"/>
        <w:gridCol w:w="753"/>
        <w:gridCol w:w="219"/>
        <w:gridCol w:w="192"/>
        <w:gridCol w:w="258"/>
        <w:gridCol w:w="753"/>
        <w:gridCol w:w="811"/>
      </w:tblGrid>
      <w:tr>
        <w:trPr/>
        <w:tc>
          <w:tcPr>
            <w:tcW w:w="383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6"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Comparison of Three Months Ended March 31,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6"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 Compared to 2025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Increase (Decrease) Due to</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Volume</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Rate</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6"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Available-for-sale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Taxable investment securities</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Tax-advantaged investment securities</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Held-to-maturity securities:</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Taxable investment securities</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Tax-advantaged investment securities</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in FHLB, FRB, and other stock</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Interest-earning deposits with other institutions</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Loans</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2,157</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interest income</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4,497</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1,611</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Savings deposits</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deposits</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 agreements</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FHLB advances and other borrowings</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 Other interest-bearing liabilities</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interest expense</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(2,769</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interest income</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3,016</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4,380</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7,396</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First Quarter of 2026 Compared to the First Quarter of 2025</w:t>
      </w:r>
    </w:p>
    <w:p>
      <w:pPr>
        <w:pStyle w:val="TextBody"/>
        <w:bidi w:val="0"/>
        <w:jc w:val="both"/>
        <w:rPr>
          <w:rFonts w:ascii="Times New Roman" w:hAnsi="Times New Roman"/>
          <w:color w:val="000000"/>
          <w:sz w:val="20"/>
        </w:rPr>
      </w:pPr>
      <w:r>
        <w:rPr>
          <w:rFonts w:ascii="Times New Roman" w:hAnsi="Times New Roman"/>
          <w:color w:val="000000"/>
          <w:sz w:val="20"/>
        </w:rPr>
        <w:t xml:space="preserve">Net interest income, before provision for credit losses, of $117.8 million for the first quarter of 2026 increased by $7.4 million, or 6.7%, from the first quarter of 2025. The increase in net interest income in the first quarter of 2026 compared to the first quarter of 2025 was the net result of a $6.1 million increase in interest income and a $1.3 million decrease in interest expense.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tax equivalent net interest margin for the first quarter of 2026 increased by 13 basis points compared to the first quarter of 2025. The expansion of net interest margin was due to an increase in the yield on average interest-earning assets of seven basis points, as well as a seven basis points decrease in cost of funds.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interest income of $149.1 million increased by $6.1 million, or 4.27%, when compared to the first quarter of 2025. This increase was primarily due to a $335.7 increase in average interest-earning assets and a seven basis point increase in the yield on earning assets. Average loan balances increased by $157.1 million, average interest-earning deposits with other institutions increased $128.1 million, and the average balance of investment securities increased by $12.5 million from the first quarter of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interest income and fees on loans for the first quarter of 2026 was $113.3 million, an increase of $4.2 million, or 3.85%, from the first quarter of 2025. This increase in income was due to the $157 million increase in average loan balances and the increase in average loan yields from 5.22% for the first quarter of 2025, to 5.32% for the first quarter of 2026.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income from investment securities was $31.9 million for the first quarter of 2026, an increase of $111,000, or 0.35%, from the first quarter of 2025. A ten basis point increase in yields on investment securities was offset by a decrease in the interest income derived from the pay-fixed swaps designated as fair value hedges on AFS securities. The spread between daily SOFR and the fixed rate paid on these swaps decreased from 0.61% in the first quarter of 2025 to a negative 0.06% in the first quarter of 2026, resulting in a $1.1 million decrease in interest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expense was $31.3 million for the first quarter of 2026, a decrease of $1.3 million, compared to the first quarter of 2025. Total cost of funds was 0.97% for the first quarter of 2026, which decreased from 1.03% for the year ago quarter. This six basis point decrease in cost of funds was primarily driven by an eight basis point reduction in cost of deposits. Cost of total interest-bearing deposits decreased by 26 basis points. However, the cost of customer repurchase agreements increased from 1.24% in the first quarter of 2025 to 1.71% in the first quarter of 2026. Average noninterest-bearing deposits were 57.8% of total average deposits for the first quarter of 2026, compared to 59.0% for the first quarter of 2025.</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Provision for (Recapture of) Credit Losses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provision for (recapture of) credit losses is a charge to earnings to maintain the allowance for credit losses at a level consistent with management’s assessment of expected lifetime losses in the loan portfolio as of the balance sheet date.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was a $3.0 million provision for credit losses in the first quarter of 2026, compared to a $2.0 million recapture of credit losses in the first quarter of 2025. Net recoveries for the first quarter of 2026 were $9,000, compared to net recoveries of $130,000 in the first quarter of 2025. Projected loss rates were 0.93% at March 31, 2026, compared to 0.94% at March 31, 2025. The provision for credit losses for the first quarter of 2026 was largely attributable to a $3.2 million increase in specific reserves, primarily related to one commercial and industrial credit relationship.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No assurance can be given that economic conditions which affect the Company’s service areas or other circumstances will or will not be reflected in future changes in the level of our allowance for credit losses and the resulting provision or recapture of provision for credit losses. The process to estimate the allowance for credit losses requires considerable judgment and our economic forecasts may continue to vary due to the uncertainty of the future impact from geopolitical events, trade barriers, including tariff policies, and global inflation will have on future interest rates, unemployment, the overall economy and resulting impact on our customers. Refer to Item 2 – </w:t>
      </w:r>
      <w:r>
        <w:rPr>
          <w:rFonts w:ascii="Times New Roman" w:hAnsi="Times New Roman"/>
          <w:i/>
          <w:color w:val="000000"/>
          <w:sz w:val="20"/>
        </w:rPr>
        <w:t>MD&amp;A - Analysis of Financial Condition - Allowance for Credit Losses</w:t>
      </w:r>
      <w:r>
        <w:rPr>
          <w:rFonts w:ascii="Times New Roman" w:hAnsi="Times New Roman"/>
          <w:color w:val="000000"/>
          <w:sz w:val="20"/>
        </w:rPr>
        <w:t xml:space="preserve"> for discussion concerning observed changes in the credit quality of various components of our loan portfolio as well as changes and refinements to our methodology.</w:t>
      </w:r>
    </w:p>
    <w:p>
      <w:pPr>
        <w:pStyle w:val="TextBody"/>
        <w:bidi w:val="0"/>
        <w:jc w:val="left"/>
        <w:rPr/>
      </w:pPr>
      <w:r>
        <w:rPr/>
        <w:t>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Noninterest Income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Noninterest income includes income derived from financial services offered to our customers, such as CitizensTrust, merchant processing and card services, international banking, and other business services. Also included in noninterest income are service charges and fees, primarily from deposit accounts, gains (net of losses) from the disposition of investment securities, loans, other real estate owned, and fixed assets, and other revenues not included as interest on earning assets.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the various components of noninterest income for the periods presented.</w:t>
      </w:r>
    </w:p>
    <w:p>
      <w:pPr>
        <w:pStyle w:val="TextBody"/>
        <w:bidi w:val="0"/>
        <w:jc w:val="left"/>
        <w:rPr/>
      </w:pPr>
      <w:r>
        <w:rPr/>
        <w:t> </w:t>
      </w:r>
    </w:p>
    <w:tbl>
      <w:tblPr>
        <w:tblW w:w="7636" w:type="dxa"/>
        <w:jc w:val="left"/>
        <w:tblInd w:w="0" w:type="dxa"/>
        <w:tblLayout w:type="fixed"/>
        <w:tblCellMar>
          <w:top w:w="28" w:type="dxa"/>
          <w:left w:w="28" w:type="dxa"/>
          <w:bottom w:w="28" w:type="dxa"/>
          <w:right w:w="28" w:type="dxa"/>
        </w:tblCellMar>
      </w:tblPr>
      <w:tblGrid>
        <w:gridCol w:w="2871"/>
        <w:gridCol w:w="196"/>
        <w:gridCol w:w="601"/>
        <w:gridCol w:w="146"/>
        <w:gridCol w:w="146"/>
        <w:gridCol w:w="196"/>
        <w:gridCol w:w="601"/>
        <w:gridCol w:w="146"/>
        <w:gridCol w:w="146"/>
        <w:gridCol w:w="196"/>
        <w:gridCol w:w="571"/>
        <w:gridCol w:w="166"/>
        <w:gridCol w:w="146"/>
        <w:gridCol w:w="146"/>
        <w:gridCol w:w="661"/>
        <w:gridCol w:w="701"/>
      </w:tblGrid>
      <w:tr>
        <w:trPr/>
        <w:tc>
          <w:tcPr>
            <w:tcW w:w="28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Variance</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income:</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 charges on deposit accounts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Trust and investment services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Bankcard services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BOLI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OREO,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noninterest income</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First Quarter of 2026 Compared to the First Quarter of 2025</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Noninterest income in the first quarter of 2026 decreased by $2.0 million, or 12%, compared to the same period in 2025. The decrease was driven primarily by the $2.2 million gain on sale of OREO that occurred during the first quarter of 2025. A decrease of $334,000 in other income, partially offset a $313,000 increase in trust and investment services and a $308,000 increase in BOLI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Trust and Investment Services represents our CitizensTrust group. The CitizensTrust group is made up of wealth management and investment services. CitizensTrust provides a variety of services, which include asset management, financial planning, estate planning, retirement planning, private and corporate trustee services, and probate services. Investment Services provides self-directed brokerage, 401(k) plans, mutual funds, insurance and other non-insured investment products. At March 31, 2026, CitizensTrust had approximately $5.06 billion in assets under management and administration, including $3.70 billion in assets under management. CitizensTrust generated fees of $3.7 million for the first quarter of 2026, compared to $3.4 million for the same period last year. </w:t>
      </w:r>
    </w:p>
    <w:p>
      <w:pPr>
        <w:pStyle w:val="TextBody"/>
        <w:bidi w:val="0"/>
        <w:jc w:val="both"/>
        <w:rPr/>
      </w:pPr>
      <w:r>
        <w:rPr/>
        <w:t>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Noninterest Expense</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various components of noninterest expense for the periods presented.</w:t>
      </w:r>
    </w:p>
    <w:p>
      <w:pPr>
        <w:pStyle w:val="TextBody"/>
        <w:bidi w:val="0"/>
        <w:jc w:val="left"/>
        <w:rPr/>
      </w:pPr>
      <w:r>
        <w:rPr/>
        <w:t> </w:t>
      </w:r>
    </w:p>
    <w:tbl>
      <w:tblPr>
        <w:tblW w:w="8216" w:type="dxa"/>
        <w:jc w:val="left"/>
        <w:tblInd w:w="0" w:type="dxa"/>
        <w:tblLayout w:type="fixed"/>
        <w:tblCellMar>
          <w:top w:w="28" w:type="dxa"/>
          <w:left w:w="28" w:type="dxa"/>
          <w:bottom w:w="28" w:type="dxa"/>
          <w:right w:w="28" w:type="dxa"/>
        </w:tblCellMar>
      </w:tblPr>
      <w:tblGrid>
        <w:gridCol w:w="3321"/>
        <w:gridCol w:w="196"/>
        <w:gridCol w:w="601"/>
        <w:gridCol w:w="256"/>
        <w:gridCol w:w="146"/>
        <w:gridCol w:w="196"/>
        <w:gridCol w:w="601"/>
        <w:gridCol w:w="256"/>
        <w:gridCol w:w="146"/>
        <w:gridCol w:w="196"/>
        <w:gridCol w:w="571"/>
        <w:gridCol w:w="166"/>
        <w:gridCol w:w="146"/>
        <w:gridCol w:w="146"/>
        <w:gridCol w:w="571"/>
        <w:gridCol w:w="701"/>
      </w:tblGrid>
      <w:tr>
        <w:trPr/>
        <w:tc>
          <w:tcPr>
            <w:tcW w:w="33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Variance</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expense:</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Salaries and employee benefits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Occupancy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21.00</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Computer software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Marketing and promotion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-26.41</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Telecommunications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Regulatory assessments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-79.33</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Insurance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unfunded loan commitments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Directors'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15.23</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related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14.40</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noninterest expense</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60,568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59,144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Noninterest expense to average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Efficiency ratio </w:t>
            </w:r>
            <w:r>
              <w:rPr>
                <w:rFonts w:ascii="Times New Roman" w:hAnsi="Times New Roman"/>
                <w:color w:val="000000"/>
                <w:sz w:val="12"/>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jc w:val="both"/>
        <w:rPr>
          <w:rFonts w:ascii="Times New Roman" w:hAnsi="Times New Roman"/>
          <w:color w:val="000000"/>
          <w:sz w:val="16"/>
          <w:bdr w:val="single" w:sz="6" w:space="1" w:color="000000"/>
        </w:rPr>
      </w:pPr>
      <w:r>
        <w:rPr>
          <w:rFonts w:ascii="Times New Roman" w:hAnsi="Times New Roman"/>
          <w:color w:val="000000"/>
          <w:sz w:val="16"/>
          <w:bdr w:val="single" w:sz="6" w:space="1" w:color="000000"/>
        </w:rPr>
        <w:t>Noninterest expense divided by net interest income before provision for credit losses plus noninterest income.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ability to control noninterest expenses in relation to asset growth can be measured in terms of total noninterest expenses as a percentage of average assets. Noninterest expense as a percentage of average assets was 1.58% for the first quarter of 2026, compared to 1.58% for the first quarter of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ability to control noninterest expenses in relation to the level of total revenue (net interest income before provision for credit losses plus noninterest income) can be measured by the efficiency ratio and indicates the percentage of net revenue that is used to cover expenses. The efficiency ratio was 45.84% for the first quarter of 2026, compared to 46.69% for the first quarter of 2025.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First Quarter of 2026 Compared to the First Quarter of 2025</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Noninterest expense was $60.6 million for the first quarter of 2026, an increase of $1.4 million, or 2.4%, compared to the first quarter of 2025. Excluding acquisition expense, noninterest expense decreased by $295,000. Acquisition related expenses for the Heritage merger, announced at the end of the fourth quarter of 2025, totaled $1.1 million in the first quarter of 2026. Salaries and employee benefits increased by $984,000 and professional services increased by $437,000. These increases in noninterest expense were offset by a $1.6 million reduction in regulatory assessment expense resulting from a reduction in the FDIC special assessment accrual. </w:t>
      </w:r>
    </w:p>
    <w:p>
      <w:pPr>
        <w:pStyle w:val="TextBody"/>
        <w:bidi w:val="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jc w:val="both"/>
        <w:rPr>
          <w:rFonts w:ascii="Times New Roman" w:hAnsi="Times New Roman"/>
          <w:color w:val="000000"/>
          <w:sz w:val="20"/>
        </w:rPr>
      </w:pPr>
      <w:r>
        <w:rPr>
          <w:rFonts w:ascii="Times New Roman" w:hAnsi="Times New Roman"/>
          <w:color w:val="000000"/>
          <w:sz w:val="20"/>
        </w:rPr>
        <w:t>The Company’s effective tax rate for the three months ended March 31, 2026 was 25.60% compared to 26.50% for the three months ended March 31, 2025, respectively. Our estimated annual effective tax rate also varies depending upon the level of tax-advantaged income from municipal securities and bank owned life insurance (“BOLI”), as well as available tax credits. The decrease in the effective tax rate was primarily driven by increased investments in solar tax credits.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effective tax rates are below the nominal combined Federal and State tax rate primarily as a result of tax-advantaged income from certain municipal security investments, municipal loans and leases and BOLI, as well as available tax credits for each period.</w:t>
      </w:r>
    </w:p>
    <w:p>
      <w:pPr>
        <w:pStyle w:val="TextBody"/>
        <w:bidi w:val="0"/>
        <w:jc w:val="left"/>
        <w:rPr/>
      </w:pPr>
      <w:r>
        <w:rPr/>
        <w:t> </w:t>
      </w:r>
    </w:p>
    <w:p>
      <w:pPr>
        <w:pStyle w:val="TextBody"/>
        <w:bidi w:val="0"/>
        <w:jc w:val="center"/>
        <w:rPr>
          <w:rFonts w:ascii="Times New Roman" w:hAnsi="Times New Roman"/>
          <w:b/>
          <w:color w:val="000000"/>
          <w:sz w:val="20"/>
        </w:rPr>
      </w:pPr>
      <w:bookmarkStart w:id="14" w:name="analysis_financial_condition"/>
      <w:bookmarkEnd w:id="14"/>
      <w:r>
        <w:rPr>
          <w:rFonts w:ascii="Times New Roman" w:hAnsi="Times New Roman"/>
          <w:b/>
          <w:color w:val="000000"/>
          <w:sz w:val="20"/>
        </w:rPr>
        <w:t>ANALYSIS OF FINANCIAL CONDITION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assets of $15.51 billion at March 31, 2026 decreased by $123.5 million, or 0.79%, from total assets of $15.63 billion at December 31, 2025. Interest-earning assets of $13.86 billion at March 31, 2026 decreased by $135.4 million, or 0.97%, when compared with $13.99 billion at December 31, 2025. The decrease in interest-earning assets was primarily due to a $116.3 million decrease in investment securities and a $55.9 million decrease in total loans, offset by a $44.9 million in crease in interest-earnings balances due from the Federal Reserve.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liabilities were $13.19 billion at March 31, 2026, a decrease of $149.5 million, or 1.12%, from total liabilities of $13.34 billion at December 31, 2025. Total deposits decreased by $126.8 million, or 1.05%, with interest-bearing deposits decreasing by $426.6 million, or 8.09%. Noninterest-bearing deposits increased by $299.8 million, or 4.41%. Borrowings remained the same balance as of December 31, 2025. At March 31, 2026, total borrowings consisted of $500 million of FHLB advances, at an average cost of approximately 4.6%.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equity increased $26.1 million to $2.32 billion at March 31, 2026, compared to total equity of $2.30 billion at December 31, 2025. Increases to equity included $51.0 million in net earnings and a $2.6 million increase in other comprehensive income that were partially offset by $27.2 million in cash dividends. We engaged in no stock repurchases during the first quarter of 2026.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Investment Securities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maintains a portfolio of investment securities to provide interest income and to serve as a source of liquidity for its ongoing operations. At March 31, 2026, total investment securities were $4.84 billion, a decrease of $116.3 million, or 2.35%, from $4.95 billion at December 31, 2025. The overall decrease in investment securities was primarily due to repayment and maturities At March 31, 2026, our AFS investment securities totaled $2.59 billion, inclusive of a pre-tax net unrealized loss of $310.4 million. The after-tax unrealized loss reported in accumulated other comprehensive income (“AOCI”) on our AFS investment securities at March 31, 2026 was $220.1 million, an increase of $1.8 million from $218.3 million after-tax unrealized loss at December 31, 2025. The changes in the net unrealized holding loss resulted primarily from fluctuations in market interest rates. At March 31, 2026, investment securities HTM totaled $2.25 billion, a decrease of $22.4 million from December 31, 2025. For the three months ended March 31, 2026 and 2025, repayments/maturities of investment securities totaled $111.1 million and $84.7 million, respectively. There were no investments sold during the first quarter of 2026 and 2025. During the first quarter of 2026 and 2025, the Company originated $1.1 million and $1.7 million, respectively, of Commercial Property Assessed Clean Energy (“C-PACE”) bonds, which are included in our HTM securities.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tables present the fair value of AFS and the amortized cost of HTM investment securities as well as the weighted average yields on our investment securities portfolio by contractual maturity as of the date indicated. </w:t>
      </w:r>
    </w:p>
    <w:p>
      <w:pPr>
        <w:pStyle w:val="TextBody"/>
        <w:bidi w:val="0"/>
        <w:jc w:val="both"/>
        <w:rPr/>
      </w:pPr>
      <w:r>
        <w:rPr/>
        <w:t> </w:t>
      </w:r>
    </w:p>
    <w:tbl>
      <w:tblPr>
        <w:tblW w:w="12100" w:type="dxa"/>
        <w:jc w:val="left"/>
        <w:tblInd w:w="0" w:type="dxa"/>
        <w:tblLayout w:type="fixed"/>
        <w:tblCellMar>
          <w:top w:w="28" w:type="dxa"/>
          <w:left w:w="28" w:type="dxa"/>
          <w:bottom w:w="28" w:type="dxa"/>
          <w:right w:w="28" w:type="dxa"/>
        </w:tblCellMar>
      </w:tblPr>
      <w:tblGrid>
        <w:gridCol w:w="1286"/>
        <w:gridCol w:w="181"/>
        <w:gridCol w:w="511"/>
        <w:gridCol w:w="146"/>
        <w:gridCol w:w="146"/>
        <w:gridCol w:w="194"/>
        <w:gridCol w:w="482"/>
        <w:gridCol w:w="211"/>
        <w:gridCol w:w="146"/>
        <w:gridCol w:w="181"/>
        <w:gridCol w:w="586"/>
        <w:gridCol w:w="146"/>
        <w:gridCol w:w="146"/>
        <w:gridCol w:w="205"/>
        <w:gridCol w:w="471"/>
        <w:gridCol w:w="211"/>
        <w:gridCol w:w="146"/>
        <w:gridCol w:w="181"/>
        <w:gridCol w:w="586"/>
        <w:gridCol w:w="146"/>
        <w:gridCol w:w="146"/>
        <w:gridCol w:w="209"/>
        <w:gridCol w:w="467"/>
        <w:gridCol w:w="211"/>
        <w:gridCol w:w="146"/>
        <w:gridCol w:w="181"/>
        <w:gridCol w:w="691"/>
        <w:gridCol w:w="146"/>
        <w:gridCol w:w="146"/>
        <w:gridCol w:w="194"/>
        <w:gridCol w:w="482"/>
        <w:gridCol w:w="211"/>
        <w:gridCol w:w="146"/>
        <w:gridCol w:w="181"/>
        <w:gridCol w:w="691"/>
        <w:gridCol w:w="146"/>
        <w:gridCol w:w="146"/>
        <w:gridCol w:w="194"/>
        <w:gridCol w:w="482"/>
        <w:gridCol w:w="576"/>
      </w:tblGrid>
      <w:tr>
        <w:trPr/>
        <w:tc>
          <w:tcPr>
            <w:tcW w:w="12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8" w:type="dxa"/>
            <w:gridSpan w:val="3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March 31, 2026</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One Year or Less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After One Year Through Five Years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After Five Years Through Ten Years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After Ten Years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8" w:type="dxa"/>
            <w:gridSpan w:val="3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4"/>
              </w:rPr>
            </w:pPr>
            <w:r>
              <w:rPr>
                <w:rFonts w:ascii="Times New Roman" w:hAnsi="Times New Roman"/>
                <w:i/>
                <w:color w:val="000000"/>
                <w:sz w:val="14"/>
              </w:rPr>
              <w:t>(Dollars in thousands)</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 Average Yield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 Average Yield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 Average Yield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 Average Yield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 Average Yield</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AFS investment securities</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Government agency/GSE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Mortgage-backed securities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1,817,232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1,830,082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CMO/REMIC</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658,525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659,357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14"/>
              </w:rPr>
            </w:pPr>
            <w:r>
              <w:rPr>
                <w:rFonts w:ascii="Times New Roman" w:hAnsi="Times New Roman"/>
                <w:color w:val="000000"/>
                <w:sz w:val="14"/>
              </w:rPr>
              <w:t>Municipal bonds </w:t>
            </w:r>
            <w:r>
              <w:rPr>
                <w:rFonts w:ascii="Times New Roman" w:hAnsi="Times New Roman"/>
                <w:color w:val="000000"/>
                <w:sz w:val="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Collateralized loan obligations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4.93</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securities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2.33</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14"/>
              </w:rPr>
            </w:pPr>
            <w:r>
              <w:rPr>
                <w:rFonts w:ascii="Times New Roman" w:hAnsi="Times New Roman"/>
                <w:color w:val="000000"/>
                <w:sz w:val="14"/>
              </w:rPr>
              <w:t xml:space="preserve">Total AFS investment securities </w:t>
            </w:r>
            <w:r>
              <w:rPr>
                <w:rFonts w:ascii="Times New Roman" w:hAnsi="Times New Roman"/>
                <w:color w:val="000000"/>
                <w:sz w:val="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2,518,416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2,589,119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HTM investment securities</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Government agency/GSE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494,436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Mortgage-backed securities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546,829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CMO/REMIC</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746,293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746,293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14"/>
              </w:rPr>
            </w:pPr>
            <w:r>
              <w:rPr>
                <w:rFonts w:ascii="Times New Roman" w:hAnsi="Times New Roman"/>
                <w:color w:val="000000"/>
                <w:sz w:val="14"/>
              </w:rPr>
              <w:t xml:space="preserve">Municipal bonds </w:t>
            </w:r>
            <w:r>
              <w:rPr>
                <w:rFonts w:ascii="Times New Roman" w:hAnsi="Times New Roman"/>
                <w:color w:val="000000"/>
                <w:sz w:val="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441,681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securities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14"/>
              </w:rPr>
            </w:pPr>
            <w:r>
              <w:rPr>
                <w:rFonts w:ascii="Times New Roman" w:hAnsi="Times New Roman"/>
                <w:color w:val="000000"/>
                <w:sz w:val="14"/>
              </w:rPr>
              <w:t xml:space="preserve">Total HTM investment securities </w:t>
            </w:r>
            <w:r>
              <w:rPr>
                <w:rFonts w:ascii="Times New Roman" w:hAnsi="Times New Roman"/>
                <w:color w:val="000000"/>
                <w:sz w:val="9"/>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343,763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1,786,415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2,248,038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sz w:val="14"/>
              </w:rPr>
            </w:pPr>
            <w:r>
              <w:rPr>
                <w:rFonts w:ascii="Times New Roman" w:hAnsi="Times New Roman"/>
                <w:color w:val="000000"/>
                <w:sz w:val="14"/>
              </w:rPr>
              <w:t xml:space="preserve">Total securities </w:t>
            </w:r>
            <w:r>
              <w:rPr>
                <w:rFonts w:ascii="Times New Roman" w:hAnsi="Times New Roman"/>
                <w:color w:val="000000"/>
                <w:sz w:val="9"/>
              </w:rPr>
              <w:t>(1)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130,990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354,818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4,304,831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4,837,157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120" w:after="283"/>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120" w:after="283"/>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Includes TE adjustments. The non-TE weighted average yields for securities were 2.48% and 2.49% at March 31, 2026 and December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maturity of each security category is defined as the contractual maturity except for the categories of mortgage-backed securities and CMO/REMIC whose maturities are defined as the estimated average life. The final maturity of mortgage-backed securities and CMO/REMIC will differ from their contractual maturities because the underlying mortgages have the right to repay such obligations without penalty. The speed at which the underlying mortgages repay is influenced by many factors, one of which is interest rates. Mortgages tend to repay faster as interest rates fall and slower as interest rate rise. This will either shorten or extend the estimated average life. Also, the yield on mortgage-backed securities and CMO/REMIC are affected by the speed at which the underlying mortgages repay. This is caused by the change in the amount of amortization of premiums or accretion of discounts of each security as repayments increase or decrease. The Company obtains the estimated average life of each security from independent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TE yield on the total investment portfolio at March 31, 2026 was 2.57% with a weighted-average life of 6.2 years. This compares to a weighted-average TE yield of 2.59% at December 31, 2025 with a weighted-average life of 6.4 years. The weighted average life is the average number of years that each dollar of unpaid principal due remains outstanding. Average life is computed as the weighted-average time to the receipt of all future cash flows, using as the weights the dollar amounts of the principal pay-downs.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Approximately 89% of the total investment securities portfolio at March 31, 2026 represents securities issued by the U.S. government or U.S. government-sponsored enterprises, with the implied guarantee of payment of principal and interest. The remaining securities are predominately AA or better general-obligation municipal bonds. As of March 31, 2026, $20.9 million in U.S. government agency bonds are callable. The Agency CMO/REMIC securities are backed by agency-pooled collateral. Municipal bonds, which represented approximately 10% of the total investment portfolio, are predominately AA or higher rated securities.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allowance for credit losses on investment securities is determined for both the AFS and HTM classifications of the investment portfolio in accordance with ASC 326. We review investment securities to determine whether unrealized losses are deemed credit related or due to other factors such as changes in interest rates and general market conditions, issuer rating changes and trends. Non-credit related unrealized losses on AFS investment securities, which may be attributed to changes in interest rates and other market-related factors, are not recorded through an ACL. Such declines are recorded as an adjustment to accumulated other comprehensive loss, net. In the event the Company is required to sell or has the intent to sell an AFS security that has experienced a decline in fair value below its amortized cost, the Company writes the amortized cost of the security down to fair value in the current period. Management determined that credit losses did not exist for securities in an unrealized loss position as of March 31, 2026 and December 31,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Note 4 – </w:t>
      </w:r>
      <w:r>
        <w:rPr>
          <w:rFonts w:ascii="Times New Roman" w:hAnsi="Times New Roman"/>
          <w:i/>
          <w:color w:val="000000"/>
          <w:sz w:val="20"/>
        </w:rPr>
        <w:t>Investment Securities</w:t>
      </w:r>
      <w:r>
        <w:rPr>
          <w:rFonts w:ascii="Times New Roman" w:hAnsi="Times New Roman"/>
          <w:color w:val="000000"/>
          <w:sz w:val="20"/>
        </w:rPr>
        <w:t xml:space="preserve"> of the notes to the unaudited condensed consolidated financial statements of this report for additional information on our investment securities portfolio.</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Loans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loans and leases, at amortized cost, of $8.64 billion at March 31, 2026 decreased by $55.9 million, or 0.64%, from December 31, 2025. The decrease in total loans was largely attributable to the decrease of $116.7 million in dairy &amp; livestock and agribusiness loans. The decline in dairy &amp; livestock loans primarily relates to the seasonal peak in line utilization at the end of every calendar year, demonstrated by a decline in utilization from 78% at the end of 2025 to 69% at March 31, 2026. Excluding the decline in dairy &amp; livestock loans, total gross loans would have increased by $58.0 million from the prior year end.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Commercial and Industrial loans decreased by $21.4 million from prior year end, as line utilization decreased from 32% at the end of 2025 to 30% at March 31, 2026. Partially offsetting the decline in line usage from the end of 2025 was loan growth in commercial real estate loans of $56.8 million, construction loans of $21.5 million, and Small Business Administration (“SBA”) loans of $9.3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our loan portfolio by type as of the dates presented.</w:t>
      </w:r>
    </w:p>
    <w:p>
      <w:pPr>
        <w:pStyle w:val="TextBody"/>
        <w:bidi w:val="0"/>
        <w:jc w:val="left"/>
        <w:rPr/>
      </w:pPr>
      <w:r>
        <w:rPr/>
        <w:t> </w:t>
      </w:r>
    </w:p>
    <w:tbl>
      <w:tblPr>
        <w:tblW w:w="7489" w:type="dxa"/>
        <w:jc w:val="left"/>
        <w:tblInd w:w="0" w:type="dxa"/>
        <w:tblLayout w:type="fixed"/>
        <w:tblCellMar>
          <w:top w:w="28" w:type="dxa"/>
          <w:left w:w="28" w:type="dxa"/>
          <w:bottom w:w="28" w:type="dxa"/>
          <w:right w:w="28" w:type="dxa"/>
        </w:tblCellMar>
      </w:tblPr>
      <w:tblGrid>
        <w:gridCol w:w="3731"/>
        <w:gridCol w:w="247"/>
        <w:gridCol w:w="1043"/>
        <w:gridCol w:w="166"/>
        <w:gridCol w:w="146"/>
        <w:gridCol w:w="296"/>
        <w:gridCol w:w="1249"/>
        <w:gridCol w:w="611"/>
      </w:tblGrid>
      <w:tr>
        <w:trPr/>
        <w:tc>
          <w:tcPr>
            <w:tcW w:w="373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6,631,238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6,574,395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37,812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SBA</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282,401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and industrial</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973,631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Dairy &amp; livestock and agribusiness</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431,577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Municipal lease finance receivables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59,542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SFR mortgage</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281,766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Consumer and other loans</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loans, at amortized cost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8,643,316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8,699,193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Allowance for credit losses</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(77,161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Total loans and lease finance receivables, net</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8,563,146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8,622,032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March 31, 2026, $428.8 million, or 6.47% of the total commercial real estate loans included loans secured by farmland, compared to $424.5 million, or 6.46%, at December 31, 2025. The loans secured by farmland included $123.5 million for loans secured by dairy &amp; livestock land and $305.3 million for loans secured by agricultural land at March 31, 2026, compared to $119.0 million for loans secured by dairy &amp; livestock land and $305.5 million for loans secured by agricultural land at December 31, 2025. As of March 31, 2026, dairy &amp; livestock and agribusiness loans of $314.8 million were comprised of $272.1 million of dairy &amp; livestock loans and $42.7 million of agribusiness loans, compared to $431.6 million comprised of $386.1 million of dairy &amp; livestock loans and $45.5 million of agribusiness loans December 31, 2025.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the Company had $241.6 million of SBA 504 loans, an increase of $12.8 million compared to $228.8 million of SBA 504 loans at December 31, 2025. SBA 504 loans include term loans to finance capital expenditures and for the purchase of commercial real estate. Initially the Bank provides two separate loans to the borrower representing a first and second lien on the collateral. The loan with 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 granted for the purpose of commercial real estate acquisition. As of March 31, 2026 and December 31, 2025, the Company had $50.1 million and $53.6 million of total SBA 7(a) loans, respectively,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the Company had $59.3 million in construction loans, representing 0.70% of total loans. As of December 31, 2025, the Company had $37.8 million in construction loans, representing 0.40% of total loans. There were no nonperforming construction loans at March 31, 2026 and December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loan portfolio is geographically disbursed throughout our marketplace. The following is the breakdown of our total held-for-investment loans and commercial real estate loans by region as of March 31, 2026. </w:t>
      </w:r>
    </w:p>
    <w:p>
      <w:pPr>
        <w:pStyle w:val="TextBody"/>
        <w:bidi w:val="0"/>
        <w:jc w:val="left"/>
        <w:rPr/>
      </w:pPr>
      <w:r>
        <w:rPr/>
        <w:t> </w:t>
      </w:r>
    </w:p>
    <w:tbl>
      <w:tblPr>
        <w:tblW w:w="6956" w:type="dxa"/>
        <w:jc w:val="left"/>
        <w:tblInd w:w="0" w:type="dxa"/>
        <w:tblLayout w:type="fixed"/>
        <w:tblCellMar>
          <w:top w:w="28" w:type="dxa"/>
          <w:left w:w="28" w:type="dxa"/>
          <w:bottom w:w="28" w:type="dxa"/>
          <w:right w:w="28" w:type="dxa"/>
        </w:tblCellMar>
      </w:tblPr>
      <w:tblGrid>
        <w:gridCol w:w="2311"/>
        <w:gridCol w:w="196"/>
        <w:gridCol w:w="826"/>
        <w:gridCol w:w="146"/>
        <w:gridCol w:w="146"/>
        <w:gridCol w:w="146"/>
        <w:gridCol w:w="511"/>
        <w:gridCol w:w="256"/>
        <w:gridCol w:w="146"/>
        <w:gridCol w:w="196"/>
        <w:gridCol w:w="826"/>
        <w:gridCol w:w="146"/>
        <w:gridCol w:w="146"/>
        <w:gridCol w:w="146"/>
        <w:gridCol w:w="511"/>
        <w:gridCol w:w="301"/>
      </w:tblGrid>
      <w:tr>
        <w:trPr/>
        <w:tc>
          <w:tcPr>
            <w:tcW w:w="23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Loans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Commercial Real</w:t>
              <w:br/>
              <w:t>Estate Loans</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 Angeles County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3,132,350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2,298,543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Central Valley and Sacramento</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1,941,066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1,508,283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Orange County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Inland Empire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1,049,324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Central Coast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San Diego</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California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 of State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349,832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8,643,316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6,631,238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below breaks down our commercial real estate portfolio by collateral type.</w:t>
      </w:r>
    </w:p>
    <w:p>
      <w:pPr>
        <w:pStyle w:val="TextBody"/>
        <w:bidi w:val="0"/>
        <w:jc w:val="left"/>
        <w:rPr/>
      </w:pPr>
      <w:r>
        <w:rPr/>
        <w:t> </w:t>
      </w:r>
    </w:p>
    <w:tbl>
      <w:tblPr>
        <w:tblW w:w="7764" w:type="dxa"/>
        <w:jc w:val="left"/>
        <w:tblInd w:w="0" w:type="dxa"/>
        <w:tblLayout w:type="fixed"/>
        <w:tblCellMar>
          <w:top w:w="28" w:type="dxa"/>
          <w:left w:w="28" w:type="dxa"/>
          <w:bottom w:w="28" w:type="dxa"/>
          <w:right w:w="28" w:type="dxa"/>
        </w:tblCellMar>
      </w:tblPr>
      <w:tblGrid>
        <w:gridCol w:w="2271"/>
        <w:gridCol w:w="221"/>
        <w:gridCol w:w="934"/>
        <w:gridCol w:w="146"/>
        <w:gridCol w:w="146"/>
        <w:gridCol w:w="150"/>
        <w:gridCol w:w="526"/>
        <w:gridCol w:w="256"/>
        <w:gridCol w:w="146"/>
        <w:gridCol w:w="262"/>
        <w:gridCol w:w="758"/>
        <w:gridCol w:w="256"/>
        <w:gridCol w:w="146"/>
        <w:gridCol w:w="320"/>
        <w:gridCol w:w="835"/>
        <w:gridCol w:w="391"/>
      </w:tblGrid>
      <w:tr>
        <w:trPr/>
        <w:tc>
          <w:tcPr>
            <w:tcW w:w="227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Loan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Percent </w:t>
              <w:br/>
              <w:t>Owner-</w:t>
              <w:br/>
              <w:t xml:space="preserve">Occupied </w:t>
            </w:r>
            <w:r>
              <w:rPr>
                <w:rFonts w:ascii="Times New Roman" w:hAnsi="Times New Roman"/>
                <w:b/>
                <w:color w:val="000000"/>
                <w:sz w:val="12"/>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br/>
              <w:t>Loan Balance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Industrial</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2,332,197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Office</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1,005,462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Retail</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Multi-family</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858,121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 xml:space="preserve">Secured by farmland </w:t>
            </w:r>
            <w:r>
              <w:rPr>
                <w:rFonts w:ascii="Times New Roman" w:hAnsi="Times New Roman"/>
                <w:color w:val="000000"/>
                <w:sz w:val="12"/>
              </w:rPr>
              <w:t>(2)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Medical</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 xml:space="preserve">Other </w:t>
            </w:r>
            <w:r>
              <w:rPr>
                <w:rFonts w:ascii="Times New Roman" w:hAnsi="Times New Roman"/>
                <w:color w:val="000000"/>
                <w:sz w:val="12"/>
              </w:rPr>
              <w:t>(3)</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commercial real estate</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6,631,238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Represents percentage of reported owner-occupied at origination in each real estate loan category.</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loans secured by farmland included $123.5 million for loans secured by dairy &amp; livestock land and $305.3 million for loans secured by agricultural land at March 31, 2026.</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pPr>
      <w:r>
        <w:rPr>
          <w:rFonts w:ascii="Times New Roman" w:hAnsi="Times New Roman"/>
          <w:color w:val="000000"/>
          <w:sz w:val="16"/>
        </w:rPr>
        <w:t>Other loans consist of a variety of loan types, none of which exceeded 2.0% of total commercial real estate loans at March 31, 2026.</w:t>
      </w:r>
      <w:r>
        <w:rPr>
          <w:color w:val="00000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b/>
          <w:i/>
          <w:color w:val="000000"/>
          <w:sz w:val="20"/>
        </w:rPr>
        <w:t>Nonperforming Assets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information on nonperforming assets as of the dates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61"/>
        <w:gridCol w:w="308"/>
        <w:gridCol w:w="946"/>
        <w:gridCol w:w="256"/>
        <w:gridCol w:w="146"/>
        <w:gridCol w:w="367"/>
        <w:gridCol w:w="1129"/>
        <w:gridCol w:w="392"/>
      </w:tblGrid>
      <w:tr>
        <w:trPr/>
        <w:tc>
          <w:tcPr>
            <w:tcW w:w="66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Nonaccrual loans</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4,685</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 nonperforming loans</w:t>
            </w:r>
          </w:p>
        </w:tc>
        <w:tc>
          <w:tcPr>
            <w:tcW w:w="30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6,144</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2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4,685</w:t>
            </w:r>
          </w:p>
        </w:tc>
        <w:tc>
          <w:tcPr>
            <w:tcW w:w="3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OREO, net</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nonperforming assets</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4,848</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Performing modified loans</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19,355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16,859</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nonperforming loans and performing modified loans</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25,499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21,544</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nonperforming loans and performing modified loans to total loans, at amortized cost</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nonperforming assets to total loans and OREO</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nonperforming assets to total assets</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Nonperforming Assets and Delinquencies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below provides trends in our nonperforming assets and delinquencies as of the dates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86"/>
        <w:gridCol w:w="146"/>
        <w:gridCol w:w="205"/>
        <w:gridCol w:w="631"/>
        <w:gridCol w:w="286"/>
        <w:gridCol w:w="146"/>
        <w:gridCol w:w="243"/>
        <w:gridCol w:w="748"/>
        <w:gridCol w:w="286"/>
        <w:gridCol w:w="146"/>
        <w:gridCol w:w="257"/>
        <w:gridCol w:w="794"/>
        <w:gridCol w:w="286"/>
        <w:gridCol w:w="146"/>
        <w:gridCol w:w="196"/>
        <w:gridCol w:w="601"/>
        <w:gridCol w:w="286"/>
        <w:gridCol w:w="146"/>
        <w:gridCol w:w="205"/>
        <w:gridCol w:w="631"/>
        <w:gridCol w:w="934"/>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9"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Nonperforming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23,707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24,379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24,379</w:t>
            </w:r>
          </w:p>
        </w:tc>
        <w:tc>
          <w:tcPr>
            <w:tcW w:w="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w:t>
            </w:r>
          </w:p>
        </w:tc>
        <w:tc>
          <w:tcPr>
            <w:tcW w:w="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and 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Dairy &amp; livestock and agribusiness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6,144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4,685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27,804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25,969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25,636</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 of Total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0.07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0.05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0.33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0.31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0.31</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Past due 30-89 days (accruing):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and 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SFR mortgage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6,605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3,178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3,419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718</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 of Total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0.08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0.04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0.04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0.01</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OREO: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163</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661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661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495</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Total nonperforming, past due, and OREO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12,955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8,026</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28,550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30,049</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26,849</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 of Total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0.15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0.09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0.34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0.36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0.32</w:t>
            </w:r>
          </w:p>
        </w:tc>
        <w:tc>
          <w:tcPr>
            <w:tcW w:w="93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Classified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83,058</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52,701</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78,180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73,422</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94,169</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Nonperforming assets consist of loans whereby we have ceased accruing interest (i.e., nonaccrual loans), OREO, and other repossessed assets owned. Nonperforming loans, defined as nonaccrual loans, including modified loans on nonaccrual, generally consist of loans that are 90 days or more past due and loans where, in the opinion of management, there is reasonable doubt as to the full collection of principal and interest, regardless of the length of past due status.</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Nonperforming loans totaled $6.1 million at March 31, 2026, or 0.07% of total loans. This compares to nonperforming loans of $4.7 million, or 0.05% of total loans, at December 31, 2025. The $1.5 million increase in nonperforming loans was primarily due to the addition of one nonperforming commercial and industrial loan of $2.9 million, four nonperforming commercial real estate loans totaling $1.3 million, offset by the payoff of $4.1 million commercial real estate nonaccrual loan.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Classified loans are loans that are graded “substandard” or worse. Classified loans increased $30.4 million quarter-over-quarter, primarily due to the downgrade of four commercial and industrial loans totaling $18.1 million, three commercial real estate loans totaling $12.9 million, and two dairy &amp; livestock loans totaling $4.4 million.These increases are partially offset by loan paydowns and payoffs during the quarter.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March 31, 2026, the Company had two OREO properties totaling $206,000, compared to one OREO property valued at $163,000 at December 31,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Modifications of Loans to Borrowers Experiencing Financial Difficulty</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two loans to borrowers experiencing financial difficulty that were modified during the three months ended March 31, 2026 with an amortized cost totaling $15.1 million at March 31, 2026, including one commercial and industrial loan for $10.4 million and one dairy &amp; livestock and agribusiness loan for $4.7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2026 and 2025, the Company did not have any modified loans that subsequently defaulted within twelve months of the modification date. Payment default is defined as movement to nonaccrual (nonperforming) status, foreclosure or charge-off, whichever occurs first.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At March 31, 2026 and December 31, 2025, there was no ACL allocated to modified loans to borrowers experiencing financial difficulty. Impairment amounts identified are typically charged off against the allowance at the time the loan is considered uncollectible. There were no charge-offs on loans to borrowers experiencing financial difficulty for the three months ended March 31, 2026 and 2025.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 xml:space="preserve">See Note 3 — </w:t>
      </w:r>
      <w:r>
        <w:rPr>
          <w:rFonts w:ascii="Times New Roman" w:hAnsi="Times New Roman"/>
          <w:i/>
          <w:color w:val="000000"/>
          <w:sz w:val="20"/>
        </w:rPr>
        <w:t>Summary of Significant Accounting Policies</w:t>
      </w:r>
      <w:r>
        <w:rPr>
          <w:rFonts w:ascii="Times New Roman" w:hAnsi="Times New Roman"/>
          <w:color w:val="000000"/>
          <w:sz w:val="20"/>
        </w:rPr>
        <w:t xml:space="preserve"> — Modification of Loans to Borrowers Experiencing Financial Difficulty of the 2025 Form 10-K and Note 5 – </w:t>
      </w:r>
      <w:r>
        <w:rPr>
          <w:rFonts w:ascii="Times New Roman" w:hAnsi="Times New Roman"/>
          <w:i/>
          <w:color w:val="000000"/>
          <w:sz w:val="20"/>
        </w:rPr>
        <w:t>Loans and Lease Finance Receivables and Allowance for Credit Losses</w:t>
      </w:r>
      <w:r>
        <w:rPr>
          <w:rFonts w:ascii="Times New Roman" w:hAnsi="Times New Roman"/>
          <w:color w:val="000000"/>
          <w:sz w:val="20"/>
        </w:rPr>
        <w:t xml:space="preserve"> of the notes to this Quarterly Report on Form 10-Q for additional information.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Allowance for Credit Losses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allowance for credit losses totaled $80.2 million as of March 31, 2026, compared to $77.2 million as of December 31, 2025. Our allowance for credit losses at March 31, 2026 was 0.93% of total loans, compared to 0.89% at December 31, 2025. The increase in our allowance for credit losses from December 31, 2025 was due to a $3.0 million provision for credit losses compared to a $2.0 million recapture of credit losses recorded for the quarter ended March 31, 2025. Net recoveries were $9,000 for the three months ended March 31, 2026, compared to net recoveries of $130,000 for the same period of 2025. The increase in the allowance for the period ending March 31, 2026, was primarily due to the addition of specific reserves totalling $3.2 million, including reserves for the additional nonperforming commercial and industrial loan of $2.9 million.</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allowance for credit losses as of March 31, 2026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The allowance for credit loss is sensitive to both changes in these portfolio characteristics and the forecast of macroeconomic variables. Risk attributes for commercial real estate loans include original loan to value ratios, origination year, loan seasoning, and macroeconomic variables that include Real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SBA loans.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economic forecast continues to be a blend of multiple forecasts produced by Moody’s. The baseline forecast continues to represent the largest weighting in our multi-weighted forecast scenario, with both upside and downside risks weighted among multiple forecasts. The resulting weighted average forecast as of March 31, 2026 reflects GDP growth declining throughout 2026 and staying below 2% throughout 2027. The unemployment rate is forecasted to increase, with unemployment exceeding 5% before the end of 2026 and remaining above 5% through 2028. Commercial real estate prices are forecasted to continue their decline through the end of 2026, before experiencing growth in the later part of 2027.</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table below presents a summary of charge-offs and recoveries by type, the provision for credit losses on loans, and the resulting allowance for credit losses for the periods presented. </w:t>
      </w:r>
    </w:p>
    <w:p>
      <w:pPr>
        <w:pStyle w:val="TextBody"/>
        <w:bidi w:val="0"/>
        <w:jc w:val="left"/>
        <w:rPr/>
      </w:pPr>
      <w:r>
        <w:rPr/>
        <w:t> </w:t>
      </w:r>
    </w:p>
    <w:tbl>
      <w:tblPr>
        <w:tblW w:w="7793" w:type="dxa"/>
        <w:jc w:val="left"/>
        <w:tblInd w:w="0" w:type="dxa"/>
        <w:tblLayout w:type="fixed"/>
        <w:tblCellMar>
          <w:top w:w="28" w:type="dxa"/>
          <w:left w:w="28" w:type="dxa"/>
          <w:bottom w:w="28" w:type="dxa"/>
          <w:right w:w="28" w:type="dxa"/>
        </w:tblCellMar>
      </w:tblPr>
      <w:tblGrid>
        <w:gridCol w:w="4836"/>
        <w:gridCol w:w="196"/>
        <w:gridCol w:w="826"/>
        <w:gridCol w:w="256"/>
        <w:gridCol w:w="146"/>
        <w:gridCol w:w="196"/>
        <w:gridCol w:w="826"/>
        <w:gridCol w:w="511"/>
      </w:tblGrid>
      <w:tr>
        <w:trPr/>
        <w:tc>
          <w:tcPr>
            <w:tcW w:w="48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and For the</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Allowance for credit losses at beginning of period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77,161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80,122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Charge-offs:</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real estate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SBA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and industrial</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charge-offs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Recoveries: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Construction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SBA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and industrial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recoveries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recoveries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(recapture of) credit losses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Allowance for credit losses at end of period</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80,170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78,252</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Summary of reserve for unfunded loan commitments:</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Reserve for unfunded loan commitments at beginning of period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Provision for unfunded loan commitments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Reserve for unfunded loan commitments at end of period</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6,750</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Reserve for unfunded loan commitments to total unfunded loan </w:t>
              <w:br/>
              <w:t>    commitments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Amount of total loans at end of period </w:t>
            </w:r>
            <w:r>
              <w:rPr>
                <w:rFonts w:ascii="Times New Roman" w:hAnsi="Times New Roman"/>
                <w:color w:val="000000"/>
                <w:sz w:val="12"/>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8,643,316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8,363,632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Average total loans outstanding </w:t>
            </w:r>
            <w:r>
              <w:rPr>
                <w:rFonts w:ascii="Times New Roman" w:hAnsi="Times New Roman"/>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8,624,604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8,467,465</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recoveries (charge-offs) to average total loans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recoveries (charge-offs) to total loans at end of period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Allowance for credit losses to average total loans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Allowance for credit losses to total loans at end of period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Allowance for credit losses to nonaccrual loans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1305.00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305.24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recoveries (charge-offs) to allowance for credit losses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0.17</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recoveries to provision for (recapture of) credit losses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Net of deferred loan origination fees, costs and discounts (amortized cost).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ACL methodology also produced an allowance of $8.8 million for our off-balance sheet credit exposures as of March 31, 2026, compared with $8.3 million as of December 31, 2025. The increase from the prior year end was primarily driven by higher unfunded commitment balances in commercial and industrial loans and commercial real estate.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While we believe that the allowance at March 31, 2026 was appropriate to absorb losses from known or inherent risks in the portfolio, no assurance can be given that future economic conditions, interest rate fluctuations, conditions of our borrowers (including fraudulent activity), or natural disasters, which adversely affect our service areas or other circumstances or conditions, including those defined above, will not be reflected in increased provisions for credit losses in the future. </w:t>
      </w:r>
    </w:p>
    <w:p>
      <w:pPr>
        <w:pStyle w:val="TextBody"/>
        <w:bidi w:val="0"/>
        <w:jc w:val="both"/>
        <w:rPr>
          <w:rFonts w:ascii="Times New Roman" w:hAnsi="Times New Roman"/>
          <w:sz w:val="20"/>
        </w:rPr>
      </w:pPr>
      <w:r>
        <w:rPr>
          <w:rFonts w:ascii="Times New Roman" w:hAnsi="Times New Roman"/>
          <w:color w:val="000000"/>
          <w:sz w:val="20"/>
        </w:rPr>
        <w:t>Changes in economic and business conditions could have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Times New Roman" w:hAnsi="Times New Roman"/>
          <w:i/>
          <w:color w:val="000000"/>
          <w:sz w:val="20"/>
        </w:rPr>
        <w:t>Risk Management – Credit Risk Management</w:t>
      </w:r>
      <w:r>
        <w:rPr>
          <w:rFonts w:ascii="Times New Roman" w:hAnsi="Times New Roman"/>
          <w:color w:val="000000"/>
          <w:sz w:val="20"/>
        </w:rPr>
        <w:t>” contained in the 2025 Form 10-K.</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Deposits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primary source of funds to support earning assets (loans and investments) is the generation of deposits.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deposits were $11.95 billion at March 31, 2026, a decrease of $126.8 million, or 1.05%, compared with total deposits of $12.07 billion at December 31, 2025. The composition of deposits is summarized as of the dates presented in the table below.</w:t>
      </w:r>
    </w:p>
    <w:p>
      <w:pPr>
        <w:pStyle w:val="TextBody"/>
        <w:bidi w:val="0"/>
        <w:jc w:val="left"/>
        <w:rPr/>
      </w:pPr>
      <w:r>
        <w:rPr/>
        <w:t> </w:t>
      </w:r>
    </w:p>
    <w:tbl>
      <w:tblPr>
        <w:tblW w:w="7366" w:type="dxa"/>
        <w:jc w:val="left"/>
        <w:tblInd w:w="0" w:type="dxa"/>
        <w:tblLayout w:type="fixed"/>
        <w:tblCellMar>
          <w:top w:w="28" w:type="dxa"/>
          <w:left w:w="28" w:type="dxa"/>
          <w:bottom w:w="28" w:type="dxa"/>
          <w:right w:w="28" w:type="dxa"/>
        </w:tblCellMar>
      </w:tblPr>
      <w:tblGrid>
        <w:gridCol w:w="2161"/>
        <w:gridCol w:w="196"/>
        <w:gridCol w:w="916"/>
        <w:gridCol w:w="146"/>
        <w:gridCol w:w="146"/>
        <w:gridCol w:w="146"/>
        <w:gridCol w:w="601"/>
        <w:gridCol w:w="256"/>
        <w:gridCol w:w="146"/>
        <w:gridCol w:w="196"/>
        <w:gridCol w:w="916"/>
        <w:gridCol w:w="146"/>
        <w:gridCol w:w="146"/>
        <w:gridCol w:w="146"/>
        <w:gridCol w:w="601"/>
        <w:gridCol w:w="501"/>
      </w:tblGrid>
      <w:tr>
        <w:trPr/>
        <w:tc>
          <w:tcPr>
            <w:tcW w:w="21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Noninterest-bearing deposits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7,100,507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6,800,691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56.33</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Interest-bearing deposits</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Investment checking</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Money market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3,406,568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3,792,427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31.42</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Savings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Time deposits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544,485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576,775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Deposits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11,945,224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12,071,982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amount of noninterest-bearing deposits in relation to total deposits is an integral element in our strategy of seeking to achieve a low cost of funds. Noninterest-bearing deposits totaled $7.10 billion for the first quarter of 2026, an increase of $299.8 million, or 4.41%, from $6.80 billion at December 31, 2025. Noninterest-bearing deposits were 59.44% of total deposits at the end of the first quarter of 2026, compared to 56.33% at December 31,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Interest-bearing non-maturity deposits, which include savings, interest-bearing demand checking, and money market accounts, totaled $4.30 billion at March 31, 2026, a decrease of $394.3 million, or 8.40%, compared to $4.69 billion at December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Time deposits totaled $544.5 million at March 31, 2026, a decrease of $32.3 million, or 5.60%, compared to $576.8 million at December 31,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first quarter of 2024, the Company issued $300 million of 3-month term brokered CDs and entered into pay-fixed interest rate swaps with a notional amount of $300 million and maturities of three years. The swaps carry a weighted average fixed rate of approximately 4.10%, with the Company receiving daily SOFR, and mature in the first quarter of 2027. These interest rate derivative contracts are designated as qualifying cash flow hedges to hedge the exposure to variability in expected future cash flows attributable to changes in a contractually specified interest rate. At March 31, 2026, the fair value of these instruments totaled $1.2 million and were reflected as a liability.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deposits are primarily relationship based and include deposits and customer repurchase agreements (“repos”). As of March 31, 2026, 78% of our deposits consisted of business deposits and 22% consisted of consumer deposits, with consumer deposits coming primarily from the owners and employees of our business customers. One of the largest percentage of our deposits, 38%, are analyzed business accounts, which represent customer operating accounts that generally utilize a wide array of treasury management products. As most of our business customers need to operate with more than $250,000 in their operating account, we have a significant percentage of deposits that are uninsured. Our estimated uninsured deposits were $6.50 billion and $6.56 billion at March 31, 2026 and December 31, 2025, respectively. As of March 31, 2026, 46% of our total deposits and customer repos were uncollateralized and uninsured.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customer deposit relationships represent a diverse set of industries. Overall, there are 15 different industry classifications that represent 2% or more of our deposits as of March 31, 2026. The industry classification with the largest concentrations is finance &amp; insurance, which represent 14% of our deposits. Manufacturing and construction each represents 7%, while property management, and other real estate rental &amp; leasing, each represents 6% of our deposits. Our depositors have typically banked with us for many years. As of March 31, 2026, 48% of our deposit relationships have banked with us more than 10 years and 75% of our deposit relationships have been with us for three or more years.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Average total deposits and customer repurchase agreements for the first quarter of 2026 increased by $288.2 million when compared to the first quarter of 2025. Our average noninterest-bearing deposits continued to be greater than 57% of our average total deposits for the first quarter of 2026.</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cost of deposits was 78 basis points on average for the first quarter of 2026, which compares to 86 basis points for the first quarter of 2025.</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Borrowings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At March 31, 2026, our borrowings were $994.3 million, which consisted of $494.3 million of customer repurchase agreements and $500.0 million of FHLB advances. The average interest rate on these advances was 4.55%. At December 31, 2025, our borrowings were $990.6 million including $490.6 million of customer repurchase agreements and $500.0 million of FHLB advances. Refer to Note 6 - </w:t>
      </w:r>
      <w:r>
        <w:rPr>
          <w:rFonts w:ascii="Times New Roman" w:hAnsi="Times New Roman"/>
          <w:i/>
          <w:color w:val="000000"/>
          <w:sz w:val="20"/>
        </w:rPr>
        <w:t>Borrowings</w:t>
      </w:r>
      <w:r>
        <w:rPr>
          <w:rFonts w:ascii="Times New Roman" w:hAnsi="Times New Roman"/>
          <w:color w:val="000000"/>
          <w:sz w:val="20"/>
        </w:rPr>
        <w:t xml:space="preserve"> of the notes to the consolidated financial statements for a more detailed discussion.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Bank offers a repurchase agreement product to its customers known as Citizens Sweep Manager. Under this program, the Bank sells investment securities overnight to customers under an agreement to repurchase the securities the next business day at a price that reflects the market value of the use of these funds for the period. These repurchase agreements are entered into with customers seeking to invest excess demand deposit balances above a predetermined threshold in order to earn interest. As of March 31, 2026 and December 31, 2025, total funds borrowed under these agreements were $494.3 million and $490.6 million, respectively. The average balance for the first quarter of 2026 was $541.9 million with a weighted average interest rate of 1.71%, compared to an average balance of $317.3 million and a weighted average interest rate of 1.24% for the first quarter of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March 31, 2026, investment securities with carrying values of $2.74 billion were pledged to secure various types of deposits, including $964.8 million of public funds. In addition, investment securities with carrying values of $1.95 billion were pledged to secure $572.7 million for repurchase agreements, $1.32 billion for unused borrowing capacity and approximately $56.3 million for other purposes as required or permitted by law.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March 31, 2026, loans with a carrying value of $6.47 billion were pledged to secure the borrowings and available lines of credit from the FHLB and the Federal Reserve Bank. At March 31, 2026, the Bank had unused borrowing capacity at the FHLB of $3.26 billion and unused borrowing capacity at the FRB of $1.2 billion.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Aggregate Contractual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aggregate contractual obligations as of March 31,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82"/>
        <w:gridCol w:w="196"/>
        <w:gridCol w:w="916"/>
        <w:gridCol w:w="146"/>
        <w:gridCol w:w="146"/>
        <w:gridCol w:w="267"/>
        <w:gridCol w:w="1251"/>
        <w:gridCol w:w="146"/>
        <w:gridCol w:w="146"/>
        <w:gridCol w:w="308"/>
        <w:gridCol w:w="1088"/>
        <w:gridCol w:w="146"/>
        <w:gridCol w:w="146"/>
        <w:gridCol w:w="359"/>
        <w:gridCol w:w="1104"/>
        <w:gridCol w:w="146"/>
        <w:gridCol w:w="146"/>
        <w:gridCol w:w="287"/>
        <w:gridCol w:w="883"/>
        <w:gridCol w:w="196"/>
      </w:tblGrid>
      <w:tr>
        <w:trPr/>
        <w:tc>
          <w:tcPr>
            <w:tcW w:w="21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Maturity by Period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Less Than One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One Year Through </w:t>
              <w:br/>
              <w:t>Three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Four Years Through </w:t>
              <w:br/>
              <w:t>Five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Over Five Years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7"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Deposits </w:t>
            </w:r>
            <w:r>
              <w:rPr>
                <w:rFonts w:ascii="Times New Roman" w:hAnsi="Times New Roman"/>
                <w:color w:val="000000"/>
                <w:sz w:val="12"/>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11,945,224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11,936,621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Customer repurchase agreements </w:t>
            </w:r>
            <w:r>
              <w:rPr>
                <w:rFonts w:ascii="Times New Roman" w:hAnsi="Times New Roman"/>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borrowings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investments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8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13,098,362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12,780,423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252,791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50,884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Amounts exclude accrued interest.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Deposits represent noninterest-bearing, money market, savings, NOW, certificates of deposits, brokered and all other deposits held by the Bank.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Customer repurchase agreements represent excess amounts swept from customer demand deposit accounts, which mature the following business day and are collateralized by investment securities. These amounts are due to customers.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borrowings represent amounts due for FHLB advances based on their contractual maturity dates.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Deferred compensation represents the amounts that are due to former employees based on salary continuation agreements as a result of acquisitions and amounts due to current and retired employees under our deferred compensation plans.</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0"/>
        </w:rPr>
        <w:t xml:space="preserve">Operating leases represent the total minimum lease payments due under non-cancelable operating leases. Refer to Note 12 – </w:t>
      </w:r>
      <w:r>
        <w:rPr>
          <w:rFonts w:ascii="Times New Roman" w:hAnsi="Times New Roman"/>
          <w:i/>
          <w:color w:val="000000"/>
          <w:sz w:val="20"/>
        </w:rPr>
        <w:t xml:space="preserve">Leases </w:t>
      </w:r>
      <w:r>
        <w:rPr>
          <w:rFonts w:ascii="Times New Roman" w:hAnsi="Times New Roman"/>
          <w:color w:val="000000"/>
          <w:sz w:val="20"/>
        </w:rPr>
        <w:t>of the notes to the Company’s unaudited condensed consolidated financial statements for a more detailed discussion about leases.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Equity investments represent commitments to contribute capital to low-income housing tax credit (“LIHTC”), solar tax funds and other CRA related investment partnerships.</w:t>
      </w:r>
    </w:p>
    <w:p>
      <w:pPr>
        <w:pStyle w:val="TextBody"/>
        <w:bidi w:val="0"/>
        <w:jc w:val="both"/>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off-balance sheet items at March 31,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33"/>
        <w:gridCol w:w="196"/>
        <w:gridCol w:w="826"/>
        <w:gridCol w:w="146"/>
        <w:gridCol w:w="146"/>
        <w:gridCol w:w="276"/>
        <w:gridCol w:w="1163"/>
        <w:gridCol w:w="146"/>
        <w:gridCol w:w="146"/>
        <w:gridCol w:w="296"/>
        <w:gridCol w:w="1045"/>
        <w:gridCol w:w="146"/>
        <w:gridCol w:w="146"/>
        <w:gridCol w:w="315"/>
        <w:gridCol w:w="1110"/>
        <w:gridCol w:w="146"/>
        <w:gridCol w:w="146"/>
        <w:gridCol w:w="261"/>
        <w:gridCol w:w="922"/>
        <w:gridCol w:w="394"/>
      </w:tblGrid>
      <w:tr>
        <w:trPr/>
        <w:tc>
          <w:tcPr>
            <w:tcW w:w="2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Maturity by Period</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Less Than One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One Year Through </w:t>
              <w:br/>
              <w:t>Three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Four Years Through </w:t>
              <w:br/>
              <w:t>Five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After Five Years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 to extend credit:</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4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2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Commercial real estate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15,850</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Construction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3,337</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SBA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Commercial and industrial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29,138</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 xml:space="preserve">Dairy &amp; livestock and agribusiness </w:t>
            </w:r>
            <w:r>
              <w:rPr>
                <w:rFonts w:ascii="Times New Roman" w:hAnsi="Times New Roman"/>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SFR Mortgage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Consumer and other loans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78,047</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8"/>
              </w:rPr>
              <w:t>Total commitment to extend credit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2,009,521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127,107</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Letter of credit commitments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Total</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2,083,624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1,099,562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685,485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171,452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127,125</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Total commitments to extend credit to agribusiness were $23.2 million at March 31,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we had commitments to extend credit of approximately $2.01 billion, and obligations under letters of credit of $74.1 million.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on-balance sheet instruments, which consist of evaluating customers’ creditworthiness individually. As of March 31, 2026 and December 31, 2025, the reserve for unfunded loan commitments was $8.8 million and $8.3 million, respectively, and was included in other liabilities. The provision for unfunded loan commitments for the three months ended March 31, 2026 and 2025 was $500,000.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Capital Resources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 plan and capital stress testing.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Total stockholders' equity increased $26.1 million to $2.32 billion at March 31, 2026, compared to total stockholders' equity of $2.30 billion at December 31, 2025. Increases to equity included $51.0 million in net earnings and a $2.7 million increase in other comprehensive income, partially offset by $27.2 million in cash dividends declared. During the first quarter of 2025, we repurchased 782,063 shares at an average price of $19.55, totaling $15.3 million. Our tangible book value per share at March 31, 2026 was $11.42, compared to $11.24 at December 31, 2025. Tangible book value per share is a non-GAAP financial measure. For additional details, refer to Item 2. </w:t>
      </w:r>
      <w:r>
        <w:rPr>
          <w:rFonts w:ascii="Times New Roman" w:hAnsi="Times New Roman"/>
          <w:i/>
          <w:color w:val="000000"/>
          <w:sz w:val="20"/>
        </w:rPr>
        <w:t>MD&amp;A — GAAP to Non-GAAP Reconciliation</w:t>
      </w:r>
      <w:r>
        <w:rPr>
          <w:rFonts w:ascii="Times New Roman" w:hAnsi="Times New Roman"/>
          <w:color w:val="000000"/>
          <w:sz w:val="20"/>
        </w:rPr>
        <w:t xml:space="preserve"> in this Form 10-Q.</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18, 2026, the Board of Directors of CVB declared a quarterly cash dividend of $0.20 per share, payable on April 15, 2026. Dividends are payable at the discretion of the Board of Directors and there can be no assurance that the Board of Directors will continue to pay dividends at the same rate, or at all, in the future. CVB’s ability to pay cash dividends to its shareholders is subject to restrictions under federal and California law, including restrictions imposed by the Federal Reserve, and covenants set forth in various agreements we are a party to.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20, 2024, our Board of Directors approved a program to repurchase up to 10,000,000 shares (the "Maximum Amount") of CVB common stock including by means of one or more Rule 10b5-1 plans or other appropriate buy-back arrangements, including open market purchases and private transactions, based on the prices and timing considered appropriate due to prevailing market conditions and other corporate and legal considerations ("2024 Repurchase Program"). This 2024 Repurchase Program replaced in its entirety the Company's previous 2022 share repurchase program under which 4,300,059 shares remained available for repurchase prior to its termination. The 2024 Repurchase Program terminates on the earlier of the repurchase of the Maximum Amount, or five years from the date of authorization. We engaged in no stock repurchases during the first quarter of 2026, other than shares repurchased pursuant to net settlement by employees in satisfaction of income tax withholding obligations incurred though the vesting of Company stock awards. As of March 31, 2026, an aggregate of 5,678,223 shares remained available for repurchase under our 2024 Repurchase Program.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Bank and the Company are required to meet risk-based capital standards under the revised capital framework referred to as Basel III set by their respective regulatory authorities. The risk-based capital standards require the achievement of a minimum total risk-based capital ratio of 8.0%, a Tier 1 risk-based capital ratio of 6.0% and a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 At March 31, 2026, the Bank and the Company exceeded the minimum risk-based capital ratios and leverage ratios required to be considered “well-capitalized” for regulatory purposes. For further information about capital requirements and our capital ratios, see “Item 1. </w:t>
      </w:r>
      <w:r>
        <w:rPr>
          <w:rFonts w:ascii="Times New Roman" w:hAnsi="Times New Roman"/>
          <w:i/>
          <w:color w:val="000000"/>
          <w:sz w:val="20"/>
        </w:rPr>
        <w:t>Business – Capital Adequacy Requirements</w:t>
      </w:r>
      <w:r>
        <w:rPr>
          <w:rFonts w:ascii="Times New Roman" w:hAnsi="Times New Roman"/>
          <w:color w:val="000000"/>
          <w:sz w:val="20"/>
        </w:rPr>
        <w:t>” as described in our Annual Report on Form 10-K for the year ended December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presents the Company’s and the Bank’s risk-based and leverage capital ratios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6"/>
        <w:gridCol w:w="146"/>
        <w:gridCol w:w="1135"/>
        <w:gridCol w:w="146"/>
        <w:gridCol w:w="1448"/>
        <w:gridCol w:w="146"/>
        <w:gridCol w:w="1068"/>
        <w:gridCol w:w="146"/>
        <w:gridCol w:w="1292"/>
        <w:gridCol w:w="146"/>
        <w:gridCol w:w="937"/>
        <w:gridCol w:w="146"/>
        <w:gridCol w:w="1292"/>
        <w:gridCol w:w="146"/>
        <w:gridCol w:w="985"/>
      </w:tblGrid>
      <w:tr>
        <w:trPr/>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r>
      <w:tr>
        <w:trPr/>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Capital Ratios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Adequately Capitalized Ratios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Minimum Required Plus Capital Conservation Buffer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Well Capitalized Ratios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CVB Financial Corp. Consolidated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Citizens Business Bank, 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CVB Financial Corp. Consolidated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Citizens Business Bank, N.A.</w:t>
            </w:r>
          </w:p>
        </w:tc>
      </w:tr>
      <w:tr>
        <w:trPr/>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Tier 1 leverage capital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11.46%</w:t>
            </w:r>
          </w:p>
        </w:tc>
      </w:tr>
      <w:tr>
        <w:trPr/>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equity Tier 1 capital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15.66%</w:t>
            </w:r>
          </w:p>
        </w:tc>
      </w:tr>
      <w:tr>
        <w:trPr/>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Tier 1 risk-based capital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15.66%</w:t>
            </w:r>
          </w:p>
        </w:tc>
      </w:tr>
      <w:tr>
        <w:trPr/>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risk-based capital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16.44%</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bookmarkStart w:id="15" w:name="liability_risk_management"/>
      <w:bookmarkEnd w:id="15"/>
      <w:r>
        <w:rPr>
          <w:rFonts w:ascii="Times New Roman" w:hAnsi="Times New Roman"/>
          <w:b/>
          <w:color w:val="000000"/>
          <w:sz w:val="20"/>
        </w:rPr>
        <w:t>ASSET/LIABILITY AND MARKET RISK MANAGEMENT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Liquidity and Cash Flow</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Asset/Liability Committee that meets monthly. This committee analyzes the cash flows from loans, investments, deposits and borrowings, as well as the input assumptions and results from various models. In addition, the Company has a Balance Sheet Management Committee of the Board of Directors that meets at least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general, our liquidity is managed daily by controlling the level of liquid assets as well as the use of funds provided by the cash flow from the investment portfolio, loan demand, deposit fluctuations, and borrowings. Our definition of liquid assets includes cash and cash equivalents in excess of minimum levels needed to fulfill normal business operations, short-term investment securities, and other anticipated near term cash flows from investments. In addition to on balance sheet liquidity, we have significant off-balance sheet sources of liquidity. To meet unexpected demands, lines of credit are maintained with correspondent banks, FHLB and the Federal Reserve, although availability under these lines of credit are subject to certain conditions. In addition to $425.2 million of cash and cash equivalents on the balance sheet at March 31, 2026, we had substantial sources of off-balance sheet liquidity. These sources of available liquidity include $4.0 billion of secured and unused capacity with FHLB, $1.2 billion of secured unused borrowing capacity at the Fed’s discount window, more than $134.0 million of unpledged AFS securities that could be pledged at the discount window and $305.0 million of unsecured lines of credit. In addition to these borrowing sources, the Bank has capacity to utilize additional brokered deposits as of March 31, 2026. We can also obtain additional liquidity from deposit growth by utilizing state and national wholesale markets.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primary sources of funds for the Company are deposits, customer repurchase agreements and borrowings. Total deposits and customer repos of $12.44 billion at March 31, 2026 decreased $123.1 million, or 0.98%, compared to total deposits and customer repos of $12.56 billion at December 31, 2025. As of March 31, 2026, total borrowings, consisted of $500 million of FHLB advances, at an average cost of approximately 4.55%. Our deposit levels and cost of deposits may fluctuate from period-to-period due to a variety of factors, including the stability of our deposit base, prevailing interest rates, and market conditions. At March 31, 2026, our deposits and customer repurchase agreements that are neither collateralized nor insured were approximately $5.67 billion, or 46% of our total deposits and customer repos.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Additional sources of liquidity include principal and interest payments from our investment portfolio. Our total investment portfolio totaled $4.84 billion at March 31, 2026, a decrease of $116.3 million from $4.95 billion at December 31, 2025. The decrease was primarily due to a $93.9 million decline in AFS securities and a $22.4 million decrease in HTM securities, resulting from repayments and maturities. At March 31, 2026, our AFS investment securities totaled $2.59 billion, inclusive of a pre-tax net unrealized loss of $310.4 million. Pre-tax unrealized loss declined by $2.6 million from prior year end, resulting primary from fluctuation in market interest rates. Market risk is partly managed by $700 million notional pay fixed swaps hedging the fair value of the AFS portfolio. The increase in fair value of our AFS securities was partially offset by a $4.7 million decrease in the fair value of our derivatives that hedge the change in value of our AFS portfolio.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CVB is a holding company separate and apart from the Bank that must provide for its own liquidity and must service its own obligations. Substantially all of CVB’s revenues are obtained from dividends declared and paid by the Bank to CVB. There are statutory and regulatory provisions that could limit the ability of the Bank to pay dividends to CVB. In addition, our regulators could limit the ability of the Bank or CVB to pay dividends or make other distributions.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20"/>
        </w:rPr>
        <w:t>Below is a summary of our average cash position and statement of cash flows for the three months ended March 31, 2026 and 2025. For further details see our “</w:t>
      </w:r>
      <w:r>
        <w:rPr>
          <w:rFonts w:ascii="Times New Roman" w:hAnsi="Times New Roman"/>
          <w:i/>
          <w:color w:val="000000"/>
          <w:sz w:val="20"/>
        </w:rPr>
        <w:t>Condensed Consolidated Statements of Cash Flows</w:t>
      </w:r>
      <w:r>
        <w:rPr>
          <w:rFonts w:ascii="Times New Roman" w:hAnsi="Times New Roman"/>
          <w:color w:val="000000"/>
          <w:sz w:val="20"/>
        </w:rPr>
        <w:t xml:space="preserve"> (Unaudited)” under Part I, Item 1 of this report.</w:t>
      </w:r>
    </w:p>
    <w:p>
      <w:pPr>
        <w:pStyle w:val="TextBody"/>
        <w:bidi w:val="0"/>
        <w:jc w:val="left"/>
        <w:rPr/>
      </w:pPr>
      <w:r>
        <w:rPr/>
        <w:t> </w:t>
      </w:r>
    </w:p>
    <w:tbl>
      <w:tblPr>
        <w:tblW w:w="6213" w:type="dxa"/>
        <w:jc w:val="left"/>
        <w:tblInd w:w="0" w:type="dxa"/>
        <w:tblLayout w:type="fixed"/>
        <w:tblCellMar>
          <w:top w:w="28" w:type="dxa"/>
          <w:left w:w="28" w:type="dxa"/>
          <w:bottom w:w="28" w:type="dxa"/>
          <w:right w:w="28" w:type="dxa"/>
        </w:tblCellMar>
      </w:tblPr>
      <w:tblGrid>
        <w:gridCol w:w="3676"/>
        <w:gridCol w:w="196"/>
        <w:gridCol w:w="751"/>
        <w:gridCol w:w="256"/>
        <w:gridCol w:w="146"/>
        <w:gridCol w:w="196"/>
        <w:gridCol w:w="691"/>
        <w:gridCol w:w="301"/>
      </w:tblGrid>
      <w:tr>
        <w:trPr/>
        <w:tc>
          <w:tcPr>
            <w:tcW w:w="36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March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Average cash and cash equivalents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425,164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315,760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average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operating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41,878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investing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166,421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273,070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(152,815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cash and cash equivalents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75,997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324,391</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months ended March 31, 2026, average cash and cash equivalents increased by $109.4 million, or 34.6%, to $425.2 million, compared to $315.8 million for the same period last year.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At March 31, 2026, cash and cash equivalents totaled $452.4 million. This represented an increase of $76.0 million, or 20.19%, from $376.4 million at December 31, 2025. Of this total, cash on deposit at the Federal Reserve increased by $44.9 million compared to December 31, 2025.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Interest Rate Sensitivity Management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periods of changing interest rates, the ability to re-price interest-earning assets and interest-bearing liabilities can influence net interest income, the net interest margin, and consequently, our earnings. Interest rate risk is managed by 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short-term and long-term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Net interest income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interest rate risk policy measures the sensitivity of our net interest income over both a one-year and two-year cumulative time horizon.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simulation model estimates the impact of changing interest rates on interest income from all interest-earning assets and interest expense paid on all interest-bearing liabilities reflected on our balance sheet. This sensitivity analysis is compared to policy limits, which specify a maximum tolerance level for net interest income exposure over a one and two year horizon assuming no balance sheet growth, given a 200 basis point upward and a 200 basis point downward shift in interest rates depending on the level of current market rates. The simulation model uses a parallel yield curve shift that adjusts rates up or down on a pro rata basis ramped over 12-months and measures the resulting net interest income sensitivity over both the 12-month and 24-month time horizons.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depicts the Company’s net interest income sensitivity analysis for the periods presented below, when rates are adjusted by ramping up 200 bps or ramping down 200 bps over a 12-month and 24-month time horizons.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16"/>
        <w:gridCol w:w="146"/>
        <w:gridCol w:w="1162"/>
        <w:gridCol w:w="146"/>
        <w:gridCol w:w="2043"/>
        <w:gridCol w:w="146"/>
        <w:gridCol w:w="1501"/>
        <w:gridCol w:w="146"/>
        <w:gridCol w:w="1162"/>
        <w:gridCol w:w="146"/>
        <w:gridCol w:w="20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3"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Estimated Net Interest Income Sensitivity </w:t>
            </w:r>
            <w:r>
              <w:rPr>
                <w:rFonts w:ascii="Times New Roman" w:hAnsi="Times New Roman"/>
                <w:b/>
                <w:color w:val="000000"/>
                <w:sz w:val="12"/>
              </w:rPr>
              <w:t>(1)</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 Rate Scenario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12-month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24-month Period (Cumulative)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 Rate Scenario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12-month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24-month Period (Cumulative)</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+ 200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+ 200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5.71%</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- 200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- 200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-6.19%</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Percentage change from base scenario.</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Based on our current simulation models, we believe that the interest rate risk profile of the balance sheet is modestly asset sensitive over both a one-year and a two-year horizon. The estimated sensitivity does not necessarily represent a forecast and the results may not be indicative of actual changes to our net interest income. These estimates are based upon a number of assumptions including: the nature and timing of interest rate levels including yield curve shape, re-pricing characteristics and balance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 of the longer-term re-pricing risk and options risk embedded in the balance sheet. EVE uses instantaneous changes in rates, as shown in the table below. Assumptions about the timing and variability of balance sheet cash flows are critical in the EVE analysis. Particularly important are the assumptions driving prepayments and the expected duration and pricing of the indeterminate deposit portfolios. EVE sensitivity is reported in both upward and downward rate shocks. At March 31, 2026 and December 31, 2025, the EVE profile indicates a decline in net balance sheet value due to instantaneous downward changes in rates. From December 31, 2025 to March 31, 2026, our EVE sensitivity to declining interest rates was modestly lower. Our overall sensitivity of EVE to changes in interest rates is generally modest.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Economic Value of Equity Sensitivity</w:t>
      </w:r>
    </w:p>
    <w:p>
      <w:pPr>
        <w:pStyle w:val="TextBody"/>
        <w:bidi w:val="0"/>
        <w:jc w:val="left"/>
        <w:rPr/>
      </w:pPr>
      <w:r>
        <w:rPr/>
        <w:t> </w:t>
      </w:r>
    </w:p>
    <w:tbl>
      <w:tblPr>
        <w:tblW w:w="5545" w:type="dxa"/>
        <w:jc w:val="left"/>
        <w:tblInd w:w="0" w:type="dxa"/>
        <w:tblLayout w:type="fixed"/>
        <w:tblCellMar>
          <w:top w:w="28" w:type="dxa"/>
          <w:left w:w="28" w:type="dxa"/>
          <w:bottom w:w="28" w:type="dxa"/>
          <w:right w:w="28" w:type="dxa"/>
        </w:tblCellMar>
      </w:tblPr>
      <w:tblGrid>
        <w:gridCol w:w="2371"/>
        <w:gridCol w:w="146"/>
        <w:gridCol w:w="1291"/>
        <w:gridCol w:w="146"/>
        <w:gridCol w:w="15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400 bp decrease in interest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15.9%</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300 bp decrease in interest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16.6%</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200 bp decrease in interest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17.8%</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100 bp decrease in interest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18.6%</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19.1%</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100 bp increase in interest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19.3%</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200 bp increase in interest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19.2%</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300 bp increase in interest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18.6%</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400 bp increase in interest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18.2%</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 mix, changes in yield curve relationships, and changing product spreads that could mitigate the adverse impact of changes in interest rates.</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b/>
          <w:color w:val="000000"/>
          <w:sz w:val="20"/>
        </w:rPr>
      </w:pPr>
      <w:bookmarkStart w:id="16" w:name="i_item3"/>
      <w:bookmarkEnd w:id="16"/>
      <w:r>
        <w:rPr>
          <w:rFonts w:ascii="Times New Roman" w:hAnsi="Times New Roman"/>
          <w:b/>
          <w:color w:val="000000"/>
          <w:sz w:val="20"/>
        </w:rPr>
        <w:t>ITEM 3. QUANTITATIVE AND QUALITATIVE DISCLOSURES ABOUT MARKET RISK</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Market risk is the risk of loss from adverse changes in the market prices and interest rates. Our market risk arises primarily from interest rate risk inherent in our lending and deposit taking activities, as well as our portfolio of investment securities and fair value hedges. We do not currently have futures, forwards, or option contracts. For further quantitative and qualitative disclosures about market risks in our portfolio, see </w:t>
      </w:r>
      <w:r>
        <w:rPr>
          <w:rFonts w:ascii="Times New Roman" w:hAnsi="Times New Roman"/>
          <w:i/>
          <w:color w:val="000000"/>
          <w:sz w:val="20"/>
        </w:rPr>
        <w:t>Asset/Liability Management and Interest Rate Sensitivity Management</w:t>
      </w:r>
      <w:r>
        <w:rPr>
          <w:rFonts w:ascii="Times New Roman" w:hAnsi="Times New Roman"/>
          <w:color w:val="000000"/>
          <w:sz w:val="20"/>
        </w:rPr>
        <w:t xml:space="preserve">” included in Item 2 </w:t>
      </w:r>
      <w:r>
        <w:rPr>
          <w:rFonts w:ascii="Times New Roman" w:hAnsi="Times New Roman"/>
          <w:i/>
          <w:color w:val="000000"/>
          <w:sz w:val="20"/>
        </w:rPr>
        <w:t>MD&amp;A</w:t>
      </w:r>
      <w:r>
        <w:rPr>
          <w:rFonts w:ascii="Times New Roman" w:hAnsi="Times New Roman"/>
          <w:color w:val="000000"/>
          <w:sz w:val="20"/>
        </w:rPr>
        <w:t xml:space="preserve"> presented elsewhere in this report. This analysis should be read in conjunction with our Annual Report on Form 10-K for the year ended December 31, 2025. Our analysis of market risk and market-sensitive financial information contains forward-looking statements and is subject to the disclosure at the beginning of Part I regarding such forward-looking information.</w:t>
      </w:r>
    </w:p>
    <w:p>
      <w:pPr>
        <w:pStyle w:val="TextBody"/>
        <w:bidi w:val="0"/>
        <w:spacing w:before="200" w:after="283"/>
        <w:jc w:val="left"/>
        <w:rPr>
          <w:rFonts w:ascii="Times New Roman" w:hAnsi="Times New Roman"/>
          <w:b/>
          <w:color w:val="000000"/>
          <w:sz w:val="20"/>
        </w:rPr>
      </w:pPr>
      <w:bookmarkStart w:id="17" w:name="i_item4"/>
      <w:bookmarkEnd w:id="17"/>
      <w:r>
        <w:rPr>
          <w:rFonts w:ascii="Times New Roman" w:hAnsi="Times New Roman"/>
          <w:b/>
          <w:color w:val="000000"/>
          <w:sz w:val="20"/>
        </w:rPr>
        <w:t>ITEM 4. CONTROLS AND PROCEDURES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the end of the period covered by this report, we carried out an evaluation of the effectiveness of the Company’s disclosure controls and procedures under the supervision and with the participation of the Chief Executive Officer, the Chief Financial Officer and other senior management of the Company. Based on the foregoing, the Company’s Chief Executive Officer and the Chief Financial Officer concluded that the Company’s disclosure controls and procedures were effective as of the end of the period covered by this report.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quarter ended March 31, 2026, there have been no changes in our internal controls over financial reporting that have materially affected or are reasonably likely to materially affect our internal controls over financial reporting.</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bookmarkStart w:id="18" w:name="partii_other_information"/>
      <w:bookmarkEnd w:id="18"/>
      <w:r>
        <w:rPr>
          <w:rFonts w:ascii="Times New Roman" w:hAnsi="Times New Roman"/>
          <w:b/>
          <w:color w:val="000000"/>
          <w:sz w:val="20"/>
        </w:rPr>
        <w:t>PART II – OTHER INFORMATION</w:t>
      </w:r>
    </w:p>
    <w:p>
      <w:pPr>
        <w:pStyle w:val="TextBody"/>
        <w:bidi w:val="0"/>
        <w:jc w:val="center"/>
        <w:rPr/>
      </w:pPr>
      <w:r>
        <w:rPr/>
        <w:t> </w:t>
      </w:r>
    </w:p>
    <w:p>
      <w:pPr>
        <w:pStyle w:val="TextBody"/>
        <w:bidi w:val="0"/>
        <w:jc w:val="left"/>
        <w:rPr>
          <w:rFonts w:ascii="Times New Roman" w:hAnsi="Times New Roman"/>
          <w:sz w:val="20"/>
        </w:rPr>
      </w:pPr>
      <w:bookmarkStart w:id="19" w:name="ii_item1"/>
      <w:bookmarkEnd w:id="19"/>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and its subsidiaries are parties to various lawsuits and threatened lawsuits in the course of business. From time to time, such lawsuits and threatened lawsuits may include, but are not limited to, actions involving securities litigation, wage-hour and employment law claims, consumer claims, regulatory compliance claims, data privacy and cyber security claims, lender liability claims, fraud loss claims, bankruptcy-related claims and negligence claims, some of which may be styled as “class action” or representative cases. Some of these lawsuits may be similar in nature to other lawsuits pending against the Company’s competitors.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results of operations, financial condition or cash flows.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 </w:t>
      </w:r>
    </w:p>
    <w:p>
      <w:pPr>
        <w:pStyle w:val="TextBody"/>
        <w:bidi w:val="0"/>
        <w:jc w:val="both"/>
        <w:rPr>
          <w:rFonts w:ascii="Times New Roman" w:hAnsi="Times New Roman"/>
          <w:color w:val="000000"/>
          <w:sz w:val="20"/>
        </w:rPr>
      </w:pPr>
      <w:r>
        <w:rPr>
          <w:rFonts w:ascii="Times New Roman" w:hAnsi="Times New Roman"/>
          <w:color w:val="000000"/>
          <w:sz w:val="20"/>
        </w:rPr>
        <w:t xml:space="preserve">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or regulatory matters currently pending or threatened against the Company could have a material adverse effect on our results of operations, financial condition and/or cash flows. </w:t>
      </w:r>
    </w:p>
    <w:p>
      <w:pPr>
        <w:pStyle w:val="TextBody"/>
        <w:bidi w:val="0"/>
        <w:spacing w:before="200" w:after="283"/>
        <w:jc w:val="left"/>
        <w:rPr>
          <w:rFonts w:ascii="Times New Roman" w:hAnsi="Times New Roman"/>
          <w:b/>
          <w:color w:val="000000"/>
          <w:sz w:val="20"/>
        </w:rPr>
      </w:pPr>
      <w:bookmarkStart w:id="20" w:name="ii_item1a"/>
      <w:bookmarkEnd w:id="20"/>
      <w:r>
        <w:rPr>
          <w:rFonts w:ascii="Times New Roman" w:hAnsi="Times New Roman"/>
          <w:b/>
          <w:color w:val="000000"/>
          <w:sz w:val="20"/>
        </w:rPr>
        <w:t>ITEM 1A. RISK FACTORS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There have been no material changes to the risk factors as previously disclosed in Item 1A. to Part I of our Annual Report on Form 10-K for the year ended December 31, 2025. The materiality of any risks and uncertainties identified in our Forward Looking Statements contained in this report together with those previously disclosed in the Form 10-K or those that are presently unforeseen could result in significant adverse effects on our financial condition, results of operations and/or cash flows. See Item 2.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in this Quarterly Report on Form 10-Q.</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bookmarkStart w:id="21" w:name="ii_item2"/>
      <w:bookmarkEnd w:id="21"/>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November 20, 2024, our Board of Directors approved a program to repurchase up to 10,000,000 shares (the "Maximum Amount") of CVB common stock Repurchases may be made through one or more Rule 10b5-1 plans or other appropriate buy-back arrangements, including open market purchases and private transactions, at times and at prices considered appropriate by the Company, subject to prevailing market conditions and other corporate and legal considerations ("2024 Repurchase Program"). The 2024 Repurchase Program replaced in its entirety the Company's previous 2022 share repurchase program, which had 4,300,059 shares that remained available for repurchase at the time of termination. The 2024 Repurchase Program will terminate on the earlier of the repurchase of the Maximum Amount or five years from the date of authorization. During the first quarter of 2026, the Company did not repurchase any shares pursuant to the 2024 Repurchase Program. As of March 31, 2026, an aggregate of 5,678,223 shares remained available for repurchase under our 2024 Repurchase Program.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during the first quarter of 2026, 157,632 shares were repurchased through net settlement by employees in satisfaction of income tax withholding obligations incurred upon the vesting of Company stock awards. These shares were not repurchased under the 2024 Repurchase Program.</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14"/>
        <w:gridCol w:w="246"/>
        <w:gridCol w:w="216"/>
        <w:gridCol w:w="1160"/>
        <w:gridCol w:w="146"/>
        <w:gridCol w:w="146"/>
        <w:gridCol w:w="247"/>
        <w:gridCol w:w="673"/>
        <w:gridCol w:w="146"/>
        <w:gridCol w:w="146"/>
        <w:gridCol w:w="626"/>
        <w:gridCol w:w="1490"/>
        <w:gridCol w:w="146"/>
        <w:gridCol w:w="146"/>
        <w:gridCol w:w="347"/>
        <w:gridCol w:w="572"/>
        <w:gridCol w:w="146"/>
        <w:gridCol w:w="146"/>
        <w:gridCol w:w="290"/>
        <w:gridCol w:w="1859"/>
        <w:gridCol w:w="297"/>
      </w:tblGrid>
      <w:tr>
        <w:trPr/>
        <w:tc>
          <w:tcPr>
            <w:tcW w:w="10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Total Number of Shares Purchased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Average Price </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Average Price </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Maximum Number of Shares Available for Repurchase Under the Plans or Programs</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1 - 31, 2026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5,678,223</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1 - 28, 2026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5,678,223</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1 - 31, 2026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5,678,223</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120" w:after="283"/>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 xml:space="preserve">Shares repurchased pursuant to net settlement by employees in satisfaction of income tax withholding obligations incurred through the vesting of Company stock awards.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22" w:name="ii_item3"/>
      <w:bookmarkEnd w:id="22"/>
      <w:r>
        <w:rPr>
          <w:rFonts w:ascii="Times New Roman" w:hAnsi="Times New Roman"/>
          <w:b/>
          <w:color w:val="000000"/>
          <w:sz w:val="20"/>
        </w:rPr>
        <w:t>ITEM 3. DEFAULTS UPON SENIOR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bookmarkStart w:id="23" w:name="ii_item4"/>
      <w:bookmarkEnd w:id="23"/>
      <w:r>
        <w:rPr>
          <w:rFonts w:ascii="Times New Roman" w:hAnsi="Times New Roman"/>
          <w:b/>
          <w:color w:val="000000"/>
          <w:sz w:val="20"/>
        </w:rPr>
        <w:t>ITEM 4. MINE SAFETY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bookmarkStart w:id="24" w:name="ii_item5"/>
      <w:bookmarkEnd w:id="24"/>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Rule 10b5-1 Trading Arrangements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quarter ended March 31, 2026, none of the Company’s directors or officers adopted or terminated a Rule 10b5-1 trading arrangement or a non-Rule 10b5-1 trading arrangement as each term is defined in Item 408(a) of Regulation S-K.</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bookmarkStart w:id="25" w:name="ii_item6"/>
      <w:bookmarkEnd w:id="25"/>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8"/>
        <w:gridCol w:w="146"/>
        <w:gridCol w:w="9201"/>
      </w:tblGrid>
      <w:tr>
        <w:trPr/>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1" w:type="dxa"/>
            <w:tcBorders/>
            <w:vAlign w:val="center"/>
          </w:tcPr>
          <w:p>
            <w:pPr>
              <w:pStyle w:val="TableContents"/>
              <w:bidi w:val="0"/>
              <w:spacing w:before="0" w:after="283"/>
              <w:jc w:val="left"/>
              <w:rPr>
                <w:sz w:val="4"/>
                <w:szCs w:val="4"/>
              </w:rPr>
            </w:pPr>
            <w:r>
              <w:rPr>
                <w:sz w:val="4"/>
                <w:szCs w:val="4"/>
              </w:rPr>
            </w:r>
          </w:p>
        </w:tc>
      </w:tr>
      <w:tr>
        <w:trPr/>
        <w:tc>
          <w:tcPr>
            <w:tcW w:w="8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8"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20"/>
              </w:rPr>
            </w:pPr>
            <w:r>
              <w:rPr>
                <w:rFonts w:ascii="Times New Roman" w:hAnsi="Times New Roman"/>
                <w:b/>
                <w:color w:val="000000"/>
                <w:sz w:val="20"/>
              </w:rPr>
              <w:t>Description of Exhibits</w:t>
            </w:r>
          </w:p>
        </w:tc>
      </w:tr>
      <w:tr>
        <w:trPr/>
        <w:tc>
          <w:tcPr>
            <w:tcW w:w="858" w:type="dxa"/>
            <w:tcBorders/>
            <w:tcMar>
              <w:top w:w="0" w:type="dxa"/>
              <w:left w:w="0" w:type="dxa"/>
              <w:bottom w:w="0" w:type="dxa"/>
              <w:right w:w="0" w:type="dxa"/>
            </w:tcMar>
            <w:vAlign w:val="center"/>
          </w:tcPr>
          <w:p>
            <w:pPr>
              <w:pStyle w:val="TableContents"/>
              <w:bidi w:val="0"/>
              <w:spacing w:before="0" w:after="283"/>
              <w:jc w:val="left"/>
              <w:rPr/>
            </w:pPr>
            <w:r>
              <w:rPr/>
              <w:t> </w:t>
            </w:r>
          </w:p>
        </w:tc>
        <w:tc>
          <w:tcPr>
            <w:tcW w:w="93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Reorganization and Merger by and between CVB Financial Corp. and Heritage Commerce Corp. dated as of December 17, 2025.</w:t>
              </w:r>
            </w:hyperlink>
            <w:hyperlink r:id="rId3">
              <w:r>
                <w:rPr>
                  <w:rStyle w:val="InternetLink"/>
                  <w:rFonts w:ascii="Times New Roman" w:hAnsi="Times New Roman"/>
                  <w:color w:val="0000FF"/>
                  <w:sz w:val="13"/>
                  <w:u w:val="single"/>
                </w:rPr>
                <w:t>(1)</w:t>
              </w:r>
            </w:hyperlink>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 xml:space="preserve">Articles of Incorporation of CVB Financial Corp., as amended </w:t>
              </w:r>
            </w:hyperlink>
            <w:hyperlink r:id="rId5">
              <w:r>
                <w:rPr>
                  <w:rStyle w:val="InternetLink"/>
                  <w:rFonts w:ascii="Times New Roman" w:hAnsi="Times New Roman"/>
                  <w:color w:val="0000FF"/>
                  <w:sz w:val="13"/>
                  <w:u w:val="single"/>
                </w:rPr>
                <w:t>(2)</w:t>
              </w:r>
            </w:hyperlink>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 xml:space="preserve">Second Amended and Restated Bylaws of CVB Financial Corp. </w:t>
              </w:r>
            </w:hyperlink>
            <w:hyperlink r:id="rId7">
              <w:r>
                <w:rPr>
                  <w:rStyle w:val="InternetLink"/>
                  <w:rFonts w:ascii="Times New Roman" w:hAnsi="Times New Roman"/>
                  <w:color w:val="0000FF"/>
                  <w:sz w:val="13"/>
                  <w:u w:val="single"/>
                </w:rPr>
                <w:t>(3)</w:t>
              </w:r>
            </w:hyperlink>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1"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 xml:space="preserve">Form of CVB Financial Corp. common stock certificate </w:t>
              </w:r>
            </w:hyperlink>
            <w:hyperlink r:id="rId9">
              <w:r>
                <w:rPr>
                  <w:rStyle w:val="InternetLink"/>
                  <w:rFonts w:ascii="Times New Roman" w:hAnsi="Times New Roman"/>
                  <w:color w:val="0000FF"/>
                  <w:sz w:val="13"/>
                  <w:u w:val="single"/>
                </w:rPr>
                <w:t>(4)</w:t>
              </w:r>
            </w:hyperlink>
            <w:r>
              <w:rPr>
                <w:rFonts w:ascii="Times New Roman" w:hAnsi="Times New Roman"/>
                <w:color w:val="000000"/>
                <w:sz w:val="20"/>
              </w:rPr>
              <w:t xml:space="preserve"> </w:t>
            </w:r>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1"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Employment Agreement by and among CVB Financial Corp., Citizens Business Bank, National Association and R. Clay Jones, effective April 17, 2026.</w:t>
              </w:r>
            </w:hyperlink>
            <w:hyperlink r:id="rId11">
              <w:r>
                <w:rPr>
                  <w:rStyle w:val="InternetLink"/>
                  <w:rFonts w:ascii="Times New Roman" w:hAnsi="Times New Roman"/>
                  <w:color w:val="0000FF"/>
                  <w:sz w:val="13"/>
                  <w:u w:val="single"/>
                </w:rPr>
                <w:t>(5)</w:t>
              </w:r>
            </w:hyperlink>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1"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First Amendment to Employment Agreement by and among CVB Financial Corp. and Citizens Business Bank, National Association, on the one hand, and each of E. Allen Nicholson, David F. Farnsworth, David C. Harvey, and Richard H. Wohl, respectively, on the other hand, effective April 17, 2026.</w:t>
              </w:r>
            </w:hyperlink>
            <w:hyperlink r:id="rId13">
              <w:r>
                <w:rPr>
                  <w:rStyle w:val="InternetLink"/>
                  <w:rFonts w:ascii="Times New Roman" w:hAnsi="Times New Roman"/>
                  <w:color w:val="0000FF"/>
                  <w:sz w:val="13"/>
                  <w:u w:val="single"/>
                </w:rPr>
                <w:t>(6)</w:t>
              </w:r>
            </w:hyperlink>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1" w:type="dxa"/>
            <w:tcBorders/>
            <w:tcMar>
              <w:top w:w="0" w:type="dxa"/>
              <w:left w:w="0" w:type="dxa"/>
              <w:bottom w:w="0" w:type="dxa"/>
              <w:right w:w="0" w:type="dxa"/>
            </w:tcMar>
            <w:vAlign w:val="center"/>
          </w:tcPr>
          <w:p>
            <w:pPr>
              <w:pStyle w:val="TableContents"/>
              <w:bidi w:val="0"/>
              <w:spacing w:before="0" w:after="283"/>
              <w:jc w:val="left"/>
              <w:rPr/>
            </w:pPr>
            <w:hyperlink w:anchor="cvbf-ex31_1.htm">
              <w:r>
                <w:rPr>
                  <w:rStyle w:val="InternetLink"/>
                  <w:rFonts w:ascii="Times New Roman" w:hAnsi="Times New Roman"/>
                  <w:color w:val="0000FF"/>
                  <w:sz w:val="20"/>
                  <w:u w:val="single"/>
                </w:rPr>
                <w:t>Certification of Chief Executive Officer pursuant to Section 302 of the Sarbanes-Oxley Act of 2002</w:t>
              </w:r>
            </w:hyperlink>
            <w:r>
              <w:rPr>
                <w:rFonts w:ascii="Times New Roman" w:hAnsi="Times New Roman"/>
                <w:color w:val="000000"/>
                <w:sz w:val="20"/>
              </w:rPr>
              <w:t>*</w:t>
            </w:r>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1" w:type="dxa"/>
            <w:tcBorders/>
            <w:tcMar>
              <w:top w:w="0" w:type="dxa"/>
              <w:left w:w="0" w:type="dxa"/>
              <w:bottom w:w="0" w:type="dxa"/>
              <w:right w:w="0" w:type="dxa"/>
            </w:tcMar>
            <w:vAlign w:val="center"/>
          </w:tcPr>
          <w:p>
            <w:pPr>
              <w:pStyle w:val="TableContents"/>
              <w:bidi w:val="0"/>
              <w:spacing w:before="0" w:after="283"/>
              <w:jc w:val="left"/>
              <w:rPr/>
            </w:pPr>
            <w:hyperlink w:anchor="cvbf-ex31_2.htm">
              <w:r>
                <w:rPr>
                  <w:rStyle w:val="InternetLink"/>
                  <w:rFonts w:ascii="Times New Roman" w:hAnsi="Times New Roman"/>
                  <w:color w:val="0000FF"/>
                  <w:sz w:val="20"/>
                  <w:u w:val="single"/>
                </w:rPr>
                <w:t>Certification of Chief Financial Officer pursuant to Section 302 of the Sarbanes-Oxley Act of 2002</w:t>
              </w:r>
            </w:hyperlink>
            <w:r>
              <w:rPr>
                <w:rFonts w:ascii="Times New Roman" w:hAnsi="Times New Roman"/>
                <w:color w:val="000000"/>
                <w:sz w:val="20"/>
              </w:rPr>
              <w:t>*</w:t>
            </w:r>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1" w:type="dxa"/>
            <w:tcBorders/>
            <w:tcMar>
              <w:top w:w="0" w:type="dxa"/>
              <w:left w:w="0" w:type="dxa"/>
              <w:bottom w:w="0" w:type="dxa"/>
              <w:right w:w="0" w:type="dxa"/>
            </w:tcMar>
            <w:vAlign w:val="center"/>
          </w:tcPr>
          <w:p>
            <w:pPr>
              <w:pStyle w:val="TableContents"/>
              <w:bidi w:val="0"/>
              <w:spacing w:before="0" w:after="283"/>
              <w:jc w:val="left"/>
              <w:rPr/>
            </w:pPr>
            <w:hyperlink w:anchor="cvbf-ex32_1.htm">
              <w:r>
                <w:rPr>
                  <w:rStyle w:val="InternetLink"/>
                  <w:rFonts w:ascii="Times New Roman" w:hAnsi="Times New Roman"/>
                  <w:color w:val="0000FF"/>
                  <w:sz w:val="20"/>
                  <w:u w:val="single"/>
                </w:rPr>
                <w:t>Certification of Chief Executive Officer pursuant to Section 906 of the Sarbanes-Oxley Act of 2002</w:t>
              </w:r>
            </w:hyperlink>
            <w:r>
              <w:rPr>
                <w:rFonts w:ascii="Times New Roman" w:hAnsi="Times New Roman"/>
                <w:color w:val="000000"/>
                <w:sz w:val="20"/>
              </w:rPr>
              <w:t>**</w:t>
            </w:r>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1" w:type="dxa"/>
            <w:tcBorders/>
            <w:tcMar>
              <w:top w:w="0" w:type="dxa"/>
              <w:left w:w="0" w:type="dxa"/>
              <w:bottom w:w="0" w:type="dxa"/>
              <w:right w:w="0" w:type="dxa"/>
            </w:tcMar>
            <w:vAlign w:val="center"/>
          </w:tcPr>
          <w:p>
            <w:pPr>
              <w:pStyle w:val="TableContents"/>
              <w:bidi w:val="0"/>
              <w:spacing w:before="0" w:after="283"/>
              <w:jc w:val="left"/>
              <w:rPr/>
            </w:pPr>
            <w:hyperlink w:anchor="cvbf-ex32_2.htm">
              <w:r>
                <w:rPr>
                  <w:rStyle w:val="InternetLink"/>
                  <w:rFonts w:ascii="Times New Roman" w:hAnsi="Times New Roman"/>
                  <w:color w:val="0000FF"/>
                  <w:sz w:val="20"/>
                  <w:u w:val="single"/>
                </w:rPr>
                <w:t>Certification of Chief Financial Officer pursuant to Section 906 of the Sarbanes-Oxley Act of 2002</w:t>
              </w:r>
            </w:hyperlink>
            <w:r>
              <w:rPr>
                <w:rFonts w:ascii="Times New Roman" w:hAnsi="Times New Roman"/>
                <w:color w:val="000000"/>
                <w:sz w:val="20"/>
              </w:rPr>
              <w:t>**</w:t>
            </w:r>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Taxonomy Extension Schema Document</w:t>
            </w:r>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Quarterly Report on Form 10-Q for the quarter ended March 31, 2026, has been formatted in Inline XBRL.</w:t>
            </w:r>
          </w:p>
        </w:tc>
      </w:tr>
    </w:tbl>
    <w:p>
      <w:pPr>
        <w:pStyle w:val="TextBody"/>
        <w:pBdr>
          <w:bottom w:val="single" w:sz="6" w:space="1" w:color="000000"/>
        </w:pBdr>
        <w:bidi w:val="0"/>
        <w:spacing w:before="0" w:after="60"/>
        <w:jc w:val="left"/>
        <w:rPr/>
      </w:pPr>
      <w:r>
        <w:rPr/>
        <w:t> </w:t>
      </w:r>
    </w:p>
    <w:tbl>
      <w:tblPr>
        <w:tblW w:w="4603" w:type="dxa"/>
        <w:jc w:val="left"/>
        <w:tblInd w:w="0" w:type="dxa"/>
        <w:tblLayout w:type="fixed"/>
        <w:tblCellMar>
          <w:top w:w="28" w:type="dxa"/>
          <w:left w:w="28" w:type="dxa"/>
          <w:bottom w:w="28" w:type="dxa"/>
          <w:right w:w="28" w:type="dxa"/>
        </w:tblCellMar>
      </w:tblPr>
      <w:tblGrid>
        <w:gridCol w:w="391"/>
        <w:gridCol w:w="161"/>
        <w:gridCol w:w="4051"/>
      </w:tblGrid>
      <w:tr>
        <w:trPr/>
        <w:tc>
          <w:tcPr>
            <w:tcW w:w="3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20"/>
              </w:rPr>
              <w:t xml:space="preserve">* </w:t>
            </w:r>
          </w:p>
        </w:tc>
        <w:tc>
          <w:tcPr>
            <w:tcW w:w="161" w:type="dxa"/>
            <w:tcBorders/>
            <w:tcMar>
              <w:top w:w="0" w:type="dxa"/>
              <w:left w:w="0" w:type="dxa"/>
              <w:bottom w:w="0" w:type="dxa"/>
              <w:right w:w="0" w:type="dxa"/>
            </w:tcMar>
            <w:vAlign w:val="center"/>
          </w:tcPr>
          <w:p>
            <w:pPr>
              <w:pStyle w:val="TableContents"/>
              <w:bidi w:val="0"/>
              <w:spacing w:before="0" w:after="283"/>
              <w:ind w:left="0" w:right="0" w:firstLine="15"/>
              <w:jc w:val="left"/>
              <w:rPr/>
            </w:pPr>
            <w:r>
              <w:rPr/>
              <w:t> </w:t>
            </w:r>
          </w:p>
        </w:tc>
        <w:tc>
          <w:tcPr>
            <w:tcW w:w="4051" w:type="dxa"/>
            <w:tcBorders/>
            <w:tcMar>
              <w:top w:w="0" w:type="dxa"/>
              <w:left w:w="0" w:type="dxa"/>
              <w:bottom w:w="0" w:type="dxa"/>
              <w:right w:w="0" w:type="dxa"/>
            </w:tcMar>
            <w:vAlign w:val="center"/>
          </w:tcPr>
          <w:p>
            <w:pPr>
              <w:pStyle w:val="TableContents"/>
              <w:bidi w:val="0"/>
              <w:spacing w:before="0" w:after="283"/>
              <w:ind w:left="0" w:right="0" w:firstLine="15"/>
              <w:jc w:val="left"/>
              <w:rPr>
                <w:rFonts w:ascii="Times New Roman" w:hAnsi="Times New Roman"/>
                <w:color w:val="000000"/>
                <w:sz w:val="18"/>
              </w:rPr>
            </w:pPr>
            <w:r>
              <w:rPr>
                <w:rFonts w:ascii="Times New Roman" w:hAnsi="Times New Roman"/>
                <w:color w:val="000000"/>
                <w:sz w:val="18"/>
              </w:rPr>
              <w:t>Filed herewith</w:t>
            </w:r>
          </w:p>
        </w:tc>
      </w:tr>
      <w:tr>
        <w:trPr/>
        <w:tc>
          <w:tcPr>
            <w:tcW w:w="39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w:t>
            </w:r>
          </w:p>
        </w:tc>
        <w:tc>
          <w:tcPr>
            <w:tcW w:w="161" w:type="dxa"/>
            <w:tcBorders/>
            <w:tcMar>
              <w:top w:w="0" w:type="dxa"/>
              <w:left w:w="0" w:type="dxa"/>
              <w:bottom w:w="0" w:type="dxa"/>
              <w:right w:w="0" w:type="dxa"/>
            </w:tcMar>
            <w:vAlign w:val="center"/>
          </w:tcPr>
          <w:p>
            <w:pPr>
              <w:pStyle w:val="TableContents"/>
              <w:bidi w:val="0"/>
              <w:spacing w:before="0" w:after="283"/>
              <w:ind w:left="0" w:right="0" w:firstLine="15"/>
              <w:jc w:val="left"/>
              <w:rPr/>
            </w:pPr>
            <w:r>
              <w:rPr/>
              <w:t> </w:t>
            </w:r>
          </w:p>
        </w:tc>
        <w:tc>
          <w:tcPr>
            <w:tcW w:w="4051" w:type="dxa"/>
            <w:tcBorders/>
            <w:tcMar>
              <w:top w:w="0" w:type="dxa"/>
              <w:left w:w="0" w:type="dxa"/>
              <w:bottom w:w="0" w:type="dxa"/>
              <w:right w:w="0" w:type="dxa"/>
            </w:tcMar>
            <w:vAlign w:val="center"/>
          </w:tcPr>
          <w:p>
            <w:pPr>
              <w:pStyle w:val="TableContents"/>
              <w:bidi w:val="0"/>
              <w:spacing w:before="0" w:after="283"/>
              <w:ind w:left="0" w:right="0" w:firstLine="15"/>
              <w:jc w:val="left"/>
              <w:rPr>
                <w:rFonts w:ascii="Times New Roman" w:hAnsi="Times New Roman"/>
                <w:color w:val="000000"/>
                <w:sz w:val="18"/>
              </w:rPr>
            </w:pPr>
            <w:r>
              <w:rPr>
                <w:rFonts w:ascii="Times New Roman" w:hAnsi="Times New Roman"/>
                <w:color w:val="000000"/>
                <w:sz w:val="18"/>
              </w:rPr>
              <w:t>Furnished herewith</w:t>
            </w:r>
          </w:p>
        </w:tc>
      </w:tr>
      <w:tr>
        <w:trPr/>
        <w:tc>
          <w:tcPr>
            <w:tcW w:w="39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w:t>
            </w:r>
          </w:p>
        </w:tc>
        <w:tc>
          <w:tcPr>
            <w:tcW w:w="161" w:type="dxa"/>
            <w:tcBorders/>
            <w:tcMar>
              <w:top w:w="0" w:type="dxa"/>
              <w:left w:w="0" w:type="dxa"/>
              <w:bottom w:w="0" w:type="dxa"/>
              <w:right w:w="0" w:type="dxa"/>
            </w:tcMar>
            <w:vAlign w:val="center"/>
          </w:tcPr>
          <w:p>
            <w:pPr>
              <w:pStyle w:val="TableContents"/>
              <w:bidi w:val="0"/>
              <w:spacing w:before="0" w:after="283"/>
              <w:ind w:left="0" w:right="0" w:firstLine="15"/>
              <w:jc w:val="left"/>
              <w:rPr/>
            </w:pPr>
            <w:r>
              <w:rPr/>
              <w:t> </w:t>
            </w:r>
          </w:p>
        </w:tc>
        <w:tc>
          <w:tcPr>
            <w:tcW w:w="4051" w:type="dxa"/>
            <w:tcBorders/>
            <w:tcMar>
              <w:top w:w="0" w:type="dxa"/>
              <w:left w:w="0" w:type="dxa"/>
              <w:bottom w:w="0" w:type="dxa"/>
              <w:right w:w="0" w:type="dxa"/>
            </w:tcMar>
            <w:vAlign w:val="center"/>
          </w:tcPr>
          <w:p>
            <w:pPr>
              <w:pStyle w:val="TableContents"/>
              <w:bidi w:val="0"/>
              <w:spacing w:before="0" w:after="283"/>
              <w:ind w:left="0" w:right="0" w:firstLine="15"/>
              <w:jc w:val="left"/>
              <w:rPr>
                <w:rFonts w:ascii="Times New Roman" w:hAnsi="Times New Roman"/>
                <w:color w:val="000000"/>
                <w:sz w:val="18"/>
              </w:rPr>
            </w:pPr>
            <w:r>
              <w:rPr>
                <w:rFonts w:ascii="Times New Roman" w:hAnsi="Times New Roman"/>
                <w:color w:val="000000"/>
                <w:sz w:val="18"/>
              </w:rPr>
              <w:t>Indicates a management contract or compensation plan.</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Incorporated herein by reference to Exhibit 2.1 to Registrant's Form 8-K filed with the SEC on December 23, 2025.</w:t>
      </w:r>
    </w:p>
    <w:p>
      <w:pPr>
        <w:pStyle w:val="TextBody"/>
        <w:bidi w:val="0"/>
        <w:jc w:val="left"/>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Incorporated herein by reference to Exhibit 3.1 to the Registrant's Form 10-Q filed with the SEC on August 9, 2010.</w:t>
      </w:r>
    </w:p>
    <w:p>
      <w:pPr>
        <w:pStyle w:val="TextBody"/>
        <w:bidi w:val="0"/>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Incorporated herein by reference to Exhibit 3.1 to the Registrant's Form 8-K filed with the SEC on September 21, 2023.</w:t>
      </w:r>
    </w:p>
    <w:p>
      <w:pPr>
        <w:pStyle w:val="TextBody"/>
        <w:bidi w:val="0"/>
        <w:jc w:val="left"/>
        <w:rPr>
          <w:rFonts w:ascii="Times New Roman" w:hAnsi="Times New Roman"/>
          <w:sz w:val="20"/>
        </w:rPr>
      </w:pPr>
      <w:r>
        <w:rPr>
          <w:rFonts w:ascii="Times New Roman" w:hAnsi="Times New Roman"/>
          <w:color w:val="000000"/>
          <w:sz w:val="13"/>
        </w:rPr>
        <w:t>(4)</w:t>
      </w:r>
      <w:r>
        <w:rPr>
          <w:rFonts w:ascii="Times New Roman" w:hAnsi="Times New Roman"/>
          <w:color w:val="000000"/>
          <w:sz w:val="20"/>
        </w:rPr>
        <w:t xml:space="preserve"> Incorporated herein by reference to Exhibit 4.1 to the Registrant's Form 8-A12G filed with the SEC on June 11, 2001.</w:t>
      </w:r>
    </w:p>
    <w:p>
      <w:pPr>
        <w:pStyle w:val="TextBody"/>
        <w:bidi w:val="0"/>
        <w:jc w:val="left"/>
        <w:rPr>
          <w:rFonts w:ascii="Times New Roman" w:hAnsi="Times New Roman"/>
          <w:sz w:val="20"/>
        </w:rPr>
      </w:pPr>
      <w:r>
        <w:rPr>
          <w:rFonts w:ascii="Times New Roman" w:hAnsi="Times New Roman"/>
          <w:color w:val="000000"/>
          <w:sz w:val="13"/>
        </w:rPr>
        <w:t xml:space="preserve">(5) </w:t>
      </w:r>
      <w:r>
        <w:rPr>
          <w:rFonts w:ascii="Times New Roman" w:hAnsi="Times New Roman"/>
          <w:color w:val="000000"/>
          <w:sz w:val="20"/>
        </w:rPr>
        <w:t>Incorporated herein by reference to Exhibit 10.1 to the Registrant's Form 8-K filed with the SEC on April 21, 2026.</w:t>
      </w:r>
    </w:p>
    <w:p>
      <w:pPr>
        <w:pStyle w:val="TextBody"/>
        <w:bidi w:val="0"/>
        <w:jc w:val="left"/>
        <w:rPr>
          <w:rFonts w:ascii="Times New Roman" w:hAnsi="Times New Roman"/>
          <w:sz w:val="20"/>
        </w:rPr>
      </w:pPr>
      <w:r>
        <w:rPr>
          <w:rFonts w:ascii="Times New Roman" w:hAnsi="Times New Roman"/>
          <w:color w:val="000000"/>
          <w:sz w:val="13"/>
        </w:rPr>
        <w:t xml:space="preserve">(6) </w:t>
      </w:r>
      <w:r>
        <w:rPr>
          <w:rFonts w:ascii="Times New Roman" w:hAnsi="Times New Roman"/>
          <w:color w:val="000000"/>
          <w:sz w:val="20"/>
        </w:rPr>
        <w:t>Incorporated herein by reference to Exhibit 10.2 to the Registrant's Form 8-K filed with the SEC on April 21, 2026.</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bookmarkStart w:id="26" w:name="signatures"/>
      <w:bookmarkEnd w:id="26"/>
      <w:r>
        <w:rPr>
          <w:rFonts w:ascii="Times New Roman" w:hAnsi="Times New Roman"/>
          <w:b/>
          <w:color w:val="000000"/>
          <w:sz w:val="20"/>
        </w:rPr>
        <w:t>SIGNATURES</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CVB FINANCIAL CORP.</w:t>
      </w:r>
    </w:p>
    <w:p>
      <w:pPr>
        <w:pStyle w:val="TextBody"/>
        <w:bidi w:val="0"/>
        <w:jc w:val="left"/>
        <w:rPr>
          <w:rFonts w:ascii="Times New Roman" w:hAnsi="Times New Roman"/>
          <w:color w:val="000000"/>
          <w:sz w:val="20"/>
        </w:rPr>
      </w:pPr>
      <w:r>
        <w:rPr>
          <w:rFonts w:ascii="Times New Roman" w:hAnsi="Times New Roman"/>
          <w:color w:val="000000"/>
          <w:sz w:val="20"/>
        </w:rPr>
        <w:t>(Registrant)</w:t>
      </w:r>
    </w:p>
    <w:p>
      <w:pPr>
        <w:pStyle w:val="TextBody"/>
        <w:bidi w:val="0"/>
        <w:jc w:val="left"/>
        <w:rPr>
          <w:rFonts w:ascii="Times New Roman" w:hAnsi="Times New Roman"/>
          <w:color w:val="000000"/>
          <w:sz w:val="20"/>
        </w:rPr>
      </w:pPr>
      <w:r>
        <w:rPr>
          <w:rFonts w:ascii="Times New Roman" w:hAnsi="Times New Roman"/>
          <w:color w:val="000000"/>
          <w:sz w:val="20"/>
        </w:rPr>
        <w:t>Date: May 8, 2026</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/s/ E. Allen Nicholson</w:t>
      </w:r>
    </w:p>
    <w:p>
      <w:pPr>
        <w:pStyle w:val="TextBody"/>
        <w:bidi w:val="0"/>
        <w:jc w:val="left"/>
        <w:rPr>
          <w:rFonts w:ascii="Times New Roman" w:hAnsi="Times New Roman"/>
          <w:color w:val="000000"/>
          <w:sz w:val="20"/>
        </w:rPr>
      </w:pPr>
      <w:r>
        <w:rPr>
          <w:rFonts w:ascii="Times New Roman" w:hAnsi="Times New Roman"/>
          <w:color w:val="000000"/>
          <w:sz w:val="20"/>
        </w:rPr>
        <w:t>E. Allen Nicholson</w:t>
      </w:r>
    </w:p>
    <w:p>
      <w:pPr>
        <w:pStyle w:val="TextBody"/>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extBody"/>
        <w:bidi w:val="0"/>
        <w:jc w:val="left"/>
        <w:rPr>
          <w:rFonts w:ascii="Times New Roman" w:hAnsi="Times New Roman"/>
          <w:color w:val="000000"/>
          <w:sz w:val="20"/>
        </w:rPr>
      </w:pPr>
      <w:r>
        <w:rPr>
          <w:rFonts w:ascii="Times New Roman" w:hAnsi="Times New Roman"/>
          <w:color w:val="000000"/>
          <w:sz w:val="20"/>
        </w:rPr>
        <w:t>(Principal Financial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cvbf-ex31_1.htm"/>
      <w:bookmarkStart w:id="28" w:name="kscvbfex31_1"/>
      <w:bookmarkEnd w:id="27"/>
      <w:bookmarkEnd w:id="28"/>
      <w:r>
        <w:rPr/>
        <w:t> </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Exhibit 31.1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David A. Brager, certify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 have reviewed this quarterly report on Form 10-Q of CVB Financial Corp.;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4174" w:type="dxa"/>
        <w:jc w:val="left"/>
        <w:tblInd w:w="0" w:type="dxa"/>
        <w:tblLayout w:type="fixed"/>
        <w:tblCellMar>
          <w:top w:w="28" w:type="dxa"/>
          <w:left w:w="28" w:type="dxa"/>
          <w:bottom w:w="28" w:type="dxa"/>
          <w:right w:w="28" w:type="dxa"/>
        </w:tblCellMar>
      </w:tblPr>
      <w:tblGrid>
        <w:gridCol w:w="556"/>
        <w:gridCol w:w="1141"/>
        <w:gridCol w:w="406"/>
        <w:gridCol w:w="207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8,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David A. Brager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David A. Brager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cvbf-ex31_2.htm"/>
      <w:bookmarkStart w:id="30" w:name="kscvbfex31_2"/>
      <w:bookmarkEnd w:id="29"/>
      <w:bookmarkEnd w:id="30"/>
      <w:r>
        <w:rPr/>
        <w:t> </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Exhibit 31.2</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E. Allen Nicholson, certify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 have reviewed this quarterly report on Form 10-Q of CVB Financial Corp.;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4114" w:type="dxa"/>
        <w:jc w:val="left"/>
        <w:tblInd w:w="0" w:type="dxa"/>
        <w:tblLayout w:type="fixed"/>
        <w:tblCellMar>
          <w:top w:w="28" w:type="dxa"/>
          <w:left w:w="28" w:type="dxa"/>
          <w:bottom w:w="28" w:type="dxa"/>
          <w:right w:w="28" w:type="dxa"/>
        </w:tblCellMar>
      </w:tblPr>
      <w:tblGrid>
        <w:gridCol w:w="556"/>
        <w:gridCol w:w="1141"/>
        <w:gridCol w:w="406"/>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8,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E. Allen Nicholson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 Allen Nicholson</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cvbf-ex32_1.htm"/>
      <w:bookmarkStart w:id="32" w:name="kscvbfex32_1"/>
      <w:bookmarkEnd w:id="31"/>
      <w:bookmarkEnd w:id="32"/>
      <w:r>
        <w:rPr/>
        <w:t> </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Exhibit 32.1</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connection with the Quarterly Report of CVB Financial Corp. (the “Company”) on Form 10-Q for the period ended March 31, 2026, as filed with the Securities and Exchange Commission on the date hereof (the “Report”), I, David A. Brager, Chief Executive Officer of the Company, certify, pursuant to 18 U.S.C. § 1350, as adopted pursuant to § 906 of the Sarbanes-Oxley Act of 2002, to the best of my knowledge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4174" w:type="dxa"/>
        <w:jc w:val="left"/>
        <w:tblInd w:w="0" w:type="dxa"/>
        <w:tblLayout w:type="fixed"/>
        <w:tblCellMar>
          <w:top w:w="28" w:type="dxa"/>
          <w:left w:w="28" w:type="dxa"/>
          <w:bottom w:w="28" w:type="dxa"/>
          <w:right w:w="28" w:type="dxa"/>
        </w:tblCellMar>
      </w:tblPr>
      <w:tblGrid>
        <w:gridCol w:w="556"/>
        <w:gridCol w:w="1141"/>
        <w:gridCol w:w="406"/>
        <w:gridCol w:w="207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8,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David A. Brager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David A. Brager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cvbf-ex32_2.htm"/>
      <w:bookmarkStart w:id="34" w:name="kscvbfex32_2"/>
      <w:bookmarkEnd w:id="33"/>
      <w:bookmarkEnd w:id="34"/>
      <w:r>
        <w:rPr/>
        <w:t> </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Exhibit 32.2</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connection with the Quarterly Report of CVB Financial Corp. (the “Company”) on Form 10-Q for the period ended March 31, 2026, as filed with the Securities and Exchange Commission on the date hereof (the “Report”), I, E. Allen Nicholson, Chief Financial Officer of the Company, certify, pursuant to 18 U.S.C. § 1350, as adopted pursuant to § 906 of the Sarbanes-Oxley Act of 2002, to the best of my knowledge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114" w:type="dxa"/>
        <w:jc w:val="left"/>
        <w:tblInd w:w="0" w:type="dxa"/>
        <w:tblLayout w:type="fixed"/>
        <w:tblCellMar>
          <w:top w:w="28" w:type="dxa"/>
          <w:left w:w="28" w:type="dxa"/>
          <w:bottom w:w="28" w:type="dxa"/>
          <w:right w:w="28" w:type="dxa"/>
        </w:tblCellMar>
      </w:tblPr>
      <w:tblGrid>
        <w:gridCol w:w="556"/>
        <w:gridCol w:w="1141"/>
        <w:gridCol w:w="406"/>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8,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E. Allen Nicholson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 Allen Nicholson</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54647/000119312525331051/d42564dex21.htm" TargetMode="External"/><Relationship Id="rId3" Type="http://schemas.openxmlformats.org/officeDocument/2006/relationships/hyperlink" Target="https://www.sec.gov/Archives/edgar/data/354647/000119312525331051/d42564dex21.htm" TargetMode="External"/><Relationship Id="rId4" Type="http://schemas.openxmlformats.org/officeDocument/2006/relationships/hyperlink" Target="https://www.sec.gov/Archives/edgar/data/354647/000095012310075006/c04112exv3w1.htm" TargetMode="External"/><Relationship Id="rId5" Type="http://schemas.openxmlformats.org/officeDocument/2006/relationships/hyperlink" Target="https://www.sec.gov/Archives/edgar/data/354647/000095012310075006/c04112exv3w1.htm" TargetMode="External"/><Relationship Id="rId6" Type="http://schemas.openxmlformats.org/officeDocument/2006/relationships/hyperlink" Target="https://www.sec.gov/Archives/edgar/data/354647/000119312523239512/d539114dex31.htm" TargetMode="External"/><Relationship Id="rId7" Type="http://schemas.openxmlformats.org/officeDocument/2006/relationships/hyperlink" Target="https://www.sec.gov/Archives/edgar/data/354647/000119312523239512/d539114dex31.htm" TargetMode="External"/><Relationship Id="rId8" Type="http://schemas.openxmlformats.org/officeDocument/2006/relationships/hyperlink" Target="https://www.sec.gov/Archives/edgar/data/354647/000035464701500005/stockcert.htm" TargetMode="External"/><Relationship Id="rId9" Type="http://schemas.openxmlformats.org/officeDocument/2006/relationships/hyperlink" Target="https://www.sec.gov/Archives/edgar/data/354647/000035464701500005/stockcert.htm" TargetMode="External"/><Relationship Id="rId10" Type="http://schemas.openxmlformats.org/officeDocument/2006/relationships/hyperlink" Target="https://www.sec.gov/Archives/edgar/data/354647/000119312526167264/d123515dex101.htm" TargetMode="External"/><Relationship Id="rId11" Type="http://schemas.openxmlformats.org/officeDocument/2006/relationships/hyperlink" Target="https://www.sec.gov/Archives/edgar/data/354647/000119312526167264/d123515dex101.htm" TargetMode="External"/><Relationship Id="rId12" Type="http://schemas.openxmlformats.org/officeDocument/2006/relationships/hyperlink" Target="https://www.sec.gov/Archives/edgar/data/354647/000119312526167264/d123515dex102.htm" TargetMode="External"/><Relationship Id="rId13" Type="http://schemas.openxmlformats.org/officeDocument/2006/relationships/hyperlink" Target="https://www.sec.gov/Archives/edgar/data/354647/000119312526167264/d123515dex102.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31972</Words>
  <Characters>174628</Characters>
  <CharactersWithSpaces>213781</CharactersWithSpaces>
  <Paragraphs>19993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