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 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color w:val="auto"/>
        </w:rPr>
        <w:t>(Mark One)</w:t>
      </w:r>
    </w:p>
    <w:p>
      <w:pPr>
        <w:spacing w:after="0" w:line="107"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For the quarterly period ended September 30, 2024</w:t>
      </w:r>
    </w:p>
    <w:p>
      <w:pPr>
        <w:spacing w:after="0" w:line="1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or</w:t>
      </w:r>
    </w:p>
    <w:p>
      <w:pPr>
        <w:spacing w:after="0" w:line="138" w:lineRule="exact"/>
        <w:rPr>
          <w:sz w:val="24"/>
          <w:szCs w:val="24"/>
          <w:color w:val="auto"/>
        </w:rPr>
      </w:pPr>
    </w:p>
    <w:p>
      <w:pPr>
        <w:ind w:left="3480" w:right="2780" w:hanging="3472"/>
        <w:spacing w:after="0" w:line="271" w:lineRule="auto"/>
        <w:tabs>
          <w:tab w:leader="none" w:pos="232"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16"/>
          <w:szCs w:val="16"/>
          <w:b w:val="1"/>
          <w:bCs w:val="1"/>
          <w:color w:val="auto"/>
        </w:rPr>
        <w:t xml:space="preserve">TRANSITION REPORT PURSUANT TO SECTION 13 OR 15(d) OF THE SECURITIES EXCHANGE ACT OF 1934 </w:t>
      </w:r>
      <w:r>
        <w:rPr>
          <w:rFonts w:ascii="Times New Roman" w:cs="Times New Roman" w:eastAsia="Times New Roman" w:hAnsi="Times New Roman"/>
          <w:sz w:val="16"/>
          <w:szCs w:val="16"/>
          <w:color w:val="auto"/>
        </w:rPr>
        <w:t>For the transition period from _____ to _____</w:t>
      </w:r>
    </w:p>
    <w:p>
      <w:pPr>
        <w:spacing w:after="0" w:line="250" w:lineRule="exact"/>
        <w:rPr>
          <w:sz w:val="24"/>
          <w:szCs w:val="24"/>
          <w:color w:val="auto"/>
        </w:rPr>
      </w:pPr>
    </w:p>
    <w:tbl>
      <w:tblPr>
        <w:tblLayout w:type="fixed"/>
        <w:tblInd w:w="10" w:type="dxa"/>
        <w:tblCellMar>
          <w:top w:w="0" w:type="dxa"/>
          <w:left w:w="0" w:type="dxa"/>
          <w:bottom w:w="0" w:type="dxa"/>
          <w:right w:w="0" w:type="dxa"/>
        </w:tblCellMar>
      </w:tblPr>
      <w:tr>
        <w:trPr>
          <w:trHeight w:val="210"/>
        </w:trPr>
        <w:tc>
          <w:tcPr>
            <w:tcW w:w="3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360" w:type="dxa"/>
            <w:vAlign w:val="bottom"/>
            <w:gridSpan w:val="2"/>
          </w:tcPr>
          <w:p>
            <w:pPr>
              <w:jc w:val="center"/>
              <w:ind w:left="278"/>
              <w:spacing w:after="0"/>
              <w:rPr>
                <w:sz w:val="20"/>
                <w:szCs w:val="20"/>
                <w:color w:val="auto"/>
              </w:rPr>
            </w:pPr>
            <w:r>
              <w:rPr>
                <w:rFonts w:ascii="Times New Roman" w:cs="Times New Roman" w:eastAsia="Times New Roman" w:hAnsi="Times New Roman"/>
                <w:sz w:val="16"/>
                <w:szCs w:val="16"/>
                <w:color w:val="auto"/>
              </w:rPr>
              <w:t>Commission File Number: 000-10140</w:t>
            </w:r>
          </w:p>
        </w:tc>
        <w:tc>
          <w:tcPr>
            <w:tcW w:w="4120" w:type="dxa"/>
            <w:vAlign w:val="bottom"/>
          </w:tcPr>
          <w:p>
            <w:pPr>
              <w:spacing w:after="0"/>
              <w:rPr>
                <w:sz w:val="18"/>
                <w:szCs w:val="18"/>
                <w:color w:val="auto"/>
              </w:rPr>
            </w:pPr>
          </w:p>
        </w:tc>
      </w:tr>
      <w:tr>
        <w:trPr>
          <w:trHeight w:val="528"/>
        </w:trPr>
        <w:tc>
          <w:tcPr>
            <w:tcW w:w="3360" w:type="dxa"/>
            <w:vAlign w:val="bottom"/>
          </w:tcPr>
          <w:p>
            <w:pPr>
              <w:spacing w:after="0"/>
              <w:rPr>
                <w:sz w:val="24"/>
                <w:szCs w:val="24"/>
                <w:color w:val="auto"/>
              </w:rPr>
            </w:pPr>
          </w:p>
        </w:tc>
        <w:tc>
          <w:tcPr>
            <w:tcW w:w="7880" w:type="dxa"/>
            <w:vAlign w:val="bottom"/>
            <w:gridSpan w:val="4"/>
          </w:tcPr>
          <w:p>
            <w:pPr>
              <w:jc w:val="center"/>
              <w:ind w:right="3259"/>
              <w:spacing w:after="0"/>
              <w:rPr>
                <w:sz w:val="20"/>
                <w:szCs w:val="20"/>
                <w:color w:val="auto"/>
              </w:rPr>
            </w:pPr>
            <w:r>
              <w:rPr>
                <w:rFonts w:ascii="Times New Roman" w:cs="Times New Roman" w:eastAsia="Times New Roman" w:hAnsi="Times New Roman"/>
                <w:sz w:val="40"/>
                <w:szCs w:val="40"/>
                <w:b w:val="1"/>
                <w:bCs w:val="1"/>
                <w:color w:val="auto"/>
                <w:w w:val="98"/>
              </w:rPr>
              <w:t>CVB FINANCIAL CORP.</w:t>
            </w:r>
          </w:p>
        </w:tc>
      </w:tr>
      <w:tr>
        <w:trPr>
          <w:trHeight w:val="234"/>
        </w:trPr>
        <w:tc>
          <w:tcPr>
            <w:tcW w:w="3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80" w:type="dxa"/>
            <w:vAlign w:val="bottom"/>
            <w:gridSpan w:val="3"/>
          </w:tcPr>
          <w:p>
            <w:pPr>
              <w:jc w:val="center"/>
              <w:ind w:right="36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413"/>
        </w:trPr>
        <w:tc>
          <w:tcPr>
            <w:tcW w:w="3360" w:type="dxa"/>
            <w:vAlign w:val="bottom"/>
          </w:tcPr>
          <w:p>
            <w:pPr>
              <w:jc w:val="center"/>
              <w:ind w:left="619"/>
              <w:spacing w:after="0"/>
              <w:rPr>
                <w:sz w:val="20"/>
                <w:szCs w:val="20"/>
                <w:color w:val="auto"/>
              </w:rPr>
            </w:pPr>
            <w:r>
              <w:rPr>
                <w:rFonts w:ascii="Times New Roman" w:cs="Times New Roman" w:eastAsia="Times New Roman" w:hAnsi="Times New Roman"/>
                <w:sz w:val="16"/>
                <w:szCs w:val="16"/>
                <w:b w:val="1"/>
                <w:bCs w:val="1"/>
                <w:color w:val="auto"/>
                <w:w w:val="99"/>
              </w:rPr>
              <w:t>California</w:t>
            </w:r>
          </w:p>
        </w:tc>
        <w:tc>
          <w:tcPr>
            <w:tcW w:w="4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120" w:type="dxa"/>
            <w:vAlign w:val="bottom"/>
          </w:tcPr>
          <w:p>
            <w:pPr>
              <w:jc w:val="right"/>
              <w:ind w:right="1539"/>
              <w:spacing w:after="0"/>
              <w:rPr>
                <w:sz w:val="20"/>
                <w:szCs w:val="20"/>
                <w:color w:val="auto"/>
              </w:rPr>
            </w:pPr>
            <w:r>
              <w:rPr>
                <w:rFonts w:ascii="Times New Roman" w:cs="Times New Roman" w:eastAsia="Times New Roman" w:hAnsi="Times New Roman"/>
                <w:sz w:val="16"/>
                <w:szCs w:val="16"/>
                <w:b w:val="1"/>
                <w:bCs w:val="1"/>
                <w:color w:val="auto"/>
              </w:rPr>
              <w:t>95-3629339</w:t>
            </w:r>
          </w:p>
        </w:tc>
      </w:tr>
      <w:tr>
        <w:trPr>
          <w:trHeight w:val="222"/>
        </w:trPr>
        <w:tc>
          <w:tcPr>
            <w:tcW w:w="3360" w:type="dxa"/>
            <w:vAlign w:val="bottom"/>
          </w:tcPr>
          <w:p>
            <w:pPr>
              <w:jc w:val="center"/>
              <w:ind w:left="599"/>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40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3360" w:type="dxa"/>
            <w:vAlign w:val="bottom"/>
          </w:tcPr>
          <w:p>
            <w:pPr>
              <w:jc w:val="center"/>
              <w:ind w:left="599"/>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4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12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459"/>
        </w:trPr>
        <w:tc>
          <w:tcPr>
            <w:tcW w:w="3360" w:type="dxa"/>
            <w:vAlign w:val="bottom"/>
          </w:tcPr>
          <w:p>
            <w:pPr>
              <w:jc w:val="center"/>
              <w:ind w:left="599"/>
              <w:spacing w:after="0"/>
              <w:rPr>
                <w:sz w:val="20"/>
                <w:szCs w:val="20"/>
                <w:color w:val="auto"/>
              </w:rPr>
            </w:pPr>
            <w:r>
              <w:rPr>
                <w:rFonts w:ascii="Times New Roman" w:cs="Times New Roman" w:eastAsia="Times New Roman" w:hAnsi="Times New Roman"/>
                <w:sz w:val="16"/>
                <w:szCs w:val="16"/>
                <w:b w:val="1"/>
                <w:bCs w:val="1"/>
                <w:color w:val="auto"/>
              </w:rPr>
              <w:t>701 North Haven Ave., Suite 350</w:t>
            </w:r>
          </w:p>
        </w:tc>
        <w:tc>
          <w:tcPr>
            <w:tcW w:w="4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230"/>
        </w:trPr>
        <w:tc>
          <w:tcPr>
            <w:tcW w:w="3360" w:type="dxa"/>
            <w:vAlign w:val="bottom"/>
          </w:tcPr>
          <w:p>
            <w:pPr>
              <w:jc w:val="center"/>
              <w:ind w:left="619"/>
              <w:spacing w:after="0"/>
              <w:rPr>
                <w:sz w:val="20"/>
                <w:szCs w:val="20"/>
                <w:color w:val="auto"/>
              </w:rPr>
            </w:pPr>
            <w:r>
              <w:rPr>
                <w:rFonts w:ascii="Times New Roman" w:cs="Times New Roman" w:eastAsia="Times New Roman" w:hAnsi="Times New Roman"/>
                <w:sz w:val="16"/>
                <w:szCs w:val="16"/>
                <w:b w:val="1"/>
                <w:bCs w:val="1"/>
                <w:color w:val="auto"/>
              </w:rPr>
              <w:t>Ontario, California</w:t>
            </w:r>
          </w:p>
        </w:tc>
        <w:tc>
          <w:tcPr>
            <w:tcW w:w="40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120" w:type="dxa"/>
            <w:vAlign w:val="bottom"/>
          </w:tcPr>
          <w:p>
            <w:pPr>
              <w:jc w:val="right"/>
              <w:ind w:right="1719"/>
              <w:spacing w:after="0"/>
              <w:rPr>
                <w:sz w:val="20"/>
                <w:szCs w:val="20"/>
                <w:color w:val="auto"/>
              </w:rPr>
            </w:pPr>
            <w:r>
              <w:rPr>
                <w:rFonts w:ascii="Times New Roman" w:cs="Times New Roman" w:eastAsia="Times New Roman" w:hAnsi="Times New Roman"/>
                <w:sz w:val="16"/>
                <w:szCs w:val="16"/>
                <w:b w:val="1"/>
                <w:bCs w:val="1"/>
                <w:color w:val="auto"/>
              </w:rPr>
              <w:t>91764</w:t>
            </w:r>
          </w:p>
        </w:tc>
      </w:tr>
      <w:tr>
        <w:trPr>
          <w:trHeight w:val="230"/>
        </w:trPr>
        <w:tc>
          <w:tcPr>
            <w:tcW w:w="3360" w:type="dxa"/>
            <w:vAlign w:val="bottom"/>
          </w:tcPr>
          <w:p>
            <w:pPr>
              <w:jc w:val="center"/>
              <w:ind w:left="61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40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12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w w:val="98"/>
              </w:rPr>
              <w:t>(Zip Code)</w:t>
            </w:r>
          </w:p>
        </w:tc>
      </w:tr>
      <w:tr>
        <w:trPr>
          <w:trHeight w:val="459"/>
        </w:trPr>
        <w:tc>
          <w:tcPr>
            <w:tcW w:w="3360" w:type="dxa"/>
            <w:vAlign w:val="bottom"/>
          </w:tcPr>
          <w:p>
            <w:pPr>
              <w:spacing w:after="0"/>
              <w:rPr>
                <w:sz w:val="24"/>
                <w:szCs w:val="24"/>
                <w:color w:val="auto"/>
              </w:rPr>
            </w:pPr>
          </w:p>
        </w:tc>
        <w:tc>
          <w:tcPr>
            <w:tcW w:w="3080" w:type="dxa"/>
            <w:vAlign w:val="bottom"/>
            <w:gridSpan w:val="2"/>
          </w:tcPr>
          <w:p>
            <w:pPr>
              <w:jc w:val="center"/>
              <w:ind w:left="1321"/>
              <w:spacing w:after="0"/>
              <w:rPr>
                <w:sz w:val="20"/>
                <w:szCs w:val="20"/>
                <w:color w:val="auto"/>
              </w:rPr>
            </w:pPr>
            <w:r>
              <w:rPr>
                <w:rFonts w:ascii="Times New Roman" w:cs="Times New Roman" w:eastAsia="Times New Roman" w:hAnsi="Times New Roman"/>
                <w:sz w:val="16"/>
                <w:szCs w:val="16"/>
                <w:b w:val="1"/>
                <w:bCs w:val="1"/>
                <w:color w:val="auto"/>
              </w:rPr>
              <w:t>(909) 980-4030</w:t>
            </w:r>
          </w:p>
        </w:tc>
        <w:tc>
          <w:tcPr>
            <w:tcW w:w="68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222"/>
        </w:trPr>
        <w:tc>
          <w:tcPr>
            <w:tcW w:w="3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360" w:type="dxa"/>
            <w:vAlign w:val="bottom"/>
            <w:gridSpan w:val="2"/>
          </w:tcPr>
          <w:p>
            <w:pPr>
              <w:jc w:val="center"/>
              <w:ind w:left="298"/>
              <w:spacing w:after="0"/>
              <w:rPr>
                <w:sz w:val="20"/>
                <w:szCs w:val="20"/>
                <w:color w:val="auto"/>
              </w:rPr>
            </w:pPr>
            <w:r>
              <w:rPr>
                <w:rFonts w:ascii="Times New Roman" w:cs="Times New Roman" w:eastAsia="Times New Roman" w:hAnsi="Times New Roman"/>
                <w:sz w:val="16"/>
                <w:szCs w:val="16"/>
                <w:color w:val="auto"/>
              </w:rPr>
              <w:t>(Registrant's telephone number,</w:t>
            </w:r>
          </w:p>
        </w:tc>
        <w:tc>
          <w:tcPr>
            <w:tcW w:w="4120" w:type="dxa"/>
            <w:vAlign w:val="bottom"/>
          </w:tcPr>
          <w:p>
            <w:pPr>
              <w:spacing w:after="0"/>
              <w:rPr>
                <w:sz w:val="19"/>
                <w:szCs w:val="19"/>
                <w:color w:val="auto"/>
              </w:rPr>
            </w:pPr>
          </w:p>
        </w:tc>
      </w:tr>
      <w:tr>
        <w:trPr>
          <w:trHeight w:val="210"/>
        </w:trPr>
        <w:tc>
          <w:tcPr>
            <w:tcW w:w="3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360" w:type="dxa"/>
            <w:vAlign w:val="bottom"/>
            <w:gridSpan w:val="2"/>
          </w:tcPr>
          <w:p>
            <w:pPr>
              <w:jc w:val="center"/>
              <w:ind w:left="298"/>
              <w:spacing w:after="0"/>
              <w:rPr>
                <w:sz w:val="20"/>
                <w:szCs w:val="20"/>
                <w:color w:val="auto"/>
              </w:rPr>
            </w:pPr>
            <w:r>
              <w:rPr>
                <w:rFonts w:ascii="Times New Roman" w:cs="Times New Roman" w:eastAsia="Times New Roman" w:hAnsi="Times New Roman"/>
                <w:sz w:val="16"/>
                <w:szCs w:val="16"/>
                <w:color w:val="auto"/>
              </w:rPr>
              <w:t>including area code)</w:t>
            </w:r>
          </w:p>
        </w:tc>
        <w:tc>
          <w:tcPr>
            <w:tcW w:w="4120" w:type="dxa"/>
            <w:vAlign w:val="bottom"/>
          </w:tcPr>
          <w:p>
            <w:pPr>
              <w:spacing w:after="0"/>
              <w:rPr>
                <w:sz w:val="18"/>
                <w:szCs w:val="18"/>
                <w:color w:val="auto"/>
              </w:rPr>
            </w:pPr>
          </w:p>
        </w:tc>
      </w:tr>
      <w:tr>
        <w:trPr>
          <w:trHeight w:val="440"/>
        </w:trPr>
        <w:tc>
          <w:tcPr>
            <w:tcW w:w="7120" w:type="dxa"/>
            <w:vAlign w:val="bottom"/>
            <w:tcBorders>
              <w:bottom w:val="single" w:sz="8" w:color="auto"/>
            </w:tcBorders>
            <w:gridSpan w:val="4"/>
          </w:tcPr>
          <w:p>
            <w:pPr>
              <w:jc w:val="center"/>
              <w:ind w:right="338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4120" w:type="dxa"/>
            <w:vAlign w:val="bottom"/>
            <w:tcBorders>
              <w:bottom w:val="single" w:sz="8" w:color="auto"/>
            </w:tcBorders>
          </w:tcPr>
          <w:p>
            <w:pPr>
              <w:spacing w:after="0"/>
              <w:rPr>
                <w:sz w:val="24"/>
                <w:szCs w:val="24"/>
                <w:color w:val="auto"/>
              </w:rPr>
            </w:pPr>
          </w:p>
        </w:tc>
      </w:tr>
      <w:tr>
        <w:trPr>
          <w:trHeight w:val="221"/>
        </w:trPr>
        <w:tc>
          <w:tcPr>
            <w:tcW w:w="3360" w:type="dxa"/>
            <w:vAlign w:val="bottom"/>
            <w:tcBorders>
              <w:left w:val="single" w:sz="8" w:color="auto"/>
              <w:bottom w:val="single" w:sz="8" w:color="auto"/>
            </w:tcBorders>
          </w:tcPr>
          <w:p>
            <w:pPr>
              <w:jc w:val="center"/>
              <w:ind w:left="319"/>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400" w:type="dxa"/>
            <w:vAlign w:val="bottom"/>
            <w:tcBorders>
              <w:bottom w:val="single" w:sz="8" w:color="auto"/>
              <w:right w:val="single" w:sz="8" w:color="auto"/>
            </w:tcBorders>
          </w:tcPr>
          <w:p>
            <w:pPr>
              <w:spacing w:after="0"/>
              <w:rPr>
                <w:sz w:val="19"/>
                <w:szCs w:val="19"/>
                <w:color w:val="auto"/>
              </w:rPr>
            </w:pPr>
          </w:p>
        </w:tc>
        <w:tc>
          <w:tcPr>
            <w:tcW w:w="2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680" w:type="dxa"/>
            <w:vAlign w:val="bottom"/>
            <w:tcBorders>
              <w:bottom w:val="single" w:sz="8" w:color="auto"/>
            </w:tcBorders>
          </w:tcPr>
          <w:p>
            <w:pPr>
              <w:spacing w:after="0"/>
              <w:rPr>
                <w:sz w:val="19"/>
                <w:szCs w:val="19"/>
                <w:color w:val="auto"/>
              </w:rPr>
            </w:pPr>
          </w:p>
        </w:tc>
        <w:tc>
          <w:tcPr>
            <w:tcW w:w="4120" w:type="dxa"/>
            <w:vAlign w:val="bottom"/>
            <w:tcBorders>
              <w:bottom w:val="single" w:sz="8" w:color="auto"/>
              <w:right w:val="single" w:sz="8" w:color="auto"/>
            </w:tcBorders>
          </w:tcPr>
          <w:p>
            <w:pPr>
              <w:jc w:val="center"/>
              <w:ind w:right="619"/>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3"/>
        </w:trPr>
        <w:tc>
          <w:tcPr>
            <w:tcW w:w="3360" w:type="dxa"/>
            <w:vAlign w:val="bottom"/>
            <w:tcBorders>
              <w:left w:val="single" w:sz="8" w:color="auto"/>
              <w:bottom w:val="single" w:sz="8" w:color="auto"/>
            </w:tcBorders>
          </w:tcPr>
          <w:p>
            <w:pPr>
              <w:jc w:val="center"/>
              <w:ind w:left="319"/>
              <w:spacing w:after="0"/>
              <w:rPr>
                <w:sz w:val="20"/>
                <w:szCs w:val="20"/>
                <w:color w:val="auto"/>
              </w:rPr>
            </w:pPr>
            <w:r>
              <w:rPr>
                <w:rFonts w:ascii="Times New Roman" w:cs="Times New Roman" w:eastAsia="Times New Roman" w:hAnsi="Times New Roman"/>
                <w:sz w:val="16"/>
                <w:szCs w:val="16"/>
                <w:color w:val="auto"/>
              </w:rPr>
              <w:t>Common Stock, No Par Value</w:t>
            </w:r>
          </w:p>
        </w:tc>
        <w:tc>
          <w:tcPr>
            <w:tcW w:w="400" w:type="dxa"/>
            <w:vAlign w:val="bottom"/>
            <w:tcBorders>
              <w:bottom w:val="single" w:sz="8" w:color="auto"/>
              <w:right w:val="single" w:sz="8" w:color="auto"/>
            </w:tcBorders>
          </w:tcPr>
          <w:p>
            <w:pPr>
              <w:spacing w:after="0"/>
              <w:rPr>
                <w:sz w:val="17"/>
                <w:szCs w:val="17"/>
                <w:color w:val="auto"/>
              </w:rPr>
            </w:pPr>
          </w:p>
        </w:tc>
        <w:tc>
          <w:tcPr>
            <w:tcW w:w="2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CVBF</w:t>
            </w:r>
          </w:p>
        </w:tc>
        <w:tc>
          <w:tcPr>
            <w:tcW w:w="680" w:type="dxa"/>
            <w:vAlign w:val="bottom"/>
            <w:tcBorders>
              <w:bottom w:val="single" w:sz="8" w:color="auto"/>
            </w:tcBorders>
          </w:tcPr>
          <w:p>
            <w:pPr>
              <w:spacing w:after="0"/>
              <w:rPr>
                <w:sz w:val="17"/>
                <w:szCs w:val="17"/>
                <w:color w:val="auto"/>
              </w:rPr>
            </w:pPr>
          </w:p>
        </w:tc>
        <w:tc>
          <w:tcPr>
            <w:tcW w:w="4120" w:type="dxa"/>
            <w:vAlign w:val="bottom"/>
            <w:tcBorders>
              <w:bottom w:val="single" w:sz="8" w:color="auto"/>
              <w:right w:val="single" w:sz="8" w:color="auto"/>
            </w:tcBorders>
          </w:tcPr>
          <w:p>
            <w:pPr>
              <w:jc w:val="center"/>
              <w:ind w:right="619"/>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189" w:lineRule="exact"/>
        <w:rPr>
          <w:sz w:val="24"/>
          <w:szCs w:val="24"/>
          <w:color w:val="auto"/>
        </w:rPr>
      </w:pPr>
    </w:p>
    <w:p>
      <w:pPr>
        <w:jc w:val="both"/>
        <w:spacing w:after="0" w:line="22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cs="Times New Roman" w:eastAsia="Times New Roman" w:hAnsi="Times New Roman"/>
          <w:sz w:val="17"/>
          <w:szCs w:val="17"/>
          <w:color w:val="auto"/>
        </w:rPr>
        <w:t>Yes</w:t>
      </w:r>
      <w:r>
        <w:rPr>
          <w:rFonts w:ascii="Times New Roman" w:cs="Times New Roman" w:eastAsia="Times New Roman" w:hAnsi="Times New Roman"/>
          <w:sz w:val="16"/>
          <w:szCs w:val="16"/>
          <w:color w:val="auto"/>
        </w:rPr>
        <w:t xml:space="preserve">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161" w:lineRule="exact"/>
        <w:rPr>
          <w:sz w:val="24"/>
          <w:szCs w:val="24"/>
          <w:color w:val="auto"/>
        </w:rPr>
      </w:pPr>
    </w:p>
    <w:p>
      <w:pPr>
        <w:jc w:val="both"/>
        <w:spacing w:after="0" w:line="23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Times New Roman" w:cs="Times New Roman" w:eastAsia="Times New Roman" w:hAnsi="Times New Roman"/>
          <w:sz w:val="17"/>
          <w:szCs w:val="17"/>
          <w:color w:val="auto"/>
        </w:rPr>
        <w:t>Yes</w:t>
      </w:r>
      <w:r>
        <w:rPr>
          <w:rFonts w:ascii="Times New Roman" w:cs="Times New Roman" w:eastAsia="Times New Roman" w:hAnsi="Times New Roman"/>
          <w:sz w:val="16"/>
          <w:szCs w:val="16"/>
          <w:color w:val="auto"/>
        </w:rPr>
        <w:t xml:space="preserve">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No</w:t>
      </w:r>
      <w:r>
        <w:rPr>
          <w:rFonts w:ascii="Times New Roman" w:cs="Times New Roman" w:eastAsia="Times New Roman" w:hAnsi="Times New Roman"/>
          <w:sz w:val="16"/>
          <w:szCs w:val="16"/>
          <w:color w:val="auto"/>
        </w:rPr>
        <w:t xml:space="preserve"> </w:t>
      </w:r>
      <w:r>
        <w:rPr>
          <w:rFonts w:ascii="MS PGothic" w:cs="MS PGothic" w:eastAsia="MS PGothic" w:hAnsi="MS PGothic"/>
          <w:sz w:val="17"/>
          <w:szCs w:val="17"/>
          <w:color w:val="auto"/>
        </w:rPr>
        <w:t>☐</w:t>
      </w:r>
    </w:p>
    <w:p>
      <w:pPr>
        <w:spacing w:after="0" w:line="161" w:lineRule="exact"/>
        <w:rPr>
          <w:sz w:val="24"/>
          <w:szCs w:val="24"/>
          <w:color w:val="auto"/>
        </w:rPr>
      </w:pPr>
    </w:p>
    <w:p>
      <w:pPr>
        <w:jc w:val="both"/>
        <w:spacing w:after="0" w:line="295"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accelerated filer, non-accelerated filer or smaller reporting company, or emerging growth company. See definition of “large accelerated filer,” “accelerated filer,” “smaller reporting company,” and “emerging growth company” in Rule 12b-2 of the Exchange Act. (Check one):</w:t>
      </w:r>
    </w:p>
    <w:p>
      <w:pPr>
        <w:spacing w:after="0" w:line="335" w:lineRule="exact"/>
        <w:rPr>
          <w:sz w:val="24"/>
          <w:szCs w:val="24"/>
          <w:color w:val="auto"/>
        </w:rPr>
      </w:pPr>
    </w:p>
    <w:tbl>
      <w:tblPr>
        <w:tblLayout w:type="fixed"/>
        <w:tblInd w:w="100" w:type="dxa"/>
        <w:tblCellMar>
          <w:top w:w="0" w:type="dxa"/>
          <w:left w:w="0" w:type="dxa"/>
          <w:bottom w:w="0" w:type="dxa"/>
          <w:right w:w="0" w:type="dxa"/>
        </w:tblCellMar>
      </w:tblPr>
      <w:tr>
        <w:trPr>
          <w:trHeight w:val="229"/>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120" w:type="dxa"/>
            <w:vAlign w:val="bottom"/>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4720" w:type="dxa"/>
            <w:vAlign w:val="bottom"/>
          </w:tcPr>
          <w:p>
            <w:pPr>
              <w:ind w:left="2540"/>
              <w:spacing w:after="0"/>
              <w:rPr>
                <w:sz w:val="20"/>
                <w:szCs w:val="20"/>
                <w:color w:val="auto"/>
              </w:rPr>
            </w:pPr>
            <w:r>
              <w:rPr>
                <w:rFonts w:ascii="Times New Roman" w:cs="Times New Roman" w:eastAsia="Times New Roman" w:hAnsi="Times New Roman"/>
                <w:sz w:val="16"/>
                <w:szCs w:val="16"/>
                <w:color w:val="auto"/>
              </w:rPr>
              <w:t>Accelerated filer</w:t>
            </w:r>
          </w:p>
        </w:tc>
        <w:tc>
          <w:tcPr>
            <w:tcW w:w="540" w:type="dxa"/>
            <w:vAlign w:val="bottom"/>
          </w:tcPr>
          <w:p>
            <w:pPr>
              <w:ind w:left="4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30"/>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120" w:type="dxa"/>
            <w:vAlign w:val="bottom"/>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4720" w:type="dxa"/>
            <w:vAlign w:val="bottom"/>
          </w:tcPr>
          <w:p>
            <w:pPr>
              <w:ind w:left="25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40" w:type="dxa"/>
            <w:vAlign w:val="bottom"/>
          </w:tcPr>
          <w:p>
            <w:pPr>
              <w:ind w:left="4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120" w:type="dxa"/>
            <w:vAlign w:val="bottom"/>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4720" w:type="dxa"/>
            <w:vAlign w:val="bottom"/>
          </w:tcPr>
          <w:p>
            <w:pPr>
              <w:spacing w:after="0"/>
              <w:rPr>
                <w:sz w:val="23"/>
                <w:szCs w:val="23"/>
                <w:color w:val="auto"/>
              </w:rPr>
            </w:pPr>
          </w:p>
        </w:tc>
        <w:tc>
          <w:tcPr>
            <w:tcW w:w="540" w:type="dxa"/>
            <w:vAlign w:val="bottom"/>
          </w:tcPr>
          <w:p>
            <w:pPr>
              <w:spacing w:after="0"/>
              <w:rPr>
                <w:sz w:val="23"/>
                <w:szCs w:val="23"/>
                <w:color w:val="auto"/>
              </w:rPr>
            </w:pPr>
          </w:p>
        </w:tc>
      </w:tr>
    </w:tbl>
    <w:p>
      <w:pPr>
        <w:spacing w:after="0" w:line="182" w:lineRule="exact"/>
        <w:rPr>
          <w:sz w:val="24"/>
          <w:szCs w:val="24"/>
          <w:color w:val="auto"/>
        </w:rPr>
      </w:pPr>
    </w:p>
    <w:p>
      <w:pPr>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p>
      <w:pPr>
        <w:spacing w:after="0" w:line="26"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Number of shares of common stock of the registrant: 139,677,614 outstanding as of October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624840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80" w:type="dxa"/>
            <w:vAlign w:val="bottom"/>
            <w:gridSpan w:val="12"/>
          </w:tcPr>
          <w:p>
            <w:pPr>
              <w:ind w:left="1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8"/>
        </w:trPr>
        <w:tc>
          <w:tcPr>
            <w:tcW w:w="16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PART I –</w:t>
            </w:r>
          </w:p>
        </w:tc>
        <w:tc>
          <w:tcPr>
            <w:tcW w:w="34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8"/>
              </w:rPr>
              <w:t>FINANCIAL INFORMATION (UNAUDITED)</w:t>
            </w:r>
          </w:p>
        </w:tc>
        <w:tc>
          <w:tcPr>
            <w:tcW w:w="20" w:type="dxa"/>
            <w:vAlign w:val="bottom"/>
            <w:tcBorders>
              <w:bottom w:val="single" w:sz="8" w:color="0000EE"/>
            </w:tcBorders>
          </w:tcPr>
          <w:p>
            <w:pPr>
              <w:spacing w:after="0"/>
              <w:rPr>
                <w:sz w:val="24"/>
                <w:szCs w:val="24"/>
                <w:color w:val="auto"/>
              </w:rPr>
            </w:pPr>
          </w:p>
        </w:tc>
        <w:tc>
          <w:tcPr>
            <w:tcW w:w="5680" w:type="dxa"/>
            <w:vAlign w:val="bottom"/>
            <w:gridSpan w:val="9"/>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47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8"/>
              </w:rPr>
              <w:t>CONDENSED CONSOLIDATED FINANCIAL STATEMENTS</w:t>
            </w:r>
          </w:p>
        </w:tc>
        <w:tc>
          <w:tcPr>
            <w:tcW w:w="20" w:type="dxa"/>
            <w:vAlign w:val="bottom"/>
            <w:tcBorders>
              <w:bottom w:val="single" w:sz="8" w:color="0000EE"/>
            </w:tcBorders>
          </w:tcPr>
          <w:p>
            <w:pPr>
              <w:spacing w:after="0"/>
              <w:rPr>
                <w:sz w:val="18"/>
                <w:szCs w:val="18"/>
                <w:color w:val="auto"/>
              </w:rPr>
            </w:pPr>
          </w:p>
        </w:tc>
        <w:tc>
          <w:tcPr>
            <w:tcW w:w="4460" w:type="dxa"/>
            <w:vAlign w:val="bottom"/>
            <w:gridSpan w:val="5"/>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91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NOTES TO THE CONDENSED CONSOLIDATED FINANCIAL STATEMENTS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gridSpan w:val="2"/>
            <w:vMerge w:val="continue"/>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tcBorders>
              <w:right w:val="single" w:sz="8" w:color="0000EE"/>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892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CRITICAL ACCOUNTING POLICIES</w:t>
            </w:r>
          </w:p>
        </w:tc>
        <w:tc>
          <w:tcPr>
            <w:tcW w:w="6280" w:type="dxa"/>
            <w:vAlign w:val="bottom"/>
            <w:gridSpan w:val="12"/>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1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OVERVIEW</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7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8"/>
              </w:rPr>
              <w:t>ANALYSIS OF THE RESULTS OF OPERATIONS</w:t>
            </w:r>
          </w:p>
        </w:tc>
        <w:tc>
          <w:tcPr>
            <w:tcW w:w="5400" w:type="dxa"/>
            <w:vAlign w:val="bottom"/>
            <w:gridSpan w:val="8"/>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1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ANALYSIS OF FINANCIAL CONDITION</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5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91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ASSET/LIABILITY AND MARKET RISK MANAGEMENT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gridSpan w:val="2"/>
            <w:vMerge w:val="continue"/>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340" w:type="dxa"/>
            <w:vAlign w:val="bottom"/>
            <w:tcBorders>
              <w:right w:val="single" w:sz="8" w:color="0000EE"/>
            </w:tcBorders>
            <w:gridSpan w:val="4"/>
            <w:shd w:val="clear" w:color="auto" w:fill="0000FF"/>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614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8"/>
              </w:rPr>
              <w:t>QUANTITATIVE AND QUALITATIVE DISCLOSURES ABOUT MARKET RISK</w:t>
            </w:r>
          </w:p>
        </w:tc>
        <w:tc>
          <w:tcPr>
            <w:tcW w:w="3040" w:type="dxa"/>
            <w:vAlign w:val="bottom"/>
            <w:gridSpan w:val="2"/>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91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09"/>
        </w:trPr>
        <w:tc>
          <w:tcPr>
            <w:tcW w:w="16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PART II –</w:t>
            </w:r>
          </w:p>
        </w:tc>
        <w:tc>
          <w:tcPr>
            <w:tcW w:w="190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00" w:type="dxa"/>
            <w:vAlign w:val="bottom"/>
            <w:tcBorders>
              <w:top w:val="single" w:sz="8" w:color="0000FF"/>
            </w:tcBorders>
            <w:gridSpan w:val="2"/>
          </w:tcPr>
          <w:p>
            <w:pPr>
              <w:spacing w:after="0"/>
              <w:rPr>
                <w:sz w:val="18"/>
                <w:szCs w:val="18"/>
                <w:color w:val="auto"/>
              </w:rPr>
            </w:pPr>
          </w:p>
        </w:tc>
        <w:tc>
          <w:tcPr>
            <w:tcW w:w="6580" w:type="dxa"/>
            <w:vAlign w:val="bottom"/>
            <w:gridSpan w:val="13"/>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18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LEGAL PROCEEDINGS</w:t>
            </w:r>
          </w:p>
        </w:tc>
        <w:tc>
          <w:tcPr>
            <w:tcW w:w="7300" w:type="dxa"/>
            <w:vAlign w:val="bottom"/>
            <w:gridSpan w:val="16"/>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91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820" w:type="dxa"/>
            <w:vAlign w:val="bottom"/>
            <w:shd w:val="clear" w:color="auto" w:fill="0000FF"/>
          </w:tcPr>
          <w:p>
            <w:pPr>
              <w:spacing w:after="0" w:line="20" w:lineRule="exact"/>
              <w:rPr>
                <w:sz w:val="1"/>
                <w:szCs w:val="1"/>
                <w:color w:val="auto"/>
              </w:rPr>
            </w:pPr>
          </w:p>
        </w:tc>
        <w:tc>
          <w:tcPr>
            <w:tcW w:w="440" w:type="dxa"/>
            <w:vAlign w:val="bottom"/>
            <w:tcBorders>
              <w:right w:val="single" w:sz="8" w:color="0000EE"/>
            </w:tcBorders>
            <w:gridSpan w:val="2"/>
            <w:shd w:val="clear" w:color="auto" w:fill="0000FF"/>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860" w:type="dxa"/>
            <w:vAlign w:val="bottom"/>
            <w:gridSpan w:val="8"/>
          </w:tcPr>
          <w:p>
            <w:pPr>
              <w:spacing w:after="0" w:line="20" w:lineRule="exact"/>
              <w:rPr>
                <w:sz w:val="1"/>
                <w:szCs w:val="1"/>
                <w:color w:val="auto"/>
              </w:rPr>
            </w:pPr>
          </w:p>
        </w:tc>
        <w:tc>
          <w:tcPr>
            <w:tcW w:w="312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91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606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3120" w:type="dxa"/>
            <w:vAlign w:val="bottom"/>
            <w:gridSpan w:val="3"/>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320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5980" w:type="dxa"/>
            <w:vAlign w:val="bottom"/>
            <w:gridSpan w:val="11"/>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190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540" w:type="dxa"/>
            <w:vAlign w:val="bottom"/>
            <w:tcBorders>
              <w:top w:val="single" w:sz="8" w:color="0000FF"/>
            </w:tcBorders>
          </w:tcPr>
          <w:p>
            <w:pPr>
              <w:spacing w:after="0"/>
              <w:rPr>
                <w:sz w:val="18"/>
                <w:szCs w:val="18"/>
                <w:color w:val="auto"/>
              </w:rPr>
            </w:pPr>
          </w:p>
        </w:tc>
        <w:tc>
          <w:tcPr>
            <w:tcW w:w="6740" w:type="dxa"/>
            <w:vAlign w:val="bottom"/>
            <w:gridSpan w:val="14"/>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91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EXHIBITS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09"/>
        </w:trPr>
        <w:tc>
          <w:tcPr>
            <w:tcW w:w="16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820" w:type="dxa"/>
            <w:vAlign w:val="bottom"/>
            <w:tcBorders>
              <w:top w:val="single" w:sz="8" w:color="0000FF"/>
            </w:tcBorders>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16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4540" w:type="dxa"/>
            <w:vAlign w:val="bottom"/>
            <w:gridSpan w:val="13"/>
          </w:tcPr>
          <w:p>
            <w:pPr>
              <w:ind w:left="398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PART I –</w:t>
      </w:r>
      <w:r>
        <w:rPr>
          <w:sz w:val="20"/>
          <w:szCs w:val="20"/>
          <w:color w:val="auto"/>
        </w:rPr>
        <w:tab/>
      </w:r>
      <w:r>
        <w:rPr>
          <w:rFonts w:ascii="Times New Roman" w:cs="Times New Roman" w:eastAsia="Times New Roman" w:hAnsi="Times New Roman"/>
          <w:sz w:val="17"/>
          <w:szCs w:val="17"/>
          <w:b w:val="1"/>
          <w:bCs w:val="1"/>
          <w:color w:val="auto"/>
        </w:rPr>
        <w:t>FINANCIAL INFORMATION (UNAUDITED)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Cautionary Note Regarding Forward-Looking Statements</w:t>
      </w:r>
    </w:p>
    <w:p>
      <w:pPr>
        <w:spacing w:after="0" w:line="245" w:lineRule="exact"/>
        <w:rPr>
          <w:sz w:val="20"/>
          <w:szCs w:val="20"/>
          <w:color w:val="auto"/>
        </w:rPr>
      </w:pPr>
    </w:p>
    <w:p>
      <w:pPr>
        <w:ind w:firstLine="360"/>
        <w:spacing w:after="0" w:line="267" w:lineRule="auto"/>
        <w:rPr>
          <w:sz w:val="20"/>
          <w:szCs w:val="20"/>
          <w:color w:val="auto"/>
        </w:rPr>
      </w:pPr>
      <w:r>
        <w:rPr>
          <w:rFonts w:ascii="Times New Roman" w:cs="Times New Roman" w:eastAsia="Times New Roman" w:hAnsi="Times New Roman"/>
          <w:sz w:val="16"/>
          <w:szCs w:val="16"/>
          <w:i w:val="1"/>
          <w:iCs w:val="1"/>
          <w:color w:val="auto"/>
        </w:rPr>
        <w:t>Certain statements set forth herein constitute forward-looking statements within the meaning of the Private Securities Litigation Reform Act of 1995. Words such as “will likely result”, “aims”, “anticipates”, “believes”, “could”, “estimates”, “expects”, “hopes”, “intends”, “may”, “plans”, “projects”, “seeks”, “should”, “will,” “strategy”, “possibility”, and variations of these words and similar expressions help to identify these forward-looking statements, which involve risks and uncertainties that could cause actual results or performance to differ materially from those projected. These forward-looking statements are based on management’s current expectations and beliefs concerning future developments and their potential effects on the Company, including, without limitation, plans, strategies, goals and statements about the Company’s outlook regarding revenue and asset growth, financial performance and profitability, capital and liquidity levels, loan and deposit growth and retention, yields and returns, loan diversification and credit management, stockholder value creation, tax rates, the impact of economic developments, and the impact of acquisitions we have made or may make. Such statements involve inherent risks and uncertainties, many of which are difficult to predict and are generally beyond the control of the Company, and there can be no assurance that future developments affecting the Company will be the same as those anticipated by management. The Company cautions readers that a number of important factors in addition to those set forth below could cause actual results to differ materially from those expressed in, or implied or projected by, such forward-looking statements.</w:t>
      </w:r>
    </w:p>
    <w:p>
      <w:pPr>
        <w:spacing w:after="0" w:line="192" w:lineRule="exact"/>
        <w:rPr>
          <w:sz w:val="20"/>
          <w:szCs w:val="20"/>
          <w:color w:val="auto"/>
        </w:rPr>
      </w:pPr>
    </w:p>
    <w:p>
      <w:pPr>
        <w:ind w:firstLine="324"/>
        <w:spacing w:after="0" w:line="265" w:lineRule="auto"/>
        <w:rPr>
          <w:sz w:val="20"/>
          <w:szCs w:val="20"/>
          <w:color w:val="auto"/>
        </w:rPr>
      </w:pPr>
      <w:r>
        <w:rPr>
          <w:rFonts w:ascii="Times New Roman" w:cs="Times New Roman" w:eastAsia="Times New Roman" w:hAnsi="Times New Roman"/>
          <w:sz w:val="16"/>
          <w:szCs w:val="16"/>
          <w:i w:val="1"/>
          <w:iCs w:val="1"/>
          <w:color w:val="auto"/>
        </w:rPr>
        <w:t>General risks and uncertainties include, but are not limited to, the following: the strength of the United States economy in general and the strength of the local economies in which we conduct business; the effects of, and changes in, trade, monetary, and fiscal policies and laws, including interest rate policies of the Board of Governors of the Federal Reserve System; inflation/deflation, interest rate, market, and monetary fluctuations; the effect of acquisitions we have made or may make, including, without limitation, the failure to obtain the necessary regulatory approvals, the failure to achieve the expected revenue growth and/or expense savings from such acquisitions, and/or the failure to effectively integrate an acquisition target, key personnel and customers into our operations; the timely development of competitive new products and services, and the acceptance of these products and services by new and existing customers; the impact of changes in financial services policies, laws, and regulations, including those concerning taxes, banking, securities, and insurance, and the application thereof by regulatory bodies; the effectiveness of our risk management framework and quantitative models; changes in the levels of our nonperforming assets and charge-offs; the effect of changes in accounting policies and practices or accounting standards, as may be adopted from time-to-time by bank regulatory agencies, the U.S. Securities and Exchange Commission (“SEC”), the Public Company Accounting Oversight Board, the Financial Accounting Standards Board or other accounting standards setters; possible credit related impairments or declines in the fair value of loans and securities held by us; possible impairment charges to goodwill, including any impairment that may result from increased volatility in our stock price; changes in consumer spending, borrowing, and savings habits; the effects of our lack of a diversified loan portfolio, including the risks of geographic and industry concentrations; periodic fluctuations in commercial or residential real estate prices or values; our ability to attract and retain deposits (including low cost deposits) or to access government or private lending facilities and other sources of liquidity; the possibility that we may reduce or discontinue the payments of dividends on our common stock; changes in the financial performance and/or condition of our borrowers; changes in the competitive environment among financial and bank holding companies and other financial service providers; technological changes in banking and financial services; systemic or non-systemic bank failures or crises; geopolitical conditions, including acts or threats of terrorism, actions taken by the United States or other governments in response to acts or threats of terrorism, and/or military conflicts, which could impact business and economic conditions in the United States and abroad; catastrophic events or natural disasters, including earthquakes, drought, climate change or extreme weather events that may affect our assets, communications or computer services, customers, employees or third party vendors; public health crises and pandemics, and their effects on our asset credit quality, business operations, and employees, as well as the impact on general economic and financial market conditions; cybersecurity threats and fraud and the cost of defending against them, including the costs of compliance with legislation or regulations to combat cybersecurity threats and fraud; our ability to recruit and retain key executives, board members and other employees, and our compliance with federal, state and local employment laws and regulations; ongoing or unanticipated regulatory or legal proceedings or outcomes; and our ability to manage the risks involved in the foregoing.</w:t>
      </w:r>
    </w:p>
    <w:p>
      <w:pPr>
        <w:spacing w:after="0" w:line="215" w:lineRule="exact"/>
        <w:rPr>
          <w:sz w:val="20"/>
          <w:szCs w:val="20"/>
          <w:color w:val="auto"/>
        </w:rPr>
      </w:pPr>
    </w:p>
    <w:p>
      <w:pPr>
        <w:ind w:right="340" w:firstLine="360"/>
        <w:spacing w:after="0" w:line="301" w:lineRule="auto"/>
        <w:rPr>
          <w:sz w:val="20"/>
          <w:szCs w:val="20"/>
          <w:color w:val="auto"/>
        </w:rPr>
      </w:pPr>
      <w:r>
        <w:rPr>
          <w:rFonts w:ascii="Times New Roman" w:cs="Times New Roman" w:eastAsia="Times New Roman" w:hAnsi="Times New Roman"/>
          <w:sz w:val="16"/>
          <w:szCs w:val="16"/>
          <w:i w:val="1"/>
          <w:iCs w:val="1"/>
          <w:color w:val="auto"/>
        </w:rPr>
        <w:t>Additional factors that could cause actual results to differ materially from those expressed in the forward-looking statements are discussed in the Company's 2023 Annual Report on Form 10-K filed with the SEC and available at the SEC’s Internet site (http://www.sec.gov).</w:t>
      </w:r>
    </w:p>
    <w:p>
      <w:pPr>
        <w:spacing w:after="0" w:line="14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6"/>
          <w:szCs w:val="16"/>
          <w:i w:val="1"/>
          <w:iCs w:val="1"/>
          <w:color w:val="auto"/>
        </w:rPr>
        <w:t>The Company does not undertake, and specifically disclaims any obligation, to update any forward-looking statements to reflect occurrences or unanticipated events or circumstances after the date of such statements, except as required by law. Any statements about future operating results, such as those concerning accretion and dilution to the Company’s earnings or shareholders, are for illustrative purposes only, are not forecasts, and actual results may differ.</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CVB FINANCIAL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(Dollars in thousands, except share amounts)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20"/>
                <w:szCs w:val="20"/>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50"/>
        </w:trPr>
        <w:tc>
          <w:tcPr>
            <w:tcW w:w="78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due from banks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200,651</w:t>
            </w:r>
          </w:p>
        </w:tc>
        <w:tc>
          <w:tcPr>
            <w:tcW w:w="2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8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Interest-earning balances due from Federal Reserve</w:t>
            </w:r>
          </w:p>
        </w:tc>
        <w:tc>
          <w:tcPr>
            <w:tcW w:w="14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252,809</w:t>
            </w: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109,889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8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453,460</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281,285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Interest-earning balances due from depository institutions</w:t>
            </w:r>
          </w:p>
        </w:tc>
        <w:tc>
          <w:tcPr>
            <w:tcW w:w="14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24,338</w:t>
            </w:r>
          </w:p>
        </w:tc>
        <w:tc>
          <w:tcPr>
            <w:tcW w:w="2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 securities available-for-sale, at fair value (with amortized cost of</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$2,818,313 at September 30, 2024, and $3,398,942 at December 31, 2023)</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2,465,585</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2,956,125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7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Investment securities held-to-maturity (with fair value of $2,063,694 at</w:t>
            </w:r>
          </w:p>
        </w:tc>
        <w:tc>
          <w:tcPr>
            <w:tcW w:w="140" w:type="dxa"/>
            <w:vAlign w:val="bottom"/>
            <w:shd w:val="clear" w:color="auto" w:fill="CFF0FC"/>
          </w:tcPr>
          <w:p>
            <w:pPr>
              <w:spacing w:after="0"/>
              <w:rPr>
                <w:sz w:val="18"/>
                <w:szCs w:val="18"/>
                <w:color w:val="auto"/>
              </w:rPr>
            </w:pPr>
          </w:p>
        </w:tc>
        <w:tc>
          <w:tcPr>
            <w:tcW w:w="13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2,405,254</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2,464,610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86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September 30, 2024, and $2,082,881 at December 31, 2023)</w:t>
            </w:r>
          </w:p>
        </w:tc>
        <w:tc>
          <w:tcPr>
            <w:tcW w:w="14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vMerge w:val="continue"/>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8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investment securities</w:t>
            </w: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4,870,839</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5,420,735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Investment in stock of Federal Home Loan Bank (FHLB)</w:t>
            </w:r>
          </w:p>
        </w:tc>
        <w:tc>
          <w:tcPr>
            <w:tcW w:w="14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18,012</w:t>
            </w:r>
          </w:p>
        </w:tc>
        <w:tc>
          <w:tcPr>
            <w:tcW w:w="2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18,012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Loans and lease finance receivables</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8,572,565</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8,904,910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86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4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(82,942 )</w:t>
            </w:r>
          </w:p>
        </w:tc>
        <w:tc>
          <w:tcPr>
            <w:tcW w:w="16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(86,842 )</w:t>
            </w:r>
          </w:p>
        </w:tc>
        <w:tc>
          <w:tcPr>
            <w:tcW w:w="0" w:type="dxa"/>
            <w:vAlign w:val="bottom"/>
          </w:tcPr>
          <w:p>
            <w:pPr>
              <w:spacing w:after="0"/>
              <w:rPr>
                <w:sz w:val="1"/>
                <w:szCs w:val="1"/>
                <w:color w:val="auto"/>
              </w:rPr>
            </w:pPr>
          </w:p>
        </w:tc>
      </w:tr>
      <w:tr>
        <w:trPr>
          <w:trHeight w:val="237"/>
        </w:trPr>
        <w:tc>
          <w:tcPr>
            <w:tcW w:w="7860" w:type="dxa"/>
            <w:vAlign w:val="bottom"/>
            <w:tcBorders>
              <w:top w:val="single" w:sz="8" w:color="CFF0FC"/>
            </w:tcBorders>
          </w:tcPr>
          <w:p>
            <w:pPr>
              <w:ind w:left="740"/>
              <w:spacing w:after="0"/>
              <w:rPr>
                <w:sz w:val="20"/>
                <w:szCs w:val="20"/>
                <w:color w:val="auto"/>
              </w:rPr>
            </w:pPr>
            <w:r>
              <w:rPr>
                <w:rFonts w:ascii="Times New Roman" w:cs="Times New Roman" w:eastAsia="Times New Roman" w:hAnsi="Times New Roman"/>
                <w:sz w:val="18"/>
                <w:szCs w:val="18"/>
                <w:color w:val="auto"/>
              </w:rPr>
              <w:t>Net loans and lease finance receivables</w:t>
            </w:r>
          </w:p>
        </w:tc>
        <w:tc>
          <w:tcPr>
            <w:tcW w:w="14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8,489,623</w:t>
            </w:r>
          </w:p>
        </w:tc>
        <w:tc>
          <w:tcPr>
            <w:tcW w:w="280" w:type="dxa"/>
            <w:vAlign w:val="bottom"/>
            <w:tcBorders>
              <w:top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8,818,068</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Premises and equipment, net</w:t>
            </w:r>
          </w:p>
        </w:tc>
        <w:tc>
          <w:tcPr>
            <w:tcW w:w="14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36,275</w:t>
            </w:r>
          </w:p>
        </w:tc>
        <w:tc>
          <w:tcPr>
            <w:tcW w:w="2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44,709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Bank owned life insurance (BOLI)</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316,553</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308,706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1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45,450</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48,994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Intangibles</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11,130</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765,822</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765,822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taxes</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155,478</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163,968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8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216,236</w:t>
            </w: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127,187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8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15,403,216</w:t>
            </w:r>
          </w:p>
        </w:tc>
        <w:tc>
          <w:tcPr>
            <w:tcW w:w="28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16,020,993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Liabilities:</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8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Deposits:</w:t>
            </w:r>
          </w:p>
        </w:tc>
        <w:tc>
          <w:tcPr>
            <w:tcW w:w="14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8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Noninterest-bearing</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7,136,824</w:t>
            </w:r>
          </w:p>
        </w:tc>
        <w:tc>
          <w:tcPr>
            <w:tcW w:w="2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7,206,175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860" w:type="dxa"/>
            <w:vAlign w:val="bottom"/>
            <w:tcBorders>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Interest-bearing</w:t>
            </w:r>
          </w:p>
        </w:tc>
        <w:tc>
          <w:tcPr>
            <w:tcW w:w="14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4,935,665</w:t>
            </w: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4,227,467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8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Total deposits</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12,072,489</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11,433,642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78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Customer repurchase agreements</w:t>
            </w:r>
          </w:p>
        </w:tc>
        <w:tc>
          <w:tcPr>
            <w:tcW w:w="1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394,515</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271,642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 borrowings</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8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Deferred compensation</w:t>
            </w:r>
          </w:p>
        </w:tc>
        <w:tc>
          <w:tcPr>
            <w:tcW w:w="1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22,633</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22,335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Accrued interest payable</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6,675</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86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Other liabilities</w:t>
            </w:r>
          </w:p>
        </w:tc>
        <w:tc>
          <w:tcPr>
            <w:tcW w:w="14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209,073</w:t>
            </w: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122,134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8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13,205,385</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13,943,021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4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78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Common stock, authorized, 225,000,000 shares without par; issued and</w:t>
            </w: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78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outstanding 139,678,314 at September 30, 2024, and 139,344,981 at December 31, 2023</w:t>
            </w:r>
          </w:p>
        </w:tc>
        <w:tc>
          <w:tcPr>
            <w:tcW w:w="1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1,294,041</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1,288,899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Retained earnings</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1,178,619</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1,112,642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8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Accumulated other comprehensive loss, net of tax</w:t>
            </w:r>
          </w:p>
        </w:tc>
        <w:tc>
          <w:tcPr>
            <w:tcW w:w="14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(274,829 )</w:t>
            </w:r>
          </w:p>
        </w:tc>
        <w:tc>
          <w:tcPr>
            <w:tcW w:w="16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(323,569 )</w:t>
            </w:r>
          </w:p>
        </w:tc>
        <w:tc>
          <w:tcPr>
            <w:tcW w:w="0" w:type="dxa"/>
            <w:vAlign w:val="bottom"/>
          </w:tcPr>
          <w:p>
            <w:pPr>
              <w:spacing w:after="0"/>
              <w:rPr>
                <w:sz w:val="1"/>
                <w:szCs w:val="1"/>
                <w:color w:val="auto"/>
              </w:rPr>
            </w:pPr>
          </w:p>
        </w:tc>
      </w:tr>
      <w:tr>
        <w:trPr>
          <w:trHeight w:val="236"/>
        </w:trPr>
        <w:tc>
          <w:tcPr>
            <w:tcW w:w="7860" w:type="dxa"/>
            <w:vAlign w:val="bottom"/>
            <w:tcBorders>
              <w:top w:val="single" w:sz="8" w:color="CFF0FC"/>
            </w:tcBorders>
          </w:tcPr>
          <w:p>
            <w:pPr>
              <w:ind w:left="66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4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2,197,831</w:t>
            </w:r>
          </w:p>
        </w:tc>
        <w:tc>
          <w:tcPr>
            <w:tcW w:w="280" w:type="dxa"/>
            <w:vAlign w:val="bottom"/>
            <w:tcBorders>
              <w:top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2,077,972</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7860" w:type="dxa"/>
            <w:vAlign w:val="bottom"/>
            <w:tcBorders>
              <w:bottom w:val="single" w:sz="8" w:color="CFF0FC"/>
            </w:tcBorders>
            <w:shd w:val="clear" w:color="auto" w:fill="CFF0FC"/>
          </w:tcPr>
          <w:p>
            <w:pPr>
              <w:ind w:left="9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15,403,216</w:t>
            </w:r>
          </w:p>
        </w:tc>
        <w:tc>
          <w:tcPr>
            <w:tcW w:w="2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16,020,993</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-6419850</wp:posOffset>
            </wp:positionV>
            <wp:extent cx="685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-6419850</wp:posOffset>
            </wp:positionV>
            <wp:extent cx="685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-5520055</wp:posOffset>
            </wp:positionV>
            <wp:extent cx="685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-5520055</wp:posOffset>
            </wp:positionV>
            <wp:extent cx="685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-4885690</wp:posOffset>
            </wp:positionV>
            <wp:extent cx="68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-4885690</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-3634105</wp:posOffset>
            </wp:positionV>
            <wp:extent cx="685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-3634105</wp:posOffset>
            </wp:positionV>
            <wp:extent cx="685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-2519680</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-2519680</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-1585595</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-1585595</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-351155</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-351155</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-24765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-8255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CVB FINANCIAL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EARNINGS AND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(Dollars in thousands, except per share amounts)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40" w:type="dxa"/>
            <w:vAlign w:val="bottom"/>
          </w:tcPr>
          <w:p>
            <w:pPr>
              <w:spacing w:after="0"/>
              <w:rPr>
                <w:sz w:val="18"/>
                <w:szCs w:val="18"/>
                <w:color w:val="auto"/>
              </w:rPr>
            </w:pPr>
          </w:p>
        </w:tc>
        <w:tc>
          <w:tcPr>
            <w:tcW w:w="11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i w:val="1"/>
                <w:iCs w:val="1"/>
                <w:color w:val="auto"/>
              </w:rPr>
              <w:t>(Unaudited)</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1"/>
        </w:trPr>
        <w:tc>
          <w:tcPr>
            <w:tcW w:w="5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00" w:type="dxa"/>
            <w:vAlign w:val="bottom"/>
            <w:gridSpan w:val="5"/>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24"/>
                <w:szCs w:val="24"/>
                <w:color w:val="auto"/>
              </w:rPr>
            </w:pPr>
          </w:p>
        </w:tc>
        <w:tc>
          <w:tcPr>
            <w:tcW w:w="2280" w:type="dxa"/>
            <w:vAlign w:val="bottom"/>
            <w:gridSpan w:val="5"/>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42"/>
        </w:trPr>
        <w:tc>
          <w:tcPr>
            <w:tcW w:w="50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2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0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04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Loans and leases, including fees</w:t>
            </w:r>
          </w:p>
        </w:tc>
        <w:tc>
          <w:tcPr>
            <w:tcW w:w="11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114,929</w:t>
            </w:r>
          </w:p>
        </w:tc>
        <w:tc>
          <w:tcPr>
            <w:tcW w:w="280" w:type="dxa"/>
            <w:vAlign w:val="bottom"/>
          </w:tcPr>
          <w:p>
            <w:pPr>
              <w:spacing w:after="0"/>
              <w:rPr>
                <w:sz w:val="19"/>
                <w:szCs w:val="19"/>
                <w:color w:val="auto"/>
              </w:rPr>
            </w:pP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113,190</w:t>
            </w:r>
          </w:p>
        </w:tc>
        <w:tc>
          <w:tcPr>
            <w:tcW w:w="28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345,478</w:t>
            </w:r>
          </w:p>
        </w:tc>
        <w:tc>
          <w:tcPr>
            <w:tcW w:w="260" w:type="dxa"/>
            <w:vAlign w:val="bottom"/>
          </w:tcPr>
          <w:p>
            <w:pPr>
              <w:spacing w:after="0"/>
              <w:rPr>
                <w:sz w:val="19"/>
                <w:szCs w:val="19"/>
                <w:color w:val="auto"/>
              </w:rPr>
            </w:pP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332,574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Investment securities:</w:t>
            </w:r>
          </w:p>
        </w:tc>
        <w:tc>
          <w:tcPr>
            <w:tcW w:w="9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0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Investment securities available-for-sale</w:t>
            </w: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20,178</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22,441</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62,849</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0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Investment securities held-to-maturity</w:t>
            </w:r>
          </w:p>
        </w:tc>
        <w:tc>
          <w:tcPr>
            <w:tcW w:w="9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13,284</w:t>
            </w:r>
          </w:p>
        </w:tc>
        <w:tc>
          <w:tcPr>
            <w:tcW w:w="2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13,576</w:t>
            </w:r>
          </w:p>
        </w:tc>
        <w:tc>
          <w:tcPr>
            <w:tcW w:w="2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40,131</w:t>
            </w:r>
          </w:p>
        </w:tc>
        <w:tc>
          <w:tcPr>
            <w:tcW w:w="26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41,272</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40" w:type="dxa"/>
            <w:vAlign w:val="bottom"/>
          </w:tcPr>
          <w:p>
            <w:pPr>
              <w:ind w:left="560"/>
              <w:spacing w:after="0"/>
              <w:rPr>
                <w:sz w:val="20"/>
                <w:szCs w:val="20"/>
                <w:color w:val="auto"/>
              </w:rPr>
            </w:pPr>
            <w:r>
              <w:rPr>
                <w:rFonts w:ascii="Times New Roman" w:cs="Times New Roman" w:eastAsia="Times New Roman" w:hAnsi="Times New Roman"/>
                <w:sz w:val="16"/>
                <w:szCs w:val="16"/>
                <w:b w:val="1"/>
                <w:bCs w:val="1"/>
                <w:color w:val="auto"/>
              </w:rPr>
              <w:t>Total investment income</w:t>
            </w:r>
          </w:p>
        </w:tc>
        <w:tc>
          <w:tcPr>
            <w:tcW w:w="9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33,462</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36,017</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102,980</w:t>
            </w:r>
          </w:p>
        </w:tc>
        <w:tc>
          <w:tcPr>
            <w:tcW w:w="2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102,665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Dividends from FHLB stock</w:t>
            </w: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598</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1,171</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Interest-earning deposits with other institutions</w:t>
            </w:r>
          </w:p>
        </w:tc>
        <w:tc>
          <w:tcPr>
            <w:tcW w:w="9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16,986</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6,422</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32,884</w:t>
            </w:r>
          </w:p>
        </w:tc>
        <w:tc>
          <w:tcPr>
            <w:tcW w:w="2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6"/>
                <w:szCs w:val="16"/>
                <w:b w:val="1"/>
                <w:bCs w:val="1"/>
                <w:color w:val="auto"/>
              </w:rPr>
              <w:t>Total interest income</w:t>
            </w:r>
          </w:p>
        </w:tc>
        <w:tc>
          <w:tcPr>
            <w:tcW w:w="9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165,752</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156,227</w:t>
            </w:r>
          </w:p>
        </w:tc>
        <w:tc>
          <w:tcPr>
            <w:tcW w:w="2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482,513</w:t>
            </w:r>
          </w:p>
        </w:tc>
        <w:tc>
          <w:tcPr>
            <w:tcW w:w="2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448,252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Deposits</w:t>
            </w:r>
          </w:p>
        </w:tc>
        <w:tc>
          <w:tcPr>
            <w:tcW w:w="9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29,821</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16,517</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77,166</w:t>
            </w:r>
          </w:p>
        </w:tc>
        <w:tc>
          <w:tcPr>
            <w:tcW w:w="2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32,647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Borrowings and customer repurchase agreements</w:t>
            </w:r>
          </w:p>
        </w:tc>
        <w:tc>
          <w:tcPr>
            <w:tcW w:w="9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22,312</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16,339</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68,418</w:t>
            </w:r>
          </w:p>
        </w:tc>
        <w:tc>
          <w:tcPr>
            <w:tcW w:w="2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46,971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6"/>
                <w:szCs w:val="16"/>
                <w:b w:val="1"/>
                <w:bCs w:val="1"/>
                <w:color w:val="auto"/>
              </w:rPr>
              <w:t>Total interest expense</w:t>
            </w:r>
          </w:p>
        </w:tc>
        <w:tc>
          <w:tcPr>
            <w:tcW w:w="9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52,133</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32,856</w:t>
            </w:r>
          </w:p>
        </w:tc>
        <w:tc>
          <w:tcPr>
            <w:tcW w:w="2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145,584</w:t>
            </w:r>
          </w:p>
        </w:tc>
        <w:tc>
          <w:tcPr>
            <w:tcW w:w="2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79,618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0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interest income before provision for credit losses</w:t>
            </w: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113,619</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123,371</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336,929</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368,634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9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4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Net interest income after provision for credit losses</w:t>
            </w:r>
          </w:p>
        </w:tc>
        <w:tc>
          <w:tcPr>
            <w:tcW w:w="940" w:type="dxa"/>
            <w:vAlign w:val="bottom"/>
            <w:tcBorders>
              <w:top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113,619</w:t>
            </w:r>
          </w:p>
        </w:tc>
        <w:tc>
          <w:tcPr>
            <w:tcW w:w="280" w:type="dxa"/>
            <w:vAlign w:val="bottom"/>
            <w:tcBorders>
              <w:top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121,371</w:t>
            </w:r>
          </w:p>
        </w:tc>
        <w:tc>
          <w:tcPr>
            <w:tcW w:w="280" w:type="dxa"/>
            <w:vAlign w:val="bottom"/>
            <w:tcBorders>
              <w:top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336,929</w:t>
            </w:r>
          </w:p>
        </w:tc>
        <w:tc>
          <w:tcPr>
            <w:tcW w:w="260" w:type="dxa"/>
            <w:vAlign w:val="bottom"/>
            <w:tcBorders>
              <w:top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364,634</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Noninterest income:</w:t>
            </w: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0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Service charges on deposit accounts</w:t>
            </w: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15,273</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Trust and investment services</w:t>
            </w:r>
          </w:p>
        </w:tc>
        <w:tc>
          <w:tcPr>
            <w:tcW w:w="9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3,565</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3,246</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10,217</w:t>
            </w:r>
          </w:p>
        </w:tc>
        <w:tc>
          <w:tcPr>
            <w:tcW w:w="2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9,475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0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Bankcard services</w:t>
            </w: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1,110</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BOLI income</w:t>
            </w:r>
          </w:p>
        </w:tc>
        <w:tc>
          <w:tcPr>
            <w:tcW w:w="9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3,499</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1,548</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10,034</w:t>
            </w:r>
          </w:p>
        </w:tc>
        <w:tc>
          <w:tcPr>
            <w:tcW w:w="2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4,834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0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Loss on sale of investment securities</w:t>
            </w: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(11,582 )</w:t>
            </w:r>
          </w:p>
        </w:tc>
        <w:tc>
          <w:tcPr>
            <w:tcW w:w="36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(11,582 )</w:t>
            </w:r>
          </w:p>
        </w:tc>
        <w:tc>
          <w:tcPr>
            <w:tcW w:w="36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9"/>
        </w:trPr>
        <w:tc>
          <w:tcPr>
            <w:tcW w:w="5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Gain on sale leaseback transactions</w:t>
            </w:r>
          </w:p>
        </w:tc>
        <w:tc>
          <w:tcPr>
            <w:tcW w:w="9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9,106</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9,106</w:t>
            </w:r>
          </w:p>
        </w:tc>
        <w:tc>
          <w:tcPr>
            <w:tcW w:w="2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50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w:t>
            </w:r>
          </w:p>
        </w:tc>
        <w:tc>
          <w:tcPr>
            <w:tcW w:w="9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2,771</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4,099</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7,213</w:t>
            </w:r>
          </w:p>
        </w:tc>
        <w:tc>
          <w:tcPr>
            <w:tcW w:w="2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6"/>
                <w:szCs w:val="16"/>
                <w:b w:val="1"/>
                <w:bCs w:val="1"/>
                <w:color w:val="auto"/>
              </w:rPr>
              <w:t>Total noninterest income</w:t>
            </w:r>
          </w:p>
        </w:tc>
        <w:tc>
          <w:tcPr>
            <w:tcW w:w="9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12,834</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14,309</w:t>
            </w:r>
          </w:p>
        </w:tc>
        <w:tc>
          <w:tcPr>
            <w:tcW w:w="2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41,371</w:t>
            </w:r>
          </w:p>
        </w:tc>
        <w:tc>
          <w:tcPr>
            <w:tcW w:w="2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40,167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Noninterest expense:</w:t>
            </w: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Salaries and employee benefits</w:t>
            </w:r>
          </w:p>
        </w:tc>
        <w:tc>
          <w:tcPr>
            <w:tcW w:w="9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36,647</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34,744</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108,474</w:t>
            </w:r>
          </w:p>
        </w:tc>
        <w:tc>
          <w:tcPr>
            <w:tcW w:w="2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103,539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0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Occupancy and equipment</w:t>
            </w: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6,204</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17,541</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Professional services</w:t>
            </w:r>
          </w:p>
        </w:tc>
        <w:tc>
          <w:tcPr>
            <w:tcW w:w="9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2,855</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2,117</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7,836</w:t>
            </w:r>
          </w:p>
        </w:tc>
        <w:tc>
          <w:tcPr>
            <w:tcW w:w="2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6,375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0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Computer software expense</w:t>
            </w: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3,906</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11,380</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Marketing and promotion</w:t>
            </w:r>
          </w:p>
        </w:tc>
        <w:tc>
          <w:tcPr>
            <w:tcW w:w="9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1,964</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1,628</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5,550</w:t>
            </w:r>
          </w:p>
        </w:tc>
        <w:tc>
          <w:tcPr>
            <w:tcW w:w="2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4,664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0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(Recapture of) provision for unfunded loan commitments</w:t>
            </w: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(750 )</w:t>
            </w:r>
          </w:p>
        </w:tc>
        <w:tc>
          <w:tcPr>
            <w:tcW w:w="36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(900 )</w:t>
            </w:r>
          </w:p>
        </w:tc>
        <w:tc>
          <w:tcPr>
            <w:tcW w:w="2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(1,250 )</w:t>
            </w:r>
          </w:p>
        </w:tc>
        <w:tc>
          <w:tcPr>
            <w:tcW w:w="36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9"/>
        </w:trPr>
        <w:tc>
          <w:tcPr>
            <w:tcW w:w="5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9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1,286</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1,567</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4,161</w:t>
            </w:r>
          </w:p>
        </w:tc>
        <w:tc>
          <w:tcPr>
            <w:tcW w:w="2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w:t>
            </w:r>
          </w:p>
        </w:tc>
        <w:tc>
          <w:tcPr>
            <w:tcW w:w="9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6,723</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6,636</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21,411</w:t>
            </w:r>
          </w:p>
        </w:tc>
        <w:tc>
          <w:tcPr>
            <w:tcW w:w="2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6"/>
                <w:szCs w:val="16"/>
                <w:b w:val="1"/>
                <w:bCs w:val="1"/>
                <w:color w:val="auto"/>
              </w:rPr>
              <w:t>Total noninterest expense</w:t>
            </w:r>
          </w:p>
        </w:tc>
        <w:tc>
          <w:tcPr>
            <w:tcW w:w="9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58,835</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55,058</w:t>
            </w:r>
          </w:p>
        </w:tc>
        <w:tc>
          <w:tcPr>
            <w:tcW w:w="2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175,103</w:t>
            </w:r>
          </w:p>
        </w:tc>
        <w:tc>
          <w:tcPr>
            <w:tcW w:w="2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163,956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before income taxes</w:t>
            </w: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67,618</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80,622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203,197</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240,845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Income taxes</w:t>
            </w:r>
          </w:p>
        </w:tc>
        <w:tc>
          <w:tcPr>
            <w:tcW w:w="9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16,394</w:t>
            </w:r>
          </w:p>
        </w:tc>
        <w:tc>
          <w:tcPr>
            <w:tcW w:w="2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22,735</w:t>
            </w:r>
          </w:p>
        </w:tc>
        <w:tc>
          <w:tcPr>
            <w:tcW w:w="2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53,339</w:t>
            </w:r>
          </w:p>
        </w:tc>
        <w:tc>
          <w:tcPr>
            <w:tcW w:w="26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67,918</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4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Net earnings</w:t>
            </w:r>
          </w:p>
        </w:tc>
        <w:tc>
          <w:tcPr>
            <w:tcW w:w="11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51,224</w:t>
            </w:r>
          </w:p>
        </w:tc>
        <w:tc>
          <w:tcPr>
            <w:tcW w:w="280" w:type="dxa"/>
            <w:vAlign w:val="bottom"/>
          </w:tcPr>
          <w:p>
            <w:pPr>
              <w:spacing w:after="0"/>
              <w:rPr>
                <w:sz w:val="19"/>
                <w:szCs w:val="19"/>
                <w:color w:val="auto"/>
              </w:rPr>
            </w:pP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57,887</w:t>
            </w:r>
          </w:p>
        </w:tc>
        <w:tc>
          <w:tcPr>
            <w:tcW w:w="28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149,858</w:t>
            </w:r>
          </w:p>
        </w:tc>
        <w:tc>
          <w:tcPr>
            <w:tcW w:w="260" w:type="dxa"/>
            <w:vAlign w:val="bottom"/>
          </w:tcPr>
          <w:p>
            <w:pPr>
              <w:spacing w:after="0"/>
              <w:rPr>
                <w:sz w:val="19"/>
                <w:szCs w:val="19"/>
                <w:color w:val="auto"/>
              </w:rPr>
            </w:pP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172,927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0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Unrealized gain (loss) on securities arising during the period, before tax</w:t>
            </w:r>
          </w:p>
        </w:tc>
        <w:tc>
          <w:tcPr>
            <w:tcW w:w="11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84,789</w:t>
            </w:r>
          </w:p>
        </w:tc>
        <w:tc>
          <w:tcPr>
            <w:tcW w:w="280" w:type="dxa"/>
            <w:vAlign w:val="bottom"/>
          </w:tcPr>
          <w:p>
            <w:pPr>
              <w:spacing w:after="0"/>
              <w:rPr>
                <w:sz w:val="19"/>
                <w:szCs w:val="19"/>
                <w:color w:val="auto"/>
              </w:rPr>
            </w:pP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(120,125 )</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69,229</w:t>
            </w:r>
          </w:p>
        </w:tc>
        <w:tc>
          <w:tcPr>
            <w:tcW w:w="260" w:type="dxa"/>
            <w:vAlign w:val="bottom"/>
          </w:tcPr>
          <w:p>
            <w:pPr>
              <w:spacing w:after="0"/>
              <w:rPr>
                <w:sz w:val="19"/>
                <w:szCs w:val="19"/>
                <w:color w:val="auto"/>
              </w:rPr>
            </w:pP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(102,758 )</w:t>
            </w:r>
          </w:p>
        </w:tc>
        <w:tc>
          <w:tcPr>
            <w:tcW w:w="0" w:type="dxa"/>
            <w:vAlign w:val="bottom"/>
          </w:tcPr>
          <w:p>
            <w:pPr>
              <w:spacing w:after="0"/>
              <w:rPr>
                <w:sz w:val="1"/>
                <w:szCs w:val="1"/>
                <w:color w:val="auto"/>
              </w:rPr>
            </w:pPr>
          </w:p>
        </w:tc>
      </w:tr>
      <w:tr>
        <w:trPr>
          <w:trHeight w:val="212"/>
        </w:trPr>
        <w:tc>
          <w:tcPr>
            <w:tcW w:w="50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Less: Income tax (expense) benefit related to items of other</w:t>
            </w: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(25,290 )</w:t>
            </w:r>
          </w:p>
        </w:tc>
        <w:tc>
          <w:tcPr>
            <w:tcW w:w="360" w:type="dxa"/>
            <w:vAlign w:val="bottom"/>
            <w:shd w:val="clear" w:color="auto" w:fill="CFF0FC"/>
          </w:tcPr>
          <w:p>
            <w:pPr>
              <w:spacing w:after="0"/>
              <w:rPr>
                <w:sz w:val="18"/>
                <w:szCs w:val="18"/>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37,863</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(20,489 )</w:t>
            </w:r>
          </w:p>
        </w:tc>
        <w:tc>
          <w:tcPr>
            <w:tcW w:w="360" w:type="dxa"/>
            <w:vAlign w:val="bottom"/>
            <w:shd w:val="clear" w:color="auto" w:fill="CFF0FC"/>
          </w:tcPr>
          <w:p>
            <w:pPr>
              <w:spacing w:after="0"/>
              <w:rPr>
                <w:sz w:val="18"/>
                <w:szCs w:val="18"/>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30,416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comprehensive income</w:t>
            </w: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gridSpan w:val="2"/>
            <w:vMerge w:val="continue"/>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20" w:type="dxa"/>
            <w:vAlign w:val="bottom"/>
            <w:vMerge w:val="continue"/>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gridSpan w:val="2"/>
            <w:vMerge w:val="continue"/>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2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0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59,499</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(82,262 )</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48,740</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(72,342 )</w:t>
            </w:r>
          </w:p>
        </w:tc>
        <w:tc>
          <w:tcPr>
            <w:tcW w:w="0" w:type="dxa"/>
            <w:vAlign w:val="bottom"/>
          </w:tcPr>
          <w:p>
            <w:pPr>
              <w:spacing w:after="0"/>
              <w:rPr>
                <w:sz w:val="1"/>
                <w:szCs w:val="1"/>
                <w:color w:val="auto"/>
              </w:rPr>
            </w:pPr>
          </w:p>
        </w:tc>
      </w:tr>
      <w:tr>
        <w:trPr>
          <w:trHeight w:val="23"/>
        </w:trPr>
        <w:tc>
          <w:tcPr>
            <w:tcW w:w="50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94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110,723</w:t>
            </w:r>
          </w:p>
        </w:tc>
        <w:tc>
          <w:tcPr>
            <w:tcW w:w="280" w:type="dxa"/>
            <w:vAlign w:val="bottom"/>
            <w:shd w:val="clear" w:color="auto" w:fill="CFF0FC"/>
          </w:tcPr>
          <w:p>
            <w:pPr>
              <w:spacing w:after="0"/>
              <w:rPr>
                <w:sz w:val="22"/>
                <w:szCs w:val="22"/>
                <w:color w:val="auto"/>
              </w:rPr>
            </w:pPr>
          </w:p>
        </w:tc>
        <w:tc>
          <w:tcPr>
            <w:tcW w:w="36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(24,375 )</w:t>
            </w: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198,598</w:t>
            </w:r>
          </w:p>
        </w:tc>
        <w:tc>
          <w:tcPr>
            <w:tcW w:w="260" w:type="dxa"/>
            <w:vAlign w:val="bottom"/>
            <w:shd w:val="clear" w:color="auto" w:fill="CFF0FC"/>
          </w:tcPr>
          <w:p>
            <w:pPr>
              <w:spacing w:after="0"/>
              <w:rPr>
                <w:sz w:val="22"/>
                <w:szCs w:val="22"/>
                <w:color w:val="auto"/>
              </w:rPr>
            </w:pPr>
          </w:p>
        </w:tc>
        <w:tc>
          <w:tcPr>
            <w:tcW w:w="36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100,585</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436"/>
        </w:trPr>
        <w:tc>
          <w:tcPr>
            <w:tcW w:w="5040" w:type="dxa"/>
            <w:vAlign w:val="bottom"/>
            <w:tcBorders>
              <w:top w:val="single" w:sz="8" w:color="CFF0FC"/>
            </w:tcBorders>
          </w:tcPr>
          <w:p>
            <w:pPr>
              <w:ind w:left="60"/>
              <w:spacing w:after="0"/>
              <w:rPr>
                <w:sz w:val="20"/>
                <w:szCs w:val="20"/>
                <w:color w:val="auto"/>
              </w:rPr>
            </w:pPr>
            <w:r>
              <w:rPr>
                <w:rFonts w:ascii="Times New Roman" w:cs="Times New Roman" w:eastAsia="Times New Roman" w:hAnsi="Times New Roman"/>
                <w:sz w:val="16"/>
                <w:szCs w:val="16"/>
                <w:color w:val="auto"/>
              </w:rPr>
              <w:t>Basic earnings per common share</w:t>
            </w:r>
          </w:p>
        </w:tc>
        <w:tc>
          <w:tcPr>
            <w:tcW w:w="94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0.37</w:t>
            </w:r>
          </w:p>
        </w:tc>
        <w:tc>
          <w:tcPr>
            <w:tcW w:w="280" w:type="dxa"/>
            <w:vAlign w:val="bottom"/>
            <w:tcBorders>
              <w:top w:val="single" w:sz="8" w:color="CFF0FC"/>
            </w:tcBorders>
          </w:tcPr>
          <w:p>
            <w:pPr>
              <w:spacing w:after="0"/>
              <w:rPr>
                <w:sz w:val="24"/>
                <w:szCs w:val="24"/>
                <w:color w:val="auto"/>
              </w:rPr>
            </w:pPr>
          </w:p>
        </w:tc>
        <w:tc>
          <w:tcPr>
            <w:tcW w:w="36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0.42</w:t>
            </w:r>
          </w:p>
        </w:tc>
        <w:tc>
          <w:tcPr>
            <w:tcW w:w="28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260" w:type="dxa"/>
            <w:vAlign w:val="bottom"/>
            <w:tcBorders>
              <w:top w:val="single" w:sz="8" w:color="CFF0FC"/>
            </w:tcBorders>
          </w:tcPr>
          <w:p>
            <w:pPr>
              <w:spacing w:after="0"/>
              <w:rPr>
                <w:sz w:val="24"/>
                <w:szCs w:val="24"/>
                <w:color w:val="auto"/>
              </w:rPr>
            </w:pPr>
          </w:p>
        </w:tc>
        <w:tc>
          <w:tcPr>
            <w:tcW w:w="36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50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Diluted earnings per common share</w:t>
            </w:r>
          </w:p>
        </w:tc>
        <w:tc>
          <w:tcPr>
            <w:tcW w:w="118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0.37</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0.42</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26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-6419850</wp:posOffset>
            </wp:positionV>
            <wp:extent cx="774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-6419850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-6419850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-6419850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-5811520</wp:posOffset>
            </wp:positionV>
            <wp:extent cx="774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-5811520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-5811520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-5811520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-5211445</wp:posOffset>
            </wp:positionV>
            <wp:extent cx="774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-5211445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-5211445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-5211445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-4911090</wp:posOffset>
            </wp:positionV>
            <wp:extent cx="774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-4911090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-4911090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-4911090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-3428365</wp:posOffset>
            </wp:positionV>
            <wp:extent cx="774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-3428365</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-3428365</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-3428365</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-1953895</wp:posOffset>
            </wp:positionV>
            <wp:extent cx="774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-1953895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-1953895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-1953895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-1653540</wp:posOffset>
            </wp:positionV>
            <wp:extent cx="774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-1653540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-1653540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-1653540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-770890</wp:posOffset>
            </wp:positionV>
            <wp:extent cx="774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-770890</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-770890</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-770890</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-462280</wp:posOffset>
            </wp:positionV>
            <wp:extent cx="7747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-445135</wp:posOffset>
            </wp:positionV>
            <wp:extent cx="774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-462280</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-445135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-462280</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-445135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-462280</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-445135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CVB FINANCIAL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i w:val="1"/>
          <w:iCs w:val="1"/>
          <w:color w:val="auto"/>
        </w:rPr>
        <w:t>(Dollars and shares in thousands)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2024 and 2023</w:t>
      </w:r>
    </w:p>
    <w:p>
      <w:pPr>
        <w:spacing w:after="0" w:line="224"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39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13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vMerge w:val="restart"/>
          </w:tcPr>
          <w:p>
            <w:pPr>
              <w:spacing w:after="0"/>
              <w:rPr>
                <w:sz w:val="12"/>
                <w:szCs w:val="12"/>
                <w:color w:val="auto"/>
              </w:rPr>
            </w:pP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Retained Earnings</w:t>
            </w:r>
          </w:p>
        </w:tc>
        <w:tc>
          <w:tcPr>
            <w:tcW w:w="26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60" w:type="dxa"/>
            <w:vAlign w:val="bottom"/>
          </w:tcPr>
          <w:p>
            <w:pPr>
              <w:spacing w:after="0"/>
              <w:rPr>
                <w:sz w:val="12"/>
                <w:szCs w:val="12"/>
                <w:color w:val="auto"/>
              </w:rPr>
            </w:pPr>
          </w:p>
        </w:tc>
        <w:tc>
          <w:tcPr>
            <w:tcW w:w="980" w:type="dxa"/>
            <w:vAlign w:val="bottom"/>
            <w:vMerge w:val="restart"/>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920" w:type="dxa"/>
            <w:vAlign w:val="bottom"/>
          </w:tcPr>
          <w:p>
            <w:pPr>
              <w:spacing w:after="0"/>
              <w:rPr>
                <w:sz w:val="16"/>
                <w:szCs w:val="16"/>
                <w:color w:val="auto"/>
              </w:rPr>
            </w:pPr>
          </w:p>
        </w:tc>
        <w:tc>
          <w:tcPr>
            <w:tcW w:w="10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Balance, July 1, 2024</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139,677</w:t>
            </w: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1,291,383</w:t>
            </w:r>
          </w:p>
        </w:tc>
        <w:tc>
          <w:tcPr>
            <w:tcW w:w="260" w:type="dxa"/>
            <w:vAlign w:val="bottom"/>
            <w:shd w:val="clear" w:color="auto" w:fill="CFF0FC"/>
          </w:tcPr>
          <w:p>
            <w:pPr>
              <w:spacing w:after="0"/>
              <w:rPr>
                <w:sz w:val="14"/>
                <w:szCs w:val="14"/>
                <w:color w:val="auto"/>
              </w:rPr>
            </w:pPr>
          </w:p>
        </w:tc>
        <w:tc>
          <w:tcPr>
            <w:tcW w:w="360" w:type="dxa"/>
            <w:vAlign w:val="bottom"/>
            <w:shd w:val="clear" w:color="auto" w:fill="CFF0FC"/>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1,155,372</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(334,328 )</w:t>
            </w:r>
          </w:p>
        </w:tc>
        <w:tc>
          <w:tcPr>
            <w:tcW w:w="26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2,112,427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9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(2 )</w:t>
            </w:r>
          </w:p>
        </w:tc>
        <w:tc>
          <w:tcPr>
            <w:tcW w:w="120" w:type="dxa"/>
            <w:vAlign w:val="bottom"/>
          </w:tcPr>
          <w:p>
            <w:pPr>
              <w:spacing w:after="0"/>
              <w:rPr>
                <w:sz w:val="15"/>
                <w:szCs w:val="15"/>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(30 )</w:t>
            </w:r>
          </w:p>
        </w:tc>
        <w:tc>
          <w:tcPr>
            <w:tcW w:w="360" w:type="dxa"/>
            <w:vAlign w:val="bottom"/>
          </w:tcPr>
          <w:p>
            <w:pPr>
              <w:spacing w:after="0"/>
              <w:rPr>
                <w:sz w:val="15"/>
                <w:szCs w:val="15"/>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(30 )</w:t>
            </w:r>
          </w:p>
        </w:tc>
        <w:tc>
          <w:tcPr>
            <w:tcW w:w="0" w:type="dxa"/>
            <w:vAlign w:val="bottom"/>
          </w:tcPr>
          <w:p>
            <w:pPr>
              <w:spacing w:after="0"/>
              <w:rPr>
                <w:sz w:val="1"/>
                <w:szCs w:val="1"/>
                <w:color w:val="auto"/>
              </w:rPr>
            </w:pPr>
          </w:p>
        </w:tc>
      </w:tr>
      <w:tr>
        <w:trPr>
          <w:trHeight w:val="176"/>
        </w:trPr>
        <w:tc>
          <w:tcPr>
            <w:tcW w:w="39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3920" w:type="dxa"/>
            <w:vAlign w:val="bottom"/>
          </w:tcPr>
          <w:p>
            <w:pPr>
              <w:ind w:left="280"/>
              <w:spacing w:after="0" w:line="139" w:lineRule="exact"/>
              <w:rPr>
                <w:sz w:val="20"/>
                <w:szCs w:val="20"/>
                <w:color w:val="auto"/>
              </w:rPr>
            </w:pPr>
            <w:r>
              <w:rPr>
                <w:rFonts w:ascii="Times New Roman" w:cs="Times New Roman" w:eastAsia="Times New Roman" w:hAnsi="Times New Roman"/>
                <w:sz w:val="14"/>
                <w:szCs w:val="14"/>
                <w:color w:val="auto"/>
              </w:rPr>
              <w:t>Shares issued pursuant to stock-based</w:t>
            </w:r>
          </w:p>
        </w:tc>
        <w:tc>
          <w:tcPr>
            <w:tcW w:w="13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(1 )</w:t>
            </w:r>
          </w:p>
        </w:tc>
        <w:tc>
          <w:tcPr>
            <w:tcW w:w="12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2,602</w:t>
            </w: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2,602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9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compensation plan</w:t>
            </w:r>
          </w:p>
        </w:tc>
        <w:tc>
          <w:tcPr>
            <w:tcW w:w="13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920" w:type="dxa"/>
            <w:vAlign w:val="bottom"/>
            <w:shd w:val="clear" w:color="auto" w:fill="CFF0FC"/>
          </w:tcPr>
          <w:p>
            <w:pPr>
              <w:ind w:left="280"/>
              <w:spacing w:after="0" w:line="139" w:lineRule="exact"/>
              <w:rPr>
                <w:sz w:val="20"/>
                <w:szCs w:val="20"/>
                <w:color w:val="auto"/>
              </w:rPr>
            </w:pPr>
            <w:r>
              <w:rPr>
                <w:rFonts w:ascii="Times New Roman" w:cs="Times New Roman" w:eastAsia="Times New Roman" w:hAnsi="Times New Roman"/>
                <w:sz w:val="14"/>
                <w:szCs w:val="14"/>
                <w:color w:val="auto"/>
              </w:rPr>
              <w:t>Cash dividends declared on common stock</w:t>
            </w:r>
          </w:p>
        </w:tc>
        <w:tc>
          <w:tcPr>
            <w:tcW w:w="1340" w:type="dxa"/>
            <w:vAlign w:val="bottom"/>
            <w:gridSpan w:val="2"/>
            <w:vMerge w:val="restart"/>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380" w:type="dxa"/>
            <w:vAlign w:val="bottom"/>
            <w:gridSpan w:val="2"/>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FF0FC"/>
          </w:tcPr>
          <w:p>
            <w:pPr>
              <w:spacing w:after="0"/>
              <w:rPr>
                <w:sz w:val="12"/>
                <w:szCs w:val="12"/>
                <w:color w:val="auto"/>
              </w:rPr>
            </w:pPr>
          </w:p>
        </w:tc>
        <w:tc>
          <w:tcPr>
            <w:tcW w:w="114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(27,977 )</w:t>
            </w:r>
          </w:p>
        </w:tc>
        <w:tc>
          <w:tcPr>
            <w:tcW w:w="100" w:type="dxa"/>
            <w:vAlign w:val="bottom"/>
            <w:shd w:val="clear" w:color="auto" w:fill="CFF0FC"/>
          </w:tcPr>
          <w:p>
            <w:pPr>
              <w:spacing w:after="0"/>
              <w:rPr>
                <w:sz w:val="12"/>
                <w:szCs w:val="12"/>
                <w:color w:val="auto"/>
              </w:rPr>
            </w:pPr>
          </w:p>
        </w:tc>
        <w:tc>
          <w:tcPr>
            <w:tcW w:w="1400" w:type="dxa"/>
            <w:vAlign w:val="bottom"/>
            <w:gridSpan w:val="2"/>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10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(27,977 )</w:t>
            </w:r>
          </w:p>
        </w:tc>
        <w:tc>
          <w:tcPr>
            <w:tcW w:w="0" w:type="dxa"/>
            <w:vAlign w:val="bottom"/>
          </w:tcPr>
          <w:p>
            <w:pPr>
              <w:spacing w:after="0"/>
              <w:rPr>
                <w:sz w:val="1"/>
                <w:szCs w:val="1"/>
                <w:color w:val="auto"/>
              </w:rPr>
            </w:pPr>
          </w:p>
        </w:tc>
      </w:tr>
      <w:tr>
        <w:trPr>
          <w:trHeight w:val="185"/>
        </w:trPr>
        <w:tc>
          <w:tcPr>
            <w:tcW w:w="39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($0.20 per share)</w:t>
            </w:r>
          </w:p>
        </w:tc>
        <w:tc>
          <w:tcPr>
            <w:tcW w:w="134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80" w:type="dxa"/>
            <w:vAlign w:val="bottom"/>
            <w:gridSpan w:val="2"/>
            <w:vMerge w:val="continue"/>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14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0" w:type="dxa"/>
            <w:vAlign w:val="bottom"/>
            <w:gridSpan w:val="2"/>
            <w:vMerge w:val="continue"/>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8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9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earnings</w:t>
            </w: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51,224</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2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59,499</w:t>
            </w:r>
          </w:p>
        </w:tc>
        <w:tc>
          <w:tcPr>
            <w:tcW w:w="26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59,499</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92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September 30, 2024</w:t>
            </w:r>
          </w:p>
        </w:tc>
        <w:tc>
          <w:tcPr>
            <w:tcW w:w="10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139,678</w:t>
            </w:r>
          </w:p>
        </w:tc>
        <w:tc>
          <w:tcPr>
            <w:tcW w:w="280" w:type="dxa"/>
            <w:vAlign w:val="bottom"/>
          </w:tcPr>
          <w:p>
            <w:pPr>
              <w:spacing w:after="0"/>
              <w:rPr>
                <w:sz w:val="14"/>
                <w:szCs w:val="14"/>
                <w:color w:val="auto"/>
              </w:rPr>
            </w:pPr>
          </w:p>
        </w:tc>
        <w:tc>
          <w:tcPr>
            <w:tcW w:w="1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1,294,041</w:t>
            </w:r>
          </w:p>
        </w:tc>
        <w:tc>
          <w:tcPr>
            <w:tcW w:w="260" w:type="dxa"/>
            <w:vAlign w:val="bottom"/>
          </w:tcPr>
          <w:p>
            <w:pPr>
              <w:spacing w:after="0"/>
              <w:rPr>
                <w:sz w:val="14"/>
                <w:szCs w:val="14"/>
                <w:color w:val="auto"/>
              </w:rPr>
            </w:pPr>
          </w:p>
        </w:tc>
        <w:tc>
          <w:tcPr>
            <w:tcW w:w="360" w:type="dxa"/>
            <w:vAlign w:val="bottom"/>
          </w:tcPr>
          <w:p>
            <w:pPr>
              <w:jc w:val="right"/>
              <w:ind w:right="2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1,178,619</w:t>
            </w:r>
          </w:p>
        </w:tc>
        <w:tc>
          <w:tcPr>
            <w:tcW w:w="260" w:type="dxa"/>
            <w:vAlign w:val="bottom"/>
          </w:tcPr>
          <w:p>
            <w:pPr>
              <w:spacing w:after="0"/>
              <w:rPr>
                <w:sz w:val="14"/>
                <w:szCs w:val="14"/>
                <w:color w:val="auto"/>
              </w:rPr>
            </w:pPr>
          </w:p>
        </w:tc>
        <w:tc>
          <w:tcPr>
            <w:tcW w:w="1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gridSpan w:val="2"/>
          </w:tcPr>
          <w:p>
            <w:pPr>
              <w:jc w:val="right"/>
              <w:ind w:right="200"/>
              <w:spacing w:after="0" w:line="155" w:lineRule="exact"/>
              <w:rPr>
                <w:sz w:val="20"/>
                <w:szCs w:val="20"/>
                <w:color w:val="auto"/>
              </w:rPr>
            </w:pPr>
            <w:r>
              <w:rPr>
                <w:rFonts w:ascii="Times New Roman" w:cs="Times New Roman" w:eastAsia="Times New Roman" w:hAnsi="Times New Roman"/>
                <w:sz w:val="14"/>
                <w:szCs w:val="14"/>
                <w:color w:val="auto"/>
              </w:rPr>
              <w:t>(274,829 )</w:t>
            </w:r>
          </w:p>
        </w:tc>
        <w:tc>
          <w:tcPr>
            <w:tcW w:w="260" w:type="dxa"/>
            <w:vAlign w:val="bottom"/>
          </w:tcPr>
          <w:p>
            <w:pPr>
              <w:jc w:val="right"/>
              <w:ind w:right="1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2,197,831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9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Balance, July 1, 2023</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139,343</w:t>
            </w: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1,284,150</w:t>
            </w: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1,062,093</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(344,876 )</w:t>
            </w:r>
          </w:p>
        </w:tc>
        <w:tc>
          <w:tcPr>
            <w:tcW w:w="26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2,001,367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(8 )</w:t>
            </w:r>
          </w:p>
        </w:tc>
        <w:tc>
          <w:tcPr>
            <w:tcW w:w="120" w:type="dxa"/>
            <w:vAlign w:val="bottom"/>
          </w:tcPr>
          <w:p>
            <w:pPr>
              <w:spacing w:after="0"/>
              <w:rPr>
                <w:sz w:val="15"/>
                <w:szCs w:val="15"/>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(135 )</w:t>
            </w:r>
          </w:p>
        </w:tc>
        <w:tc>
          <w:tcPr>
            <w:tcW w:w="360" w:type="dxa"/>
            <w:vAlign w:val="bottom"/>
          </w:tcPr>
          <w:p>
            <w:pPr>
              <w:spacing w:after="0"/>
              <w:rPr>
                <w:sz w:val="15"/>
                <w:szCs w:val="15"/>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(135 )</w:t>
            </w:r>
          </w:p>
        </w:tc>
        <w:tc>
          <w:tcPr>
            <w:tcW w:w="0" w:type="dxa"/>
            <w:vAlign w:val="bottom"/>
          </w:tcPr>
          <w:p>
            <w:pPr>
              <w:spacing w:after="0"/>
              <w:rPr>
                <w:sz w:val="1"/>
                <w:szCs w:val="1"/>
                <w:color w:val="auto"/>
              </w:rPr>
            </w:pPr>
          </w:p>
        </w:tc>
      </w:tr>
      <w:tr>
        <w:trPr>
          <w:trHeight w:val="175"/>
        </w:trPr>
        <w:tc>
          <w:tcPr>
            <w:tcW w:w="39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3920" w:type="dxa"/>
            <w:vAlign w:val="bottom"/>
          </w:tcPr>
          <w:p>
            <w:pPr>
              <w:ind w:left="280"/>
              <w:spacing w:after="0" w:line="139" w:lineRule="exact"/>
              <w:rPr>
                <w:sz w:val="20"/>
                <w:szCs w:val="20"/>
                <w:color w:val="auto"/>
              </w:rPr>
            </w:pPr>
            <w:r>
              <w:rPr>
                <w:rFonts w:ascii="Times New Roman" w:cs="Times New Roman" w:eastAsia="Times New Roman" w:hAnsi="Times New Roman"/>
                <w:sz w:val="14"/>
                <w:szCs w:val="14"/>
                <w:color w:val="auto"/>
              </w:rPr>
              <w:t>Shares issued pursuant to stock-based</w:t>
            </w:r>
          </w:p>
        </w:tc>
        <w:tc>
          <w:tcPr>
            <w:tcW w:w="13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2,393</w:t>
            </w: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2,393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9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compensation plan</w:t>
            </w:r>
          </w:p>
        </w:tc>
        <w:tc>
          <w:tcPr>
            <w:tcW w:w="13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920" w:type="dxa"/>
            <w:vAlign w:val="bottom"/>
            <w:shd w:val="clear" w:color="auto" w:fill="CFF0FC"/>
          </w:tcPr>
          <w:p>
            <w:pPr>
              <w:ind w:left="280"/>
              <w:spacing w:after="0" w:line="139" w:lineRule="exact"/>
              <w:rPr>
                <w:sz w:val="20"/>
                <w:szCs w:val="20"/>
                <w:color w:val="auto"/>
              </w:rPr>
            </w:pPr>
            <w:r>
              <w:rPr>
                <w:rFonts w:ascii="Times New Roman" w:cs="Times New Roman" w:eastAsia="Times New Roman" w:hAnsi="Times New Roman"/>
                <w:sz w:val="14"/>
                <w:szCs w:val="14"/>
                <w:color w:val="auto"/>
              </w:rPr>
              <w:t>Cash dividends declared on common stock</w:t>
            </w:r>
          </w:p>
        </w:tc>
        <w:tc>
          <w:tcPr>
            <w:tcW w:w="1340" w:type="dxa"/>
            <w:vAlign w:val="bottom"/>
            <w:gridSpan w:val="2"/>
            <w:vMerge w:val="restart"/>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380" w:type="dxa"/>
            <w:vAlign w:val="bottom"/>
            <w:gridSpan w:val="2"/>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FF0FC"/>
          </w:tcPr>
          <w:p>
            <w:pPr>
              <w:spacing w:after="0"/>
              <w:rPr>
                <w:sz w:val="12"/>
                <w:szCs w:val="12"/>
                <w:color w:val="auto"/>
              </w:rPr>
            </w:pPr>
          </w:p>
        </w:tc>
        <w:tc>
          <w:tcPr>
            <w:tcW w:w="114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(27,901 )</w:t>
            </w:r>
          </w:p>
        </w:tc>
        <w:tc>
          <w:tcPr>
            <w:tcW w:w="100" w:type="dxa"/>
            <w:vAlign w:val="bottom"/>
            <w:shd w:val="clear" w:color="auto" w:fill="CFF0FC"/>
          </w:tcPr>
          <w:p>
            <w:pPr>
              <w:spacing w:after="0"/>
              <w:rPr>
                <w:sz w:val="12"/>
                <w:szCs w:val="12"/>
                <w:color w:val="auto"/>
              </w:rPr>
            </w:pPr>
          </w:p>
        </w:tc>
        <w:tc>
          <w:tcPr>
            <w:tcW w:w="1400" w:type="dxa"/>
            <w:vAlign w:val="bottom"/>
            <w:gridSpan w:val="2"/>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10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(27,901 )</w:t>
            </w:r>
          </w:p>
        </w:tc>
        <w:tc>
          <w:tcPr>
            <w:tcW w:w="0" w:type="dxa"/>
            <w:vAlign w:val="bottom"/>
          </w:tcPr>
          <w:p>
            <w:pPr>
              <w:spacing w:after="0"/>
              <w:rPr>
                <w:sz w:val="1"/>
                <w:szCs w:val="1"/>
                <w:color w:val="auto"/>
              </w:rPr>
            </w:pPr>
          </w:p>
        </w:tc>
      </w:tr>
      <w:tr>
        <w:trPr>
          <w:trHeight w:val="185"/>
        </w:trPr>
        <w:tc>
          <w:tcPr>
            <w:tcW w:w="39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($0.20 per share)</w:t>
            </w:r>
          </w:p>
        </w:tc>
        <w:tc>
          <w:tcPr>
            <w:tcW w:w="134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80" w:type="dxa"/>
            <w:vAlign w:val="bottom"/>
            <w:gridSpan w:val="2"/>
            <w:vMerge w:val="continue"/>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14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0" w:type="dxa"/>
            <w:vAlign w:val="bottom"/>
            <w:gridSpan w:val="2"/>
            <w:vMerge w:val="continue"/>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8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9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earnings</w:t>
            </w: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57,887</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57,887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(82,262 )</w:t>
            </w:r>
          </w:p>
        </w:tc>
        <w:tc>
          <w:tcPr>
            <w:tcW w:w="26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(82,262 )</w:t>
            </w:r>
          </w:p>
        </w:tc>
        <w:tc>
          <w:tcPr>
            <w:tcW w:w="0" w:type="dxa"/>
            <w:vAlign w:val="bottom"/>
          </w:tcPr>
          <w:p>
            <w:pPr>
              <w:spacing w:after="0"/>
              <w:rPr>
                <w:sz w:val="1"/>
                <w:szCs w:val="1"/>
                <w:color w:val="auto"/>
              </w:rPr>
            </w:pPr>
          </w:p>
        </w:tc>
      </w:tr>
      <w:tr>
        <w:trPr>
          <w:trHeight w:val="20"/>
        </w:trPr>
        <w:tc>
          <w:tcPr>
            <w:tcW w:w="392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92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September 30, 2023</w:t>
            </w:r>
          </w:p>
        </w:tc>
        <w:tc>
          <w:tcPr>
            <w:tcW w:w="10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139,338</w:t>
            </w:r>
          </w:p>
        </w:tc>
        <w:tc>
          <w:tcPr>
            <w:tcW w:w="280" w:type="dxa"/>
            <w:vAlign w:val="bottom"/>
          </w:tcPr>
          <w:p>
            <w:pPr>
              <w:spacing w:after="0"/>
              <w:rPr>
                <w:sz w:val="14"/>
                <w:szCs w:val="14"/>
                <w:color w:val="auto"/>
              </w:rPr>
            </w:pPr>
          </w:p>
        </w:tc>
        <w:tc>
          <w:tcPr>
            <w:tcW w:w="1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1,286,460</w:t>
            </w:r>
          </w:p>
        </w:tc>
        <w:tc>
          <w:tcPr>
            <w:tcW w:w="260" w:type="dxa"/>
            <w:vAlign w:val="bottom"/>
          </w:tcPr>
          <w:p>
            <w:pPr>
              <w:spacing w:after="0"/>
              <w:rPr>
                <w:sz w:val="14"/>
                <w:szCs w:val="14"/>
                <w:color w:val="auto"/>
              </w:rPr>
            </w:pPr>
          </w:p>
        </w:tc>
        <w:tc>
          <w:tcPr>
            <w:tcW w:w="360" w:type="dxa"/>
            <w:vAlign w:val="bottom"/>
          </w:tcPr>
          <w:p>
            <w:pPr>
              <w:jc w:val="right"/>
              <w:ind w:right="2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1,092,079</w:t>
            </w:r>
          </w:p>
        </w:tc>
        <w:tc>
          <w:tcPr>
            <w:tcW w:w="260" w:type="dxa"/>
            <w:vAlign w:val="bottom"/>
          </w:tcPr>
          <w:p>
            <w:pPr>
              <w:spacing w:after="0"/>
              <w:rPr>
                <w:sz w:val="14"/>
                <w:szCs w:val="14"/>
                <w:color w:val="auto"/>
              </w:rPr>
            </w:pPr>
          </w:p>
        </w:tc>
        <w:tc>
          <w:tcPr>
            <w:tcW w:w="1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gridSpan w:val="2"/>
          </w:tcPr>
          <w:p>
            <w:pPr>
              <w:jc w:val="right"/>
              <w:ind w:right="200"/>
              <w:spacing w:after="0" w:line="155" w:lineRule="exact"/>
              <w:rPr>
                <w:sz w:val="20"/>
                <w:szCs w:val="20"/>
                <w:color w:val="auto"/>
              </w:rPr>
            </w:pPr>
            <w:r>
              <w:rPr>
                <w:rFonts w:ascii="Times New Roman" w:cs="Times New Roman" w:eastAsia="Times New Roman" w:hAnsi="Times New Roman"/>
                <w:sz w:val="14"/>
                <w:szCs w:val="14"/>
                <w:color w:val="auto"/>
              </w:rPr>
              <w:t>(427,138 )</w:t>
            </w:r>
          </w:p>
        </w:tc>
        <w:tc>
          <w:tcPr>
            <w:tcW w:w="260" w:type="dxa"/>
            <w:vAlign w:val="bottom"/>
          </w:tcPr>
          <w:p>
            <w:pPr>
              <w:jc w:val="right"/>
              <w:ind w:right="1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1,951,401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-1370965</wp:posOffset>
            </wp:positionV>
            <wp:extent cx="768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-1370965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-1370965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-1370965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-1370965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-145415</wp:posOffset>
            </wp:positionV>
            <wp:extent cx="768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-145415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-145415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-145415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-145415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2024 and 2023</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3"/>
                <w:szCs w:val="13"/>
                <w:color w:val="auto"/>
              </w:rPr>
            </w:pPr>
          </w:p>
        </w:tc>
        <w:tc>
          <w:tcPr>
            <w:tcW w:w="13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9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vMerge w:val="restart"/>
          </w:tcPr>
          <w:p>
            <w:pPr>
              <w:spacing w:after="0"/>
              <w:rPr>
                <w:sz w:val="12"/>
                <w:szCs w:val="12"/>
                <w:color w:val="auto"/>
              </w:rPr>
            </w:pP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Retained Earnings</w:t>
            </w:r>
          </w:p>
        </w:tc>
        <w:tc>
          <w:tcPr>
            <w:tcW w:w="26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80" w:type="dxa"/>
            <w:vAlign w:val="bottom"/>
          </w:tcPr>
          <w:p>
            <w:pPr>
              <w:spacing w:after="0"/>
              <w:rPr>
                <w:sz w:val="12"/>
                <w:szCs w:val="12"/>
                <w:color w:val="auto"/>
              </w:rPr>
            </w:pPr>
          </w:p>
        </w:tc>
        <w:tc>
          <w:tcPr>
            <w:tcW w:w="980" w:type="dxa"/>
            <w:vAlign w:val="bottom"/>
            <w:vMerge w:val="restart"/>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980" w:type="dxa"/>
            <w:vAlign w:val="bottom"/>
          </w:tcPr>
          <w:p>
            <w:pPr>
              <w:spacing w:after="0"/>
              <w:rPr>
                <w:sz w:val="16"/>
                <w:szCs w:val="16"/>
                <w:color w:val="auto"/>
              </w:rPr>
            </w:pPr>
          </w:p>
        </w:tc>
        <w:tc>
          <w:tcPr>
            <w:tcW w:w="10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January 1, 2024</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139,345</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1,288,899</w:t>
            </w:r>
          </w:p>
        </w:tc>
        <w:tc>
          <w:tcPr>
            <w:tcW w:w="260" w:type="dxa"/>
            <w:vAlign w:val="bottom"/>
            <w:shd w:val="clear" w:color="auto" w:fill="CFF0FC"/>
          </w:tcPr>
          <w:p>
            <w:pPr>
              <w:spacing w:after="0"/>
              <w:rPr>
                <w:sz w:val="14"/>
                <w:szCs w:val="14"/>
                <w:color w:val="auto"/>
              </w:rPr>
            </w:pPr>
          </w:p>
        </w:tc>
        <w:tc>
          <w:tcPr>
            <w:tcW w:w="360" w:type="dxa"/>
            <w:vAlign w:val="bottom"/>
            <w:shd w:val="clear" w:color="auto" w:fill="CFF0FC"/>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1,112,642</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(323,569 )</w:t>
            </w:r>
          </w:p>
        </w:tc>
        <w:tc>
          <w:tcPr>
            <w:tcW w:w="2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2,077,972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9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(149 )</w:t>
            </w:r>
          </w:p>
        </w:tc>
        <w:tc>
          <w:tcPr>
            <w:tcW w:w="140" w:type="dxa"/>
            <w:vAlign w:val="bottom"/>
          </w:tcPr>
          <w:p>
            <w:pPr>
              <w:spacing w:after="0"/>
              <w:rPr>
                <w:sz w:val="15"/>
                <w:szCs w:val="15"/>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(2,624 )</w:t>
            </w:r>
          </w:p>
        </w:tc>
        <w:tc>
          <w:tcPr>
            <w:tcW w:w="360" w:type="dxa"/>
            <w:vAlign w:val="bottom"/>
          </w:tcPr>
          <w:p>
            <w:pPr>
              <w:spacing w:after="0"/>
              <w:rPr>
                <w:sz w:val="15"/>
                <w:szCs w:val="15"/>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(2,624 )</w:t>
            </w:r>
          </w:p>
        </w:tc>
        <w:tc>
          <w:tcPr>
            <w:tcW w:w="0" w:type="dxa"/>
            <w:vAlign w:val="bottom"/>
          </w:tcPr>
          <w:p>
            <w:pPr>
              <w:spacing w:after="0"/>
              <w:rPr>
                <w:sz w:val="1"/>
                <w:szCs w:val="1"/>
                <w:color w:val="auto"/>
              </w:rPr>
            </w:pPr>
          </w:p>
        </w:tc>
      </w:tr>
      <w:tr>
        <w:trPr>
          <w:trHeight w:val="175"/>
        </w:trPr>
        <w:tc>
          <w:tcPr>
            <w:tcW w:w="39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3980" w:type="dxa"/>
            <w:vAlign w:val="bottom"/>
          </w:tcPr>
          <w:p>
            <w:pPr>
              <w:ind w:left="300"/>
              <w:spacing w:after="0" w:line="139" w:lineRule="exact"/>
              <w:rPr>
                <w:sz w:val="20"/>
                <w:szCs w:val="20"/>
                <w:color w:val="auto"/>
              </w:rPr>
            </w:pPr>
            <w:r>
              <w:rPr>
                <w:rFonts w:ascii="Times New Roman" w:cs="Times New Roman" w:eastAsia="Times New Roman" w:hAnsi="Times New Roman"/>
                <w:sz w:val="14"/>
                <w:szCs w:val="14"/>
                <w:color w:val="auto"/>
              </w:rPr>
              <w:t>Shares issued pursuant to stock-based</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475</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7,637</w:t>
            </w: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7,637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9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compensation plan</w:t>
            </w:r>
          </w:p>
        </w:tc>
        <w:tc>
          <w:tcPr>
            <w:tcW w:w="10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980" w:type="dxa"/>
            <w:vAlign w:val="bottom"/>
            <w:shd w:val="clear" w:color="auto" w:fill="CFF0FC"/>
          </w:tcPr>
          <w:p>
            <w:pPr>
              <w:ind w:left="300"/>
              <w:spacing w:after="0" w:line="139" w:lineRule="exact"/>
              <w:rPr>
                <w:sz w:val="20"/>
                <w:szCs w:val="20"/>
                <w:color w:val="auto"/>
              </w:rPr>
            </w:pPr>
            <w:r>
              <w:rPr>
                <w:rFonts w:ascii="Times New Roman" w:cs="Times New Roman" w:eastAsia="Times New Roman" w:hAnsi="Times New Roman"/>
                <w:sz w:val="14"/>
                <w:szCs w:val="14"/>
                <w:color w:val="auto"/>
              </w:rPr>
              <w:t>Cash dividends declared on common stock</w:t>
            </w:r>
          </w:p>
        </w:tc>
        <w:tc>
          <w:tcPr>
            <w:tcW w:w="1340" w:type="dxa"/>
            <w:vAlign w:val="bottom"/>
            <w:gridSpan w:val="2"/>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1400" w:type="dxa"/>
            <w:vAlign w:val="bottom"/>
            <w:gridSpan w:val="2"/>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FF0FC"/>
          </w:tcPr>
          <w:p>
            <w:pPr>
              <w:spacing w:after="0"/>
              <w:rPr>
                <w:sz w:val="12"/>
                <w:szCs w:val="12"/>
                <w:color w:val="auto"/>
              </w:rPr>
            </w:pPr>
          </w:p>
        </w:tc>
        <w:tc>
          <w:tcPr>
            <w:tcW w:w="114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(83,881 )</w:t>
            </w:r>
          </w:p>
        </w:tc>
        <w:tc>
          <w:tcPr>
            <w:tcW w:w="120" w:type="dxa"/>
            <w:vAlign w:val="bottom"/>
            <w:shd w:val="clear" w:color="auto" w:fill="CFF0FC"/>
          </w:tcPr>
          <w:p>
            <w:pPr>
              <w:spacing w:after="0"/>
              <w:rPr>
                <w:sz w:val="12"/>
                <w:szCs w:val="12"/>
                <w:color w:val="auto"/>
              </w:rPr>
            </w:pPr>
          </w:p>
        </w:tc>
        <w:tc>
          <w:tcPr>
            <w:tcW w:w="1400" w:type="dxa"/>
            <w:vAlign w:val="bottom"/>
            <w:gridSpan w:val="2"/>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2"/>
                <w:szCs w:val="12"/>
                <w:color w:val="auto"/>
              </w:rPr>
            </w:pPr>
          </w:p>
        </w:tc>
        <w:tc>
          <w:tcPr>
            <w:tcW w:w="10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(83,881 )</w:t>
            </w:r>
          </w:p>
        </w:tc>
        <w:tc>
          <w:tcPr>
            <w:tcW w:w="0" w:type="dxa"/>
            <w:vAlign w:val="bottom"/>
          </w:tcPr>
          <w:p>
            <w:pPr>
              <w:spacing w:after="0"/>
              <w:rPr>
                <w:sz w:val="1"/>
                <w:szCs w:val="1"/>
                <w:color w:val="auto"/>
              </w:rPr>
            </w:pPr>
          </w:p>
        </w:tc>
      </w:tr>
      <w:tr>
        <w:trPr>
          <w:trHeight w:val="185"/>
        </w:trPr>
        <w:tc>
          <w:tcPr>
            <w:tcW w:w="398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rPr>
              <w:t>($0.60 per share)</w:t>
            </w:r>
          </w:p>
        </w:tc>
        <w:tc>
          <w:tcPr>
            <w:tcW w:w="134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0" w:type="dxa"/>
            <w:vAlign w:val="bottom"/>
            <w:gridSpan w:val="2"/>
            <w:vMerge w:val="continue"/>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14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0" w:type="dxa"/>
            <w:vAlign w:val="bottom"/>
            <w:gridSpan w:val="2"/>
            <w:vMerge w:val="continue"/>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8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9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Net earnings</w:t>
            </w: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149,858</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149,858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8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48,740</w:t>
            </w:r>
          </w:p>
        </w:tc>
        <w:tc>
          <w:tcPr>
            <w:tcW w:w="26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48,740</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98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Balance, September 30, 2024</w:t>
            </w:r>
          </w:p>
        </w:tc>
        <w:tc>
          <w:tcPr>
            <w:tcW w:w="10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139,678</w:t>
            </w:r>
          </w:p>
        </w:tc>
        <w:tc>
          <w:tcPr>
            <w:tcW w:w="280" w:type="dxa"/>
            <w:vAlign w:val="bottom"/>
          </w:tcPr>
          <w:p>
            <w:pPr>
              <w:spacing w:after="0"/>
              <w:rPr>
                <w:sz w:val="14"/>
                <w:szCs w:val="14"/>
                <w:color w:val="auto"/>
              </w:rPr>
            </w:pPr>
          </w:p>
        </w:tc>
        <w:tc>
          <w:tcPr>
            <w:tcW w:w="1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1,294,041</w:t>
            </w:r>
          </w:p>
        </w:tc>
        <w:tc>
          <w:tcPr>
            <w:tcW w:w="260" w:type="dxa"/>
            <w:vAlign w:val="bottom"/>
          </w:tcPr>
          <w:p>
            <w:pPr>
              <w:spacing w:after="0"/>
              <w:rPr>
                <w:sz w:val="14"/>
                <w:szCs w:val="14"/>
                <w:color w:val="auto"/>
              </w:rPr>
            </w:pPr>
          </w:p>
        </w:tc>
        <w:tc>
          <w:tcPr>
            <w:tcW w:w="360" w:type="dxa"/>
            <w:vAlign w:val="bottom"/>
          </w:tcPr>
          <w:p>
            <w:pPr>
              <w:jc w:val="right"/>
              <w:ind w:right="2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1,178,619</w:t>
            </w:r>
          </w:p>
        </w:tc>
        <w:tc>
          <w:tcPr>
            <w:tcW w:w="260" w:type="dxa"/>
            <w:vAlign w:val="bottom"/>
          </w:tcPr>
          <w:p>
            <w:pPr>
              <w:spacing w:after="0"/>
              <w:rPr>
                <w:sz w:val="14"/>
                <w:szCs w:val="14"/>
                <w:color w:val="auto"/>
              </w:rPr>
            </w:pPr>
          </w:p>
        </w:tc>
        <w:tc>
          <w:tcPr>
            <w:tcW w:w="12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tcPr>
          <w:p>
            <w:pPr>
              <w:jc w:val="right"/>
              <w:ind w:right="200"/>
              <w:spacing w:after="0" w:line="155" w:lineRule="exact"/>
              <w:rPr>
                <w:sz w:val="20"/>
                <w:szCs w:val="20"/>
                <w:color w:val="auto"/>
              </w:rPr>
            </w:pPr>
            <w:r>
              <w:rPr>
                <w:rFonts w:ascii="Times New Roman" w:cs="Times New Roman" w:eastAsia="Times New Roman" w:hAnsi="Times New Roman"/>
                <w:sz w:val="14"/>
                <w:szCs w:val="14"/>
                <w:color w:val="auto"/>
              </w:rPr>
              <w:t>(274,829 )</w:t>
            </w:r>
          </w:p>
        </w:tc>
        <w:tc>
          <w:tcPr>
            <w:tcW w:w="280" w:type="dxa"/>
            <w:vAlign w:val="bottom"/>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2,197,831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9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January 1, 2023</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139,819</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1,300,466</w:t>
            </w: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1,002,847</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(354,796 )</w:t>
            </w:r>
          </w:p>
        </w:tc>
        <w:tc>
          <w:tcPr>
            <w:tcW w:w="2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1,948,517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9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(927 )</w:t>
            </w:r>
          </w:p>
        </w:tc>
        <w:tc>
          <w:tcPr>
            <w:tcW w:w="140" w:type="dxa"/>
            <w:vAlign w:val="bottom"/>
          </w:tcPr>
          <w:p>
            <w:pPr>
              <w:spacing w:after="0"/>
              <w:rPr>
                <w:sz w:val="15"/>
                <w:szCs w:val="15"/>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(21,186 )</w:t>
            </w:r>
          </w:p>
        </w:tc>
        <w:tc>
          <w:tcPr>
            <w:tcW w:w="360" w:type="dxa"/>
            <w:vAlign w:val="bottom"/>
          </w:tcPr>
          <w:p>
            <w:pPr>
              <w:spacing w:after="0"/>
              <w:rPr>
                <w:sz w:val="15"/>
                <w:szCs w:val="15"/>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(21,186 )</w:t>
            </w:r>
          </w:p>
        </w:tc>
        <w:tc>
          <w:tcPr>
            <w:tcW w:w="0" w:type="dxa"/>
            <w:vAlign w:val="bottom"/>
          </w:tcPr>
          <w:p>
            <w:pPr>
              <w:spacing w:after="0"/>
              <w:rPr>
                <w:sz w:val="1"/>
                <w:szCs w:val="1"/>
                <w:color w:val="auto"/>
              </w:rPr>
            </w:pPr>
          </w:p>
        </w:tc>
      </w:tr>
      <w:tr>
        <w:trPr>
          <w:trHeight w:val="175"/>
        </w:trPr>
        <w:tc>
          <w:tcPr>
            <w:tcW w:w="39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3980" w:type="dxa"/>
            <w:vAlign w:val="bottom"/>
          </w:tcPr>
          <w:p>
            <w:pPr>
              <w:ind w:left="300"/>
              <w:spacing w:after="0" w:line="139" w:lineRule="exact"/>
              <w:rPr>
                <w:sz w:val="20"/>
                <w:szCs w:val="20"/>
                <w:color w:val="auto"/>
              </w:rPr>
            </w:pPr>
            <w:r>
              <w:rPr>
                <w:rFonts w:ascii="Times New Roman" w:cs="Times New Roman" w:eastAsia="Times New Roman" w:hAnsi="Times New Roman"/>
                <w:sz w:val="14"/>
                <w:szCs w:val="14"/>
                <w:color w:val="auto"/>
              </w:rPr>
              <w:t>Shares issued pursuant to stock-based</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7,055</w:t>
            </w: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7,055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9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compensation plan</w:t>
            </w:r>
          </w:p>
        </w:tc>
        <w:tc>
          <w:tcPr>
            <w:tcW w:w="10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980" w:type="dxa"/>
            <w:vAlign w:val="bottom"/>
            <w:shd w:val="clear" w:color="auto" w:fill="CFF0FC"/>
          </w:tcPr>
          <w:p>
            <w:pPr>
              <w:ind w:left="300"/>
              <w:spacing w:after="0" w:line="139" w:lineRule="exact"/>
              <w:rPr>
                <w:sz w:val="20"/>
                <w:szCs w:val="20"/>
                <w:color w:val="auto"/>
              </w:rPr>
            </w:pPr>
            <w:r>
              <w:rPr>
                <w:rFonts w:ascii="Times New Roman" w:cs="Times New Roman" w:eastAsia="Times New Roman" w:hAnsi="Times New Roman"/>
                <w:sz w:val="14"/>
                <w:szCs w:val="14"/>
                <w:color w:val="auto"/>
              </w:rPr>
              <w:t>Cash dividends declared on common stock</w:t>
            </w:r>
          </w:p>
        </w:tc>
        <w:tc>
          <w:tcPr>
            <w:tcW w:w="1340" w:type="dxa"/>
            <w:vAlign w:val="bottom"/>
            <w:gridSpan w:val="2"/>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1400" w:type="dxa"/>
            <w:vAlign w:val="bottom"/>
            <w:gridSpan w:val="2"/>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FF0FC"/>
          </w:tcPr>
          <w:p>
            <w:pPr>
              <w:spacing w:after="0"/>
              <w:rPr>
                <w:sz w:val="12"/>
                <w:szCs w:val="12"/>
                <w:color w:val="auto"/>
              </w:rPr>
            </w:pPr>
          </w:p>
        </w:tc>
        <w:tc>
          <w:tcPr>
            <w:tcW w:w="114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(83,695 )</w:t>
            </w:r>
          </w:p>
        </w:tc>
        <w:tc>
          <w:tcPr>
            <w:tcW w:w="120" w:type="dxa"/>
            <w:vAlign w:val="bottom"/>
            <w:shd w:val="clear" w:color="auto" w:fill="CFF0FC"/>
          </w:tcPr>
          <w:p>
            <w:pPr>
              <w:spacing w:after="0"/>
              <w:rPr>
                <w:sz w:val="12"/>
                <w:szCs w:val="12"/>
                <w:color w:val="auto"/>
              </w:rPr>
            </w:pPr>
          </w:p>
        </w:tc>
        <w:tc>
          <w:tcPr>
            <w:tcW w:w="1400" w:type="dxa"/>
            <w:vAlign w:val="bottom"/>
            <w:gridSpan w:val="2"/>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2"/>
                <w:szCs w:val="12"/>
                <w:color w:val="auto"/>
              </w:rPr>
            </w:pPr>
          </w:p>
        </w:tc>
        <w:tc>
          <w:tcPr>
            <w:tcW w:w="10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(83,695 )</w:t>
            </w:r>
          </w:p>
        </w:tc>
        <w:tc>
          <w:tcPr>
            <w:tcW w:w="0" w:type="dxa"/>
            <w:vAlign w:val="bottom"/>
          </w:tcPr>
          <w:p>
            <w:pPr>
              <w:spacing w:after="0"/>
              <w:rPr>
                <w:sz w:val="1"/>
                <w:szCs w:val="1"/>
                <w:color w:val="auto"/>
              </w:rPr>
            </w:pPr>
          </w:p>
        </w:tc>
      </w:tr>
      <w:tr>
        <w:trPr>
          <w:trHeight w:val="185"/>
        </w:trPr>
        <w:tc>
          <w:tcPr>
            <w:tcW w:w="398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rPr>
              <w:t>($0.60 per share)</w:t>
            </w:r>
          </w:p>
        </w:tc>
        <w:tc>
          <w:tcPr>
            <w:tcW w:w="134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0" w:type="dxa"/>
            <w:vAlign w:val="bottom"/>
            <w:gridSpan w:val="2"/>
            <w:vMerge w:val="continue"/>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14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0" w:type="dxa"/>
            <w:vAlign w:val="bottom"/>
            <w:gridSpan w:val="2"/>
            <w:vMerge w:val="continue"/>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8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9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Net earnings</w:t>
            </w: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172,927</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172,927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(72,342 )</w:t>
            </w:r>
          </w:p>
        </w:tc>
        <w:tc>
          <w:tcPr>
            <w:tcW w:w="28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(72,342 )</w:t>
            </w:r>
          </w:p>
        </w:tc>
        <w:tc>
          <w:tcPr>
            <w:tcW w:w="0" w:type="dxa"/>
            <w:vAlign w:val="bottom"/>
          </w:tcPr>
          <w:p>
            <w:pPr>
              <w:spacing w:after="0"/>
              <w:rPr>
                <w:sz w:val="1"/>
                <w:szCs w:val="1"/>
                <w:color w:val="auto"/>
              </w:rPr>
            </w:pPr>
          </w:p>
        </w:tc>
      </w:tr>
      <w:tr>
        <w:trPr>
          <w:trHeight w:val="20"/>
        </w:trPr>
        <w:tc>
          <w:tcPr>
            <w:tcW w:w="398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98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Balance, September 30, 2023</w:t>
            </w:r>
          </w:p>
        </w:tc>
        <w:tc>
          <w:tcPr>
            <w:tcW w:w="10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139,338</w:t>
            </w:r>
          </w:p>
        </w:tc>
        <w:tc>
          <w:tcPr>
            <w:tcW w:w="280" w:type="dxa"/>
            <w:vAlign w:val="bottom"/>
          </w:tcPr>
          <w:p>
            <w:pPr>
              <w:spacing w:after="0"/>
              <w:rPr>
                <w:sz w:val="14"/>
                <w:szCs w:val="14"/>
                <w:color w:val="auto"/>
              </w:rPr>
            </w:pPr>
          </w:p>
        </w:tc>
        <w:tc>
          <w:tcPr>
            <w:tcW w:w="1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1,286,460</w:t>
            </w:r>
          </w:p>
        </w:tc>
        <w:tc>
          <w:tcPr>
            <w:tcW w:w="260" w:type="dxa"/>
            <w:vAlign w:val="bottom"/>
          </w:tcPr>
          <w:p>
            <w:pPr>
              <w:spacing w:after="0"/>
              <w:rPr>
                <w:sz w:val="14"/>
                <w:szCs w:val="14"/>
                <w:color w:val="auto"/>
              </w:rPr>
            </w:pPr>
          </w:p>
        </w:tc>
        <w:tc>
          <w:tcPr>
            <w:tcW w:w="360" w:type="dxa"/>
            <w:vAlign w:val="bottom"/>
          </w:tcPr>
          <w:p>
            <w:pPr>
              <w:jc w:val="right"/>
              <w:ind w:right="2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1,092,079</w:t>
            </w:r>
          </w:p>
        </w:tc>
        <w:tc>
          <w:tcPr>
            <w:tcW w:w="260" w:type="dxa"/>
            <w:vAlign w:val="bottom"/>
          </w:tcPr>
          <w:p>
            <w:pPr>
              <w:spacing w:after="0"/>
              <w:rPr>
                <w:sz w:val="14"/>
                <w:szCs w:val="14"/>
                <w:color w:val="auto"/>
              </w:rPr>
            </w:pPr>
          </w:p>
        </w:tc>
        <w:tc>
          <w:tcPr>
            <w:tcW w:w="12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tcPr>
          <w:p>
            <w:pPr>
              <w:jc w:val="right"/>
              <w:ind w:right="200"/>
              <w:spacing w:after="0" w:line="155" w:lineRule="exact"/>
              <w:rPr>
                <w:sz w:val="20"/>
                <w:szCs w:val="20"/>
                <w:color w:val="auto"/>
              </w:rPr>
            </w:pPr>
            <w:r>
              <w:rPr>
                <w:rFonts w:ascii="Times New Roman" w:cs="Times New Roman" w:eastAsia="Times New Roman" w:hAnsi="Times New Roman"/>
                <w:sz w:val="14"/>
                <w:szCs w:val="14"/>
                <w:color w:val="auto"/>
              </w:rPr>
              <w:t>(427,138 )</w:t>
            </w:r>
          </w:p>
        </w:tc>
        <w:tc>
          <w:tcPr>
            <w:tcW w:w="280" w:type="dxa"/>
            <w:vAlign w:val="bottom"/>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1,951,401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-1370965</wp:posOffset>
            </wp:positionV>
            <wp:extent cx="774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-1370965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-1370965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-1370965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-1370965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-144780</wp:posOffset>
            </wp:positionV>
            <wp:extent cx="7747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-144780</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-144780</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-144780</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CVB FINANCIAL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(Dollars in thousands)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4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50"/>
        </w:trPr>
        <w:tc>
          <w:tcPr>
            <w:tcW w:w="82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8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9"/>
        </w:trPr>
        <w:tc>
          <w:tcPr>
            <w:tcW w:w="8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8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8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Interest and dividends received</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493,875</w:t>
            </w:r>
          </w:p>
        </w:tc>
        <w:tc>
          <w:tcPr>
            <w:tcW w:w="30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458,084</w:t>
            </w:r>
          </w:p>
        </w:tc>
        <w:tc>
          <w:tcPr>
            <w:tcW w:w="100" w:type="dxa"/>
            <w:vAlign w:val="bottom"/>
          </w:tcPr>
          <w:p>
            <w:pPr>
              <w:spacing w:after="0"/>
              <w:rPr>
                <w:sz w:val="20"/>
                <w:szCs w:val="20"/>
                <w:color w:val="auto"/>
              </w:rPr>
            </w:pPr>
          </w:p>
        </w:tc>
      </w:tr>
      <w:tr>
        <w:trPr>
          <w:trHeight w:val="247"/>
        </w:trPr>
        <w:tc>
          <w:tcPr>
            <w:tcW w:w="82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Service charges and other fees received</w:t>
            </w: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33,272</w:t>
            </w:r>
          </w:p>
        </w:tc>
        <w:tc>
          <w:tcPr>
            <w:tcW w:w="3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35,761</w:t>
            </w:r>
          </w:p>
        </w:tc>
        <w:tc>
          <w:tcPr>
            <w:tcW w:w="100" w:type="dxa"/>
            <w:vAlign w:val="bottom"/>
            <w:shd w:val="clear" w:color="auto" w:fill="CFF0FC"/>
          </w:tcPr>
          <w:p>
            <w:pPr>
              <w:spacing w:after="0"/>
              <w:rPr>
                <w:sz w:val="21"/>
                <w:szCs w:val="21"/>
                <w:color w:val="auto"/>
              </w:rPr>
            </w:pPr>
          </w:p>
        </w:tc>
      </w:tr>
      <w:tr>
        <w:trPr>
          <w:trHeight w:val="239"/>
        </w:trPr>
        <w:tc>
          <w:tcPr>
            <w:tcW w:w="8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Interest paid</w:t>
            </w:r>
          </w:p>
        </w:tc>
        <w:tc>
          <w:tcPr>
            <w:tcW w:w="28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(162,177 )</w:t>
            </w:r>
          </w:p>
        </w:tc>
        <w:tc>
          <w:tcPr>
            <w:tcW w:w="42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(65,233 )</w:t>
            </w:r>
          </w:p>
        </w:tc>
      </w:tr>
      <w:tr>
        <w:trPr>
          <w:trHeight w:val="247"/>
        </w:trPr>
        <w:tc>
          <w:tcPr>
            <w:tcW w:w="82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Net cash paid to vendors, employees and others</w:t>
            </w:r>
          </w:p>
        </w:tc>
        <w:tc>
          <w:tcPr>
            <w:tcW w:w="28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(142,862 )</w:t>
            </w:r>
          </w:p>
        </w:tc>
        <w:tc>
          <w:tcPr>
            <w:tcW w:w="42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(181,661 )</w:t>
            </w:r>
          </w:p>
        </w:tc>
      </w:tr>
      <w:tr>
        <w:trPr>
          <w:trHeight w:val="239"/>
        </w:trPr>
        <w:tc>
          <w:tcPr>
            <w:tcW w:w="8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Income taxes</w:t>
            </w:r>
          </w:p>
        </w:tc>
        <w:tc>
          <w:tcPr>
            <w:tcW w:w="28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(47,094 )</w:t>
            </w:r>
          </w:p>
        </w:tc>
        <w:tc>
          <w:tcPr>
            <w:tcW w:w="42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822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175,014</w:t>
            </w:r>
          </w:p>
        </w:tc>
        <w:tc>
          <w:tcPr>
            <w:tcW w:w="30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top w:val="single" w:sz="8" w:color="auto"/>
              <w:bottom w:val="single" w:sz="8" w:color="auto"/>
            </w:tcBorders>
            <w:shd w:val="clear" w:color="auto" w:fill="CFF0FC"/>
          </w:tcPr>
          <w:p>
            <w:pPr>
              <w:spacing w:after="0"/>
              <w:rPr>
                <w:sz w:val="20"/>
                <w:szCs w:val="20"/>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246,951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8"/>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82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Proceeds of FHLB stock, net</w:t>
            </w:r>
          </w:p>
        </w:tc>
        <w:tc>
          <w:tcPr>
            <w:tcW w:w="28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9,615</w:t>
            </w:r>
          </w:p>
        </w:tc>
        <w:tc>
          <w:tcPr>
            <w:tcW w:w="100" w:type="dxa"/>
            <w:vAlign w:val="bottom"/>
            <w:shd w:val="clear" w:color="auto" w:fill="CFF0FC"/>
          </w:tcPr>
          <w:p>
            <w:pPr>
              <w:spacing w:after="0"/>
              <w:rPr>
                <w:sz w:val="21"/>
                <w:szCs w:val="21"/>
                <w:color w:val="auto"/>
              </w:rPr>
            </w:pPr>
          </w:p>
        </w:tc>
      </w:tr>
      <w:tr>
        <w:trPr>
          <w:trHeight w:val="239"/>
        </w:trPr>
        <w:tc>
          <w:tcPr>
            <w:tcW w:w="8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change in interest-earning balances from depository institutions</w:t>
            </w:r>
          </w:p>
        </w:tc>
        <w:tc>
          <w:tcPr>
            <w:tcW w:w="28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(16,122 )</w:t>
            </w:r>
          </w:p>
        </w:tc>
        <w:tc>
          <w:tcPr>
            <w:tcW w:w="4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5,445</w:t>
            </w:r>
          </w:p>
        </w:tc>
        <w:tc>
          <w:tcPr>
            <w:tcW w:w="100" w:type="dxa"/>
            <w:vAlign w:val="bottom"/>
          </w:tcPr>
          <w:p>
            <w:pPr>
              <w:spacing w:after="0"/>
              <w:rPr>
                <w:sz w:val="20"/>
                <w:szCs w:val="20"/>
                <w:color w:val="auto"/>
              </w:rPr>
            </w:pPr>
          </w:p>
        </w:tc>
      </w:tr>
      <w:tr>
        <w:trPr>
          <w:trHeight w:val="247"/>
        </w:trPr>
        <w:tc>
          <w:tcPr>
            <w:tcW w:w="82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Proceeds from repayment of investment securities available-for-sale</w:t>
            </w: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256,100</w:t>
            </w:r>
          </w:p>
        </w:tc>
        <w:tc>
          <w:tcPr>
            <w:tcW w:w="3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282,663</w:t>
            </w:r>
          </w:p>
        </w:tc>
        <w:tc>
          <w:tcPr>
            <w:tcW w:w="100" w:type="dxa"/>
            <w:vAlign w:val="bottom"/>
            <w:shd w:val="clear" w:color="auto" w:fill="CFF0FC"/>
          </w:tcPr>
          <w:p>
            <w:pPr>
              <w:spacing w:after="0"/>
              <w:rPr>
                <w:sz w:val="21"/>
                <w:szCs w:val="21"/>
                <w:color w:val="auto"/>
              </w:rPr>
            </w:pPr>
          </w:p>
        </w:tc>
      </w:tr>
      <w:tr>
        <w:trPr>
          <w:trHeight w:val="239"/>
        </w:trPr>
        <w:tc>
          <w:tcPr>
            <w:tcW w:w="8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Proceeds from maturity of investment securities available-for-sale</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48,617</w:t>
            </w: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r>
      <w:tr>
        <w:trPr>
          <w:trHeight w:val="247"/>
        </w:trPr>
        <w:tc>
          <w:tcPr>
            <w:tcW w:w="82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Proceeds from sales of AFS securities</w:t>
            </w: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245,284</w:t>
            </w:r>
          </w:p>
        </w:tc>
        <w:tc>
          <w:tcPr>
            <w:tcW w:w="3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8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Purchases of investment securities available-for-sale</w:t>
            </w:r>
          </w:p>
        </w:tc>
        <w:tc>
          <w:tcPr>
            <w:tcW w:w="28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(33,435 )</w:t>
            </w:r>
          </w:p>
        </w:tc>
        <w:tc>
          <w:tcPr>
            <w:tcW w:w="42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(33,737 )</w:t>
            </w:r>
          </w:p>
        </w:tc>
      </w:tr>
      <w:tr>
        <w:trPr>
          <w:trHeight w:val="247"/>
        </w:trPr>
        <w:tc>
          <w:tcPr>
            <w:tcW w:w="82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Proceeds from repayment and maturity of investment securities held-to-maturity</w:t>
            </w: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61,663</w:t>
            </w:r>
          </w:p>
        </w:tc>
        <w:tc>
          <w:tcPr>
            <w:tcW w:w="3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75,913</w:t>
            </w:r>
          </w:p>
        </w:tc>
        <w:tc>
          <w:tcPr>
            <w:tcW w:w="100" w:type="dxa"/>
            <w:vAlign w:val="bottom"/>
            <w:shd w:val="clear" w:color="auto" w:fill="CFF0FC"/>
          </w:tcPr>
          <w:p>
            <w:pPr>
              <w:spacing w:after="0"/>
              <w:rPr>
                <w:sz w:val="21"/>
                <w:szCs w:val="21"/>
                <w:color w:val="auto"/>
              </w:rPr>
            </w:pPr>
          </w:p>
        </w:tc>
      </w:tr>
      <w:tr>
        <w:trPr>
          <w:trHeight w:val="239"/>
        </w:trPr>
        <w:tc>
          <w:tcPr>
            <w:tcW w:w="8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Purchases of investment securities held-to-maturity</w:t>
            </w:r>
          </w:p>
        </w:tc>
        <w:tc>
          <w:tcPr>
            <w:tcW w:w="28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(11,455 )</w:t>
            </w:r>
          </w:p>
        </w:tc>
        <w:tc>
          <w:tcPr>
            <w:tcW w:w="42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(2,026 )</w:t>
            </w:r>
          </w:p>
        </w:tc>
      </w:tr>
      <w:tr>
        <w:trPr>
          <w:trHeight w:val="247"/>
        </w:trPr>
        <w:tc>
          <w:tcPr>
            <w:tcW w:w="82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Net increase in equity investments</w:t>
            </w:r>
          </w:p>
        </w:tc>
        <w:tc>
          <w:tcPr>
            <w:tcW w:w="28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(8,928 )</w:t>
            </w:r>
          </w:p>
        </w:tc>
        <w:tc>
          <w:tcPr>
            <w:tcW w:w="42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(60 )</w:t>
            </w:r>
          </w:p>
        </w:tc>
      </w:tr>
      <w:tr>
        <w:trPr>
          <w:trHeight w:val="239"/>
        </w:trPr>
        <w:tc>
          <w:tcPr>
            <w:tcW w:w="8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decrease in loan and lease finance receivables</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334,109</w:t>
            </w: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206,059</w:t>
            </w:r>
          </w:p>
        </w:tc>
        <w:tc>
          <w:tcPr>
            <w:tcW w:w="100" w:type="dxa"/>
            <w:vAlign w:val="bottom"/>
          </w:tcPr>
          <w:p>
            <w:pPr>
              <w:spacing w:after="0"/>
              <w:rPr>
                <w:sz w:val="20"/>
                <w:szCs w:val="20"/>
                <w:color w:val="auto"/>
              </w:rPr>
            </w:pPr>
          </w:p>
        </w:tc>
      </w:tr>
      <w:tr>
        <w:trPr>
          <w:trHeight w:val="247"/>
        </w:trPr>
        <w:tc>
          <w:tcPr>
            <w:tcW w:w="82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Purchase of premises and equipment</w:t>
            </w:r>
          </w:p>
        </w:tc>
        <w:tc>
          <w:tcPr>
            <w:tcW w:w="28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(3,160 )</w:t>
            </w:r>
          </w:p>
        </w:tc>
        <w:tc>
          <w:tcPr>
            <w:tcW w:w="42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(2,880 )</w:t>
            </w:r>
          </w:p>
        </w:tc>
      </w:tr>
      <w:tr>
        <w:trPr>
          <w:trHeight w:val="239"/>
        </w:trPr>
        <w:tc>
          <w:tcPr>
            <w:tcW w:w="8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Proceeds from sale-leaseback transactions</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16,175</w:t>
            </w: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2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Proceeds from BOLI death benefit</w:t>
            </w:r>
          </w:p>
        </w:tc>
        <w:tc>
          <w:tcPr>
            <w:tcW w:w="28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2,983</w:t>
            </w:r>
          </w:p>
        </w:tc>
        <w:tc>
          <w:tcPr>
            <w:tcW w:w="3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82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891,830</w:t>
            </w:r>
          </w:p>
        </w:tc>
        <w:tc>
          <w:tcPr>
            <w:tcW w:w="3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543,501</w:t>
            </w:r>
          </w:p>
        </w:tc>
        <w:tc>
          <w:tcPr>
            <w:tcW w:w="100" w:type="dxa"/>
            <w:vAlign w:val="bottom"/>
          </w:tcPr>
          <w:p>
            <w:pPr>
              <w:spacing w:after="0"/>
              <w:rPr>
                <w:sz w:val="20"/>
                <w:szCs w:val="20"/>
                <w:color w:val="auto"/>
              </w:rPr>
            </w:pPr>
          </w:p>
        </w:tc>
      </w:tr>
      <w:tr>
        <w:trPr>
          <w:trHeight w:val="241"/>
        </w:trPr>
        <w:tc>
          <w:tcPr>
            <w:tcW w:w="8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8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8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increase (decrease) in other deposits</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349,312</w:t>
            </w: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(488,560 )</w:t>
            </w:r>
          </w:p>
        </w:tc>
      </w:tr>
      <w:tr>
        <w:trPr>
          <w:trHeight w:val="247"/>
        </w:trPr>
        <w:tc>
          <w:tcPr>
            <w:tcW w:w="82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Net increase in time deposits</w:t>
            </w: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289,535</w:t>
            </w:r>
          </w:p>
        </w:tc>
        <w:tc>
          <w:tcPr>
            <w:tcW w:w="3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11,101</w:t>
            </w:r>
          </w:p>
        </w:tc>
        <w:tc>
          <w:tcPr>
            <w:tcW w:w="100" w:type="dxa"/>
            <w:vAlign w:val="bottom"/>
            <w:shd w:val="clear" w:color="auto" w:fill="CFF0FC"/>
          </w:tcPr>
          <w:p>
            <w:pPr>
              <w:spacing w:after="0"/>
              <w:rPr>
                <w:sz w:val="21"/>
                <w:szCs w:val="21"/>
                <w:color w:val="auto"/>
              </w:rPr>
            </w:pPr>
          </w:p>
        </w:tc>
      </w:tr>
      <w:tr>
        <w:trPr>
          <w:trHeight w:val="239"/>
        </w:trPr>
        <w:tc>
          <w:tcPr>
            <w:tcW w:w="8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(decrease) increase in other borrowings</w:t>
            </w:r>
          </w:p>
        </w:tc>
        <w:tc>
          <w:tcPr>
            <w:tcW w:w="28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(1,570,000 )</w:t>
            </w:r>
          </w:p>
        </w:tc>
        <w:tc>
          <w:tcPr>
            <w:tcW w:w="4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00" w:type="dxa"/>
            <w:vAlign w:val="bottom"/>
          </w:tcPr>
          <w:p>
            <w:pPr>
              <w:spacing w:after="0"/>
              <w:rPr>
                <w:sz w:val="20"/>
                <w:szCs w:val="20"/>
                <w:color w:val="auto"/>
              </w:rPr>
            </w:pPr>
          </w:p>
        </w:tc>
      </w:tr>
      <w:tr>
        <w:trPr>
          <w:trHeight w:val="247"/>
        </w:trPr>
        <w:tc>
          <w:tcPr>
            <w:tcW w:w="82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Net increase (decrease) in customer repurchase agreements</w:t>
            </w: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122,873</w:t>
            </w:r>
          </w:p>
        </w:tc>
        <w:tc>
          <w:tcPr>
            <w:tcW w:w="3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(295,879 )</w:t>
            </w:r>
          </w:p>
        </w:tc>
      </w:tr>
      <w:tr>
        <w:trPr>
          <w:trHeight w:val="239"/>
        </w:trPr>
        <w:tc>
          <w:tcPr>
            <w:tcW w:w="8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Cash dividends on common stock</w:t>
            </w:r>
          </w:p>
        </w:tc>
        <w:tc>
          <w:tcPr>
            <w:tcW w:w="28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(83,894 )</w:t>
            </w:r>
          </w:p>
        </w:tc>
        <w:tc>
          <w:tcPr>
            <w:tcW w:w="42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(83,819 )</w:t>
            </w:r>
          </w:p>
        </w:tc>
      </w:tr>
      <w:tr>
        <w:trPr>
          <w:trHeight w:val="247"/>
        </w:trPr>
        <w:tc>
          <w:tcPr>
            <w:tcW w:w="82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28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(2,624 )</w:t>
            </w:r>
          </w:p>
        </w:tc>
        <w:tc>
          <w:tcPr>
            <w:tcW w:w="42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(21,186 )</w:t>
            </w:r>
          </w:p>
        </w:tc>
      </w:tr>
      <w:tr>
        <w:trPr>
          <w:trHeight w:val="239"/>
        </w:trPr>
        <w:tc>
          <w:tcPr>
            <w:tcW w:w="8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3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20"/>
                <w:szCs w:val="20"/>
                <w:color w:val="auto"/>
              </w:rPr>
            </w:pPr>
          </w:p>
        </w:tc>
      </w:tr>
      <w:tr>
        <w:trPr>
          <w:trHeight w:val="236"/>
        </w:trPr>
        <w:tc>
          <w:tcPr>
            <w:tcW w:w="82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8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(894,669 )</w:t>
            </w:r>
          </w:p>
        </w:tc>
        <w:tc>
          <w:tcPr>
            <w:tcW w:w="42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(753,218 )</w:t>
            </w:r>
          </w:p>
        </w:tc>
      </w:tr>
      <w:tr>
        <w:trPr>
          <w:trHeight w:val="236"/>
        </w:trPr>
        <w:tc>
          <w:tcPr>
            <w:tcW w:w="82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increase in cash and cash equivalents</w:t>
            </w: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172,175</w:t>
            </w:r>
          </w:p>
        </w:tc>
        <w:tc>
          <w:tcPr>
            <w:tcW w:w="300" w:type="dxa"/>
            <w:vAlign w:val="bottom"/>
            <w:tcBorders>
              <w:top w:val="single" w:sz="8" w:color="CFF0FC"/>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37,234</w:t>
            </w:r>
          </w:p>
        </w:tc>
        <w:tc>
          <w:tcPr>
            <w:tcW w:w="100" w:type="dxa"/>
            <w:vAlign w:val="bottom"/>
            <w:tcBorders>
              <w:top w:val="single" w:sz="8" w:color="CFF0FC"/>
            </w:tcBorders>
          </w:tcPr>
          <w:p>
            <w:pPr>
              <w:spacing w:after="0"/>
              <w:rPr>
                <w:sz w:val="20"/>
                <w:szCs w:val="20"/>
                <w:color w:val="auto"/>
              </w:rPr>
            </w:pPr>
          </w:p>
        </w:tc>
      </w:tr>
      <w:tr>
        <w:trPr>
          <w:trHeight w:val="248"/>
        </w:trPr>
        <w:tc>
          <w:tcPr>
            <w:tcW w:w="8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8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beginning of period</w:t>
            </w:r>
          </w:p>
        </w:tc>
        <w:tc>
          <w:tcPr>
            <w:tcW w:w="28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281,285</w:t>
            </w:r>
          </w:p>
        </w:tc>
        <w:tc>
          <w:tcPr>
            <w:tcW w:w="30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203,461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453,460</w:t>
            </w:r>
          </w:p>
        </w:tc>
        <w:tc>
          <w:tcPr>
            <w:tcW w:w="300" w:type="dxa"/>
            <w:vAlign w:val="bottom"/>
          </w:tcPr>
          <w:p>
            <w:pPr>
              <w:spacing w:after="0"/>
              <w:rPr>
                <w:sz w:val="20"/>
                <w:szCs w:val="20"/>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240,695</w:t>
            </w:r>
          </w:p>
        </w:tc>
        <w:tc>
          <w:tcPr>
            <w:tcW w:w="100" w:type="dxa"/>
            <w:vAlign w:val="bottom"/>
          </w:tcPr>
          <w:p>
            <w:pPr>
              <w:spacing w:after="0"/>
              <w:rPr>
                <w:sz w:val="20"/>
                <w:szCs w:val="20"/>
                <w:color w:val="auto"/>
              </w:rPr>
            </w:pPr>
          </w:p>
        </w:tc>
      </w:tr>
      <w:tr>
        <w:trPr>
          <w:trHeight w:val="20"/>
        </w:trPr>
        <w:tc>
          <w:tcPr>
            <w:tcW w:w="8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-4396740</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-4396740</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-2228215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-2228215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-659765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-659765</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-187960</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CVB FINANCIAL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(Dollars in thousands)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4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50"/>
        </w:trPr>
        <w:tc>
          <w:tcPr>
            <w:tcW w:w="82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8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9"/>
        </w:trPr>
        <w:tc>
          <w:tcPr>
            <w:tcW w:w="8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Net Earnings to Net Cash Provided by Operating Activities</w:t>
            </w:r>
          </w:p>
        </w:tc>
        <w:tc>
          <w:tcPr>
            <w:tcW w:w="28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earnings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149,858</w:t>
            </w:r>
          </w:p>
        </w:tc>
        <w:tc>
          <w:tcPr>
            <w:tcW w:w="30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172,927</w:t>
            </w:r>
          </w:p>
        </w:tc>
        <w:tc>
          <w:tcPr>
            <w:tcW w:w="100" w:type="dxa"/>
            <w:vAlign w:val="bottom"/>
          </w:tcPr>
          <w:p>
            <w:pPr>
              <w:spacing w:after="0"/>
              <w:rPr>
                <w:sz w:val="20"/>
                <w:szCs w:val="20"/>
                <w:color w:val="auto"/>
              </w:rPr>
            </w:pPr>
          </w:p>
        </w:tc>
      </w:tr>
      <w:tr>
        <w:trPr>
          <w:trHeight w:val="247"/>
        </w:trPr>
        <w:tc>
          <w:tcPr>
            <w:tcW w:w="8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earnings to net cash provided by operating activities:</w:t>
            </w: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8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Increase in BOLI</w:t>
            </w:r>
          </w:p>
        </w:tc>
        <w:tc>
          <w:tcPr>
            <w:tcW w:w="28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(10,034 )</w:t>
            </w:r>
          </w:p>
        </w:tc>
        <w:tc>
          <w:tcPr>
            <w:tcW w:w="42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(4,834 )</w:t>
            </w:r>
          </w:p>
        </w:tc>
      </w:tr>
      <w:tr>
        <w:trPr>
          <w:trHeight w:val="247"/>
        </w:trPr>
        <w:tc>
          <w:tcPr>
            <w:tcW w:w="82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amortization of premiums and discounts on investment securities</w:t>
            </w: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12,647</w:t>
            </w:r>
          </w:p>
        </w:tc>
        <w:tc>
          <w:tcPr>
            <w:tcW w:w="3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13,807</w:t>
            </w:r>
          </w:p>
        </w:tc>
        <w:tc>
          <w:tcPr>
            <w:tcW w:w="100" w:type="dxa"/>
            <w:vAlign w:val="bottom"/>
            <w:shd w:val="clear" w:color="auto" w:fill="CFF0FC"/>
          </w:tcPr>
          <w:p>
            <w:pPr>
              <w:spacing w:after="0"/>
              <w:rPr>
                <w:sz w:val="21"/>
                <w:szCs w:val="21"/>
                <w:color w:val="auto"/>
              </w:rPr>
            </w:pPr>
          </w:p>
        </w:tc>
      </w:tr>
      <w:tr>
        <w:trPr>
          <w:trHeight w:val="239"/>
        </w:trPr>
        <w:tc>
          <w:tcPr>
            <w:tcW w:w="8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Loss on sale of AFS securities</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11,582</w:t>
            </w: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82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Accretion of discount for acquired loans, net</w:t>
            </w:r>
          </w:p>
        </w:tc>
        <w:tc>
          <w:tcPr>
            <w:tcW w:w="28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(2,654 )</w:t>
            </w:r>
          </w:p>
        </w:tc>
        <w:tc>
          <w:tcPr>
            <w:tcW w:w="42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(2,892 )</w:t>
            </w:r>
          </w:p>
        </w:tc>
      </w:tr>
      <w:tr>
        <w:trPr>
          <w:trHeight w:val="239"/>
        </w:trPr>
        <w:tc>
          <w:tcPr>
            <w:tcW w:w="8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8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Pr>
          <w:p>
            <w:pPr>
              <w:spacing w:after="0"/>
              <w:rPr>
                <w:sz w:val="20"/>
                <w:szCs w:val="20"/>
                <w:color w:val="auto"/>
              </w:rPr>
            </w:pPr>
          </w:p>
        </w:tc>
      </w:tr>
      <w:tr>
        <w:trPr>
          <w:trHeight w:val="247"/>
        </w:trPr>
        <w:tc>
          <w:tcPr>
            <w:tcW w:w="82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(Recapture of) provision for unfunded loan commitments</w:t>
            </w:r>
          </w:p>
        </w:tc>
        <w:tc>
          <w:tcPr>
            <w:tcW w:w="28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(1,250 )</w:t>
            </w:r>
          </w:p>
        </w:tc>
        <w:tc>
          <w:tcPr>
            <w:tcW w:w="42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8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Valuation allowance on other real estate owned</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82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Gain on sale leaseback transactions</w:t>
            </w:r>
          </w:p>
        </w:tc>
        <w:tc>
          <w:tcPr>
            <w:tcW w:w="28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(9,106 )</w:t>
            </w:r>
          </w:p>
        </w:tc>
        <w:tc>
          <w:tcPr>
            <w:tcW w:w="42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8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7,637</w:t>
            </w: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7,055</w:t>
            </w:r>
          </w:p>
        </w:tc>
        <w:tc>
          <w:tcPr>
            <w:tcW w:w="100" w:type="dxa"/>
            <w:vAlign w:val="bottom"/>
          </w:tcPr>
          <w:p>
            <w:pPr>
              <w:spacing w:after="0"/>
              <w:rPr>
                <w:sz w:val="20"/>
                <w:szCs w:val="20"/>
                <w:color w:val="auto"/>
              </w:rPr>
            </w:pPr>
          </w:p>
        </w:tc>
      </w:tr>
      <w:tr>
        <w:trPr>
          <w:trHeight w:val="247"/>
        </w:trPr>
        <w:tc>
          <w:tcPr>
            <w:tcW w:w="82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 net</w:t>
            </w: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10,902</w:t>
            </w:r>
          </w:p>
        </w:tc>
        <w:tc>
          <w:tcPr>
            <w:tcW w:w="3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13,985</w:t>
            </w:r>
          </w:p>
        </w:tc>
        <w:tc>
          <w:tcPr>
            <w:tcW w:w="100" w:type="dxa"/>
            <w:vAlign w:val="bottom"/>
            <w:shd w:val="clear" w:color="auto" w:fill="CFF0FC"/>
          </w:tcPr>
          <w:p>
            <w:pPr>
              <w:spacing w:after="0"/>
              <w:rPr>
                <w:sz w:val="21"/>
                <w:szCs w:val="21"/>
                <w:color w:val="auto"/>
              </w:rPr>
            </w:pPr>
          </w:p>
        </w:tc>
      </w:tr>
      <w:tr>
        <w:trPr>
          <w:trHeight w:val="239"/>
        </w:trPr>
        <w:tc>
          <w:tcPr>
            <w:tcW w:w="8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Change in other assets and liabilities</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5,404</w:t>
            </w:r>
          </w:p>
        </w:tc>
        <w:tc>
          <w:tcPr>
            <w:tcW w:w="3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42,903</w:t>
            </w:r>
          </w:p>
        </w:tc>
        <w:tc>
          <w:tcPr>
            <w:tcW w:w="100" w:type="dxa"/>
            <w:vAlign w:val="bottom"/>
          </w:tcPr>
          <w:p>
            <w:pPr>
              <w:spacing w:after="0"/>
              <w:rPr>
                <w:sz w:val="20"/>
                <w:szCs w:val="20"/>
                <w:color w:val="auto"/>
              </w:rPr>
            </w:pPr>
          </w:p>
        </w:tc>
      </w:tr>
      <w:tr>
        <w:trPr>
          <w:trHeight w:val="236"/>
        </w:trPr>
        <w:tc>
          <w:tcPr>
            <w:tcW w:w="822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adjustments</w:t>
            </w:r>
          </w:p>
        </w:tc>
        <w:tc>
          <w:tcPr>
            <w:tcW w:w="28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25,156</w:t>
            </w:r>
          </w:p>
        </w:tc>
        <w:tc>
          <w:tcPr>
            <w:tcW w:w="30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74,024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41"/>
        </w:trPr>
        <w:tc>
          <w:tcPr>
            <w:tcW w:w="82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175,014</w:t>
            </w:r>
          </w:p>
        </w:tc>
        <w:tc>
          <w:tcPr>
            <w:tcW w:w="300" w:type="dxa"/>
            <w:vAlign w:val="bottom"/>
          </w:tcPr>
          <w:p>
            <w:pPr>
              <w:spacing w:after="0"/>
              <w:rPr>
                <w:sz w:val="20"/>
                <w:szCs w:val="20"/>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246,951</w:t>
            </w:r>
          </w:p>
        </w:tc>
        <w:tc>
          <w:tcPr>
            <w:tcW w:w="100" w:type="dxa"/>
            <w:vAlign w:val="bottom"/>
          </w:tcPr>
          <w:p>
            <w:pPr>
              <w:spacing w:after="0"/>
              <w:rPr>
                <w:sz w:val="20"/>
                <w:szCs w:val="20"/>
                <w:color w:val="auto"/>
              </w:rPr>
            </w:pPr>
          </w:p>
        </w:tc>
      </w:tr>
      <w:tr>
        <w:trPr>
          <w:trHeight w:val="20"/>
        </w:trPr>
        <w:tc>
          <w:tcPr>
            <w:tcW w:w="8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8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8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Activities</w:t>
            </w: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Securities sold and not settled</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55,960</w:t>
            </w:r>
          </w:p>
        </w:tc>
        <w:tc>
          <w:tcPr>
            <w:tcW w:w="30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8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Transfer of loans to other real estate owned</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30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Lease liabilities arising from obtaining right-of-use assets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11,175</w:t>
            </w:r>
          </w:p>
        </w:tc>
        <w:tc>
          <w:tcPr>
            <w:tcW w:w="30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-953770</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-953770</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 w:name="page9"/>
    <w:bookmarkEnd w:id="8"/>
    <w:p>
      <w:pPr>
        <w:jc w:val="center"/>
        <w:ind w:left="340" w:right="2440"/>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CVB FINANCIAL CORP. AND SUBSIDIARIES NOTES TO THE CONDENSED CONSOLIDATED FINANCIAL STATEMENTS </w:t>
      </w: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40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tab/>
        <w:t>BUSINESS</w:t>
      </w:r>
    </w:p>
    <w:p>
      <w:pPr>
        <w:spacing w:after="0" w:line="229" w:lineRule="exact"/>
        <w:rPr>
          <w:sz w:val="20"/>
          <w:szCs w:val="20"/>
          <w:color w:val="auto"/>
        </w:rPr>
      </w:pPr>
    </w:p>
    <w:p>
      <w:pPr>
        <w:ind w:firstLine="469"/>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include CVB Financial Corp. (referred to herein on an unconsolidated basis as “CVB” and on a consolidated basis as “we”, “our” or the “Company”) and its wholly owned subsidiary: Citizens Business Bank (the “Bank” or “CBB”), after elimination of all intercompany transactions and balances. The Company has one inactive subsidiary, Chino Valley Bancorp.</w:t>
      </w:r>
    </w:p>
    <w:p>
      <w:pPr>
        <w:spacing w:after="0" w:line="176" w:lineRule="exact"/>
        <w:rPr>
          <w:sz w:val="20"/>
          <w:szCs w:val="20"/>
          <w:color w:val="auto"/>
        </w:rPr>
      </w:pPr>
    </w:p>
    <w:p>
      <w:pPr>
        <w:ind w:right="20" w:firstLine="469"/>
        <w:spacing w:after="0" w:line="281" w:lineRule="auto"/>
        <w:rPr>
          <w:sz w:val="20"/>
          <w:szCs w:val="20"/>
          <w:color w:val="auto"/>
        </w:rPr>
      </w:pPr>
      <w:r>
        <w:rPr>
          <w:rFonts w:ascii="Times New Roman" w:cs="Times New Roman" w:eastAsia="Times New Roman" w:hAnsi="Times New Roman"/>
          <w:sz w:val="17"/>
          <w:szCs w:val="17"/>
          <w:color w:val="auto"/>
        </w:rPr>
        <w:t>The Company’s primary operations are related to traditional banking activities. This includes the acceptance of deposits and the lending and investing of money through the operations of the Bank. The Bank also provides trust and investment-related services to customers through its CitizensTrust Division. The Bank’s customers consist primarily of small to mid-sized businesses and individuals located throughout California. As of September 30, 2024, the Bank operated 62 banking centers and three trust office locations. The Company is headquartered in the city of Ontario, California.</w:t>
      </w:r>
    </w:p>
    <w:p>
      <w:pPr>
        <w:spacing w:after="0" w:line="16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BASIS OF PRESENTATION</w:t>
      </w:r>
    </w:p>
    <w:p>
      <w:pPr>
        <w:spacing w:after="0" w:line="229" w:lineRule="exact"/>
        <w:rPr>
          <w:sz w:val="20"/>
          <w:szCs w:val="20"/>
          <w:color w:val="auto"/>
        </w:rPr>
      </w:pPr>
    </w:p>
    <w:p>
      <w:pPr>
        <w:ind w:firstLine="469"/>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and notes thereto have been prepared in accordance with the rules and regulations of the Securities and Exchange Commission (“SEC”) for Form 10-Q and conform to practices within the banking industry and include all of the information and disclosures required by accounting principles generally accepted in the United States of America (“GAAP”) for interim financial reporting. The accompanying unaudited condensed consolidated financial statements reflect all adjustments (consisting only of normal recurring adjustments), which are necessary for a fair presentation of financial results for the interim periods presented. The results of operations for the three and nine months ended September 30, 2024 are not necessarily indicative of the results for the full year. Certain information and note disclosures normally included in annual financial statements prepared in accordance with GAAP have been condensed or omitted. These unaudited condensed consolidated financial statements should be read in conjunction with the consolidated financial statements, accounting policies and financial notes thereto included in the Company’s Annual Report on Form 10-K for the fiscal year ended December 31, 2023, filed with the SEC. A summary of the significant accounting policies consistently applied in the preparation of the accompanying unaudited condensed consolidated financial statements follows.</w:t>
      </w:r>
    </w:p>
    <w:p>
      <w:pPr>
        <w:spacing w:after="0" w:line="190" w:lineRule="exact"/>
        <w:rPr>
          <w:sz w:val="20"/>
          <w:szCs w:val="20"/>
          <w:color w:val="auto"/>
        </w:rPr>
      </w:pPr>
    </w:p>
    <w:p>
      <w:pPr>
        <w:ind w:right="320" w:firstLine="46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Reclassification </w:t>
      </w:r>
      <w:r>
        <w:rPr>
          <w:rFonts w:ascii="Times New Roman" w:cs="Times New Roman" w:eastAsia="Times New Roman" w:hAnsi="Times New Roman"/>
          <w:sz w:val="18"/>
          <w:szCs w:val="18"/>
          <w:color w:val="auto"/>
        </w:rPr>
        <w:t>— Certain amounts in the prior periods’ unaudited condensed consolidated financial statements and related footnote disclosures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have been reclassified to conform to the current presentation with no impact on previously reported net income or stockholders’ equity.</w:t>
      </w:r>
    </w:p>
    <w:p>
      <w:pPr>
        <w:spacing w:after="0" w:line="15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227" w:lineRule="exact"/>
        <w:rPr>
          <w:sz w:val="20"/>
          <w:szCs w:val="20"/>
          <w:color w:val="auto"/>
        </w:rPr>
      </w:pPr>
    </w:p>
    <w:p>
      <w:pPr>
        <w:ind w:right="260" w:firstLine="469"/>
        <w:spacing w:after="0" w:line="267" w:lineRule="auto"/>
        <w:rPr>
          <w:sz w:val="20"/>
          <w:szCs w:val="20"/>
          <w:color w:val="auto"/>
        </w:rPr>
      </w:pPr>
      <w:r>
        <w:rPr>
          <w:rFonts w:ascii="Times New Roman" w:cs="Times New Roman" w:eastAsia="Times New Roman" w:hAnsi="Times New Roman"/>
          <w:sz w:val="18"/>
          <w:szCs w:val="18"/>
          <w:color w:val="auto"/>
        </w:rPr>
        <w:t xml:space="preserve">Except as discussed below, our accounting policies are described in Note 3 –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of our audited consolidated financial statements included in our Annual Report on Form 10-K for the year ended December 31, 2023 as filed with the SEC (“Form 10-K”).</w:t>
      </w:r>
    </w:p>
    <w:p>
      <w:pPr>
        <w:spacing w:after="0" w:line="171" w:lineRule="exact"/>
        <w:rPr>
          <w:sz w:val="20"/>
          <w:szCs w:val="20"/>
          <w:color w:val="auto"/>
        </w:rPr>
      </w:pPr>
    </w:p>
    <w:p>
      <w:pPr>
        <w:ind w:firstLine="46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Use of Estimates in the Preparation of Financial Statements </w:t>
      </w:r>
      <w:r>
        <w:rPr>
          <w:rFonts w:ascii="Times New Roman" w:cs="Times New Roman" w:eastAsia="Times New Roman" w:hAnsi="Times New Roman"/>
          <w:sz w:val="18"/>
          <w:szCs w:val="18"/>
          <w:color w:val="auto"/>
        </w:rPr>
        <w:t>— The preparation of financial statements in conformity with GAAP requires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could differ from those estimates. A material estimate that is particularly susceptible to significant change in the near term relates to the determination of the allowance for credit losses. Other significant estimates, which may be subject to change, include fair value determinations and disclosures, impairment of investments, goodwill, loans, as well as valuation of deferred tax assets.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9" w:name="page10"/>
    <w:bookmarkEnd w:id="9"/>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INVESTMENT SECURITIES</w:t>
      </w:r>
    </w:p>
    <w:p>
      <w:pPr>
        <w:spacing w:after="0" w:line="229" w:lineRule="exact"/>
        <w:rPr>
          <w:sz w:val="20"/>
          <w:szCs w:val="20"/>
          <w:color w:val="auto"/>
        </w:rPr>
      </w:pPr>
    </w:p>
    <w:p>
      <w:pPr>
        <w:ind w:right="400" w:firstLine="469"/>
        <w:spacing w:after="0" w:line="257" w:lineRule="auto"/>
        <w:rPr>
          <w:sz w:val="20"/>
          <w:szCs w:val="20"/>
          <w:color w:val="auto"/>
        </w:rPr>
      </w:pPr>
      <w:r>
        <w:rPr>
          <w:rFonts w:ascii="Times New Roman" w:cs="Times New Roman" w:eastAsia="Times New Roman" w:hAnsi="Times New Roman"/>
          <w:sz w:val="18"/>
          <w:szCs w:val="18"/>
          <w:color w:val="auto"/>
        </w:rPr>
        <w:t>The amortized cost and estimated fair value of investment securities are summarized below. The majority of securities held are available-for-sale securities with fair value based on quoted prices for similar assets in active markets or quoted prices for identical assets in markets that are not active. Estimated fair values were obtained from an independent pricing service based upon market quotes.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9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center"/>
              <w:ind w:right="90"/>
              <w:spacing w:after="0" w:line="203"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460"/>
              <w:spacing w:after="0" w:line="203"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140" w:type="dxa"/>
            <w:vAlign w:val="bottom"/>
          </w:tcPr>
          <w:p>
            <w:pPr>
              <w:spacing w:after="0"/>
              <w:rPr>
                <w:sz w:val="18"/>
                <w:szCs w:val="18"/>
                <w:color w:val="auto"/>
              </w:rPr>
            </w:pPr>
          </w:p>
        </w:tc>
        <w:tc>
          <w:tcPr>
            <w:tcW w:w="11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9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Cost</w:t>
            </w:r>
          </w:p>
        </w:tc>
        <w:tc>
          <w:tcPr>
            <w:tcW w:w="340" w:type="dxa"/>
            <w:vAlign w:val="bottom"/>
          </w:tcPr>
          <w:p>
            <w:pPr>
              <w:spacing w:after="0"/>
              <w:rPr>
                <w:sz w:val="21"/>
                <w:szCs w:val="21"/>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Holding Gain</w:t>
            </w:r>
          </w:p>
        </w:tc>
        <w:tc>
          <w:tcPr>
            <w:tcW w:w="320" w:type="dxa"/>
            <w:vAlign w:val="bottom"/>
          </w:tcPr>
          <w:p>
            <w:pPr>
              <w:spacing w:after="0"/>
              <w:rPr>
                <w:sz w:val="21"/>
                <w:szCs w:val="21"/>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Holding Loss</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60" w:type="dxa"/>
            <w:vAlign w:val="bottom"/>
          </w:tcPr>
          <w:p>
            <w:pPr>
              <w:spacing w:after="0"/>
              <w:rPr>
                <w:sz w:val="21"/>
                <w:szCs w:val="21"/>
                <w:color w:val="auto"/>
              </w:rPr>
            </w:pPr>
          </w:p>
        </w:tc>
        <w:tc>
          <w:tcPr>
            <w:tcW w:w="1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Percent</w:t>
            </w:r>
          </w:p>
        </w:tc>
        <w:tc>
          <w:tcPr>
            <w:tcW w:w="16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3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20" w:type="dxa"/>
            <w:vAlign w:val="bottom"/>
            <w:gridSpan w:val="4"/>
          </w:tcPr>
          <w:p>
            <w:pPr>
              <w:jc w:val="right"/>
              <w:ind w:right="30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 securities available-for-sale:</w:t>
            </w: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Government agency/GSE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33,921</w:t>
            </w:r>
          </w:p>
        </w:tc>
        <w:tc>
          <w:tcPr>
            <w:tcW w:w="3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34,129</w:t>
            </w: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1.38 %</w:t>
            </w:r>
          </w:p>
        </w:tc>
        <w:tc>
          <w:tcPr>
            <w:tcW w:w="0" w:type="dxa"/>
            <w:vAlign w:val="bottom"/>
          </w:tcPr>
          <w:p>
            <w:pPr>
              <w:spacing w:after="0"/>
              <w:rPr>
                <w:sz w:val="1"/>
                <w:szCs w:val="1"/>
                <w:color w:val="auto"/>
              </w:rPr>
            </w:pPr>
          </w:p>
        </w:tc>
      </w:tr>
      <w:tr>
        <w:trPr>
          <w:trHeight w:val="238"/>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2,295,381</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(261,825 )</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2,033,599</w:t>
            </w: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82.48 %</w:t>
            </w:r>
          </w:p>
        </w:tc>
        <w:tc>
          <w:tcPr>
            <w:tcW w:w="0" w:type="dxa"/>
            <w:vAlign w:val="bottom"/>
          </w:tcPr>
          <w:p>
            <w:pPr>
              <w:spacing w:after="0"/>
              <w:rPr>
                <w:sz w:val="1"/>
                <w:szCs w:val="1"/>
                <w:color w:val="auto"/>
              </w:rPr>
            </w:pPr>
          </w:p>
        </w:tc>
      </w:tr>
      <w:tr>
        <w:trPr>
          <w:trHeight w:val="243"/>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CMO/REMIC</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476,051</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(105,044 )</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371,007</w:t>
            </w: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15.05 %</w:t>
            </w:r>
          </w:p>
        </w:tc>
        <w:tc>
          <w:tcPr>
            <w:tcW w:w="0" w:type="dxa"/>
            <w:vAlign w:val="bottom"/>
          </w:tcPr>
          <w:p>
            <w:pPr>
              <w:spacing w:after="0"/>
              <w:rPr>
                <w:sz w:val="1"/>
                <w:szCs w:val="1"/>
                <w:color w:val="auto"/>
              </w:rPr>
            </w:pPr>
          </w:p>
        </w:tc>
      </w:tr>
      <w:tr>
        <w:trPr>
          <w:trHeight w:val="243"/>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Municipal bonds</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26,489</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(1,115 )</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25,420</w:t>
            </w: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1.03 %</w:t>
            </w:r>
          </w:p>
        </w:tc>
        <w:tc>
          <w:tcPr>
            <w:tcW w:w="0" w:type="dxa"/>
            <w:vAlign w:val="bottom"/>
          </w:tcPr>
          <w:p>
            <w:pPr>
              <w:spacing w:after="0"/>
              <w:rPr>
                <w:sz w:val="1"/>
                <w:szCs w:val="1"/>
                <w:color w:val="auto"/>
              </w:rPr>
            </w:pPr>
          </w:p>
        </w:tc>
      </w:tr>
      <w:tr>
        <w:trPr>
          <w:trHeight w:val="243"/>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securities</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0.06 %</w:t>
            </w:r>
          </w:p>
        </w:tc>
        <w:tc>
          <w:tcPr>
            <w:tcW w:w="0" w:type="dxa"/>
            <w:vAlign w:val="bottom"/>
          </w:tcPr>
          <w:p>
            <w:pPr>
              <w:spacing w:after="0"/>
              <w:rPr>
                <w:sz w:val="1"/>
                <w:szCs w:val="1"/>
                <w:color w:val="auto"/>
              </w:rPr>
            </w:pPr>
          </w:p>
        </w:tc>
      </w:tr>
      <w:tr>
        <w:trPr>
          <w:trHeight w:val="225"/>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Unallocated portfolio layer fair value basis</w:t>
            </w:r>
          </w:p>
        </w:tc>
        <w:tc>
          <w:tcPr>
            <w:tcW w:w="140" w:type="dxa"/>
            <w:vAlign w:val="bottom"/>
          </w:tcPr>
          <w:p>
            <w:pPr>
              <w:spacing w:after="0"/>
              <w:rPr>
                <w:sz w:val="19"/>
                <w:szCs w:val="19"/>
                <w:color w:val="auto"/>
              </w:rPr>
            </w:pPr>
          </w:p>
        </w:tc>
        <w:tc>
          <w:tcPr>
            <w:tcW w:w="14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(14,959 )</w:t>
            </w:r>
          </w:p>
        </w:tc>
        <w:tc>
          <w:tcPr>
            <w:tcW w:w="140" w:type="dxa"/>
            <w:vAlign w:val="bottom"/>
          </w:tcPr>
          <w:p>
            <w:pPr>
              <w:spacing w:after="0"/>
              <w:rPr>
                <w:sz w:val="19"/>
                <w:szCs w:val="19"/>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14,959</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color w:val="auto"/>
              </w:rPr>
              <w:t>0.00 %</w:t>
            </w:r>
          </w:p>
        </w:tc>
        <w:tc>
          <w:tcPr>
            <w:tcW w:w="0" w:type="dxa"/>
            <w:vAlign w:val="bottom"/>
          </w:tcPr>
          <w:p>
            <w:pPr>
              <w:spacing w:after="0"/>
              <w:rPr>
                <w:sz w:val="1"/>
                <w:szCs w:val="1"/>
                <w:color w:val="auto"/>
              </w:rPr>
            </w:pPr>
          </w:p>
        </w:tc>
      </w:tr>
      <w:tr>
        <w:trPr>
          <w:trHeight w:val="234"/>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(1)</w:t>
            </w:r>
          </w:p>
        </w:tc>
        <w:tc>
          <w:tcPr>
            <w:tcW w:w="140" w:type="dxa"/>
            <w:vAlign w:val="bottom"/>
          </w:tcPr>
          <w:p>
            <w:pPr>
              <w:spacing w:after="0"/>
              <w:rPr>
                <w:sz w:val="20"/>
                <w:szCs w:val="20"/>
                <w:color w:val="auto"/>
              </w:rPr>
            </w:pPr>
          </w:p>
        </w:tc>
        <w:tc>
          <w:tcPr>
            <w:tcW w:w="142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1540" w:type="dxa"/>
            <w:vAlign w:val="bottom"/>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2,818,313</w:t>
            </w:r>
          </w:p>
        </w:tc>
        <w:tc>
          <w:tcPr>
            <w:tcW w:w="3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15,256</w:t>
            </w:r>
          </w:p>
        </w:tc>
        <w:tc>
          <w:tcPr>
            <w:tcW w:w="3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(367,984 )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2,465,585</w:t>
            </w: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 securities held-to-maturity:</w:t>
            </w: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Government agency/GSE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518,446</w:t>
            </w:r>
          </w:p>
        </w:tc>
        <w:tc>
          <w:tcPr>
            <w:tcW w:w="3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(84,898 )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433,548</w:t>
            </w: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21.55 %</w:t>
            </w:r>
          </w:p>
        </w:tc>
        <w:tc>
          <w:tcPr>
            <w:tcW w:w="0" w:type="dxa"/>
            <w:vAlign w:val="bottom"/>
          </w:tcPr>
          <w:p>
            <w:pPr>
              <w:spacing w:after="0"/>
              <w:rPr>
                <w:sz w:val="1"/>
                <w:szCs w:val="1"/>
                <w:color w:val="auto"/>
              </w:rPr>
            </w:pPr>
          </w:p>
        </w:tc>
      </w:tr>
      <w:tr>
        <w:trPr>
          <w:trHeight w:val="238"/>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626,474</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(85,320 )</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541,159</w:t>
            </w: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26.05 %</w:t>
            </w:r>
          </w:p>
        </w:tc>
        <w:tc>
          <w:tcPr>
            <w:tcW w:w="0" w:type="dxa"/>
            <w:vAlign w:val="bottom"/>
          </w:tcPr>
          <w:p>
            <w:pPr>
              <w:spacing w:after="0"/>
              <w:rPr>
                <w:sz w:val="1"/>
                <w:szCs w:val="1"/>
                <w:color w:val="auto"/>
              </w:rPr>
            </w:pPr>
          </w:p>
        </w:tc>
      </w:tr>
      <w:tr>
        <w:trPr>
          <w:trHeight w:val="243"/>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CMO/REMIC</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788,622</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(144,801 )</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643,821</w:t>
            </w: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32.79 %</w:t>
            </w:r>
          </w:p>
        </w:tc>
        <w:tc>
          <w:tcPr>
            <w:tcW w:w="0" w:type="dxa"/>
            <w:vAlign w:val="bottom"/>
          </w:tcPr>
          <w:p>
            <w:pPr>
              <w:spacing w:after="0"/>
              <w:rPr>
                <w:sz w:val="1"/>
                <w:szCs w:val="1"/>
                <w:color w:val="auto"/>
              </w:rPr>
            </w:pPr>
          </w:p>
        </w:tc>
      </w:tr>
      <w:tr>
        <w:trPr>
          <w:trHeight w:val="243"/>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Municipal bonds</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460,257</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2,994</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(29,540 )</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433,711</w:t>
            </w: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19.14 %</w:t>
            </w:r>
          </w:p>
        </w:tc>
        <w:tc>
          <w:tcPr>
            <w:tcW w:w="0" w:type="dxa"/>
            <w:vAlign w:val="bottom"/>
          </w:tcPr>
          <w:p>
            <w:pPr>
              <w:spacing w:after="0"/>
              <w:rPr>
                <w:sz w:val="1"/>
                <w:szCs w:val="1"/>
                <w:color w:val="auto"/>
              </w:rPr>
            </w:pPr>
          </w:p>
        </w:tc>
      </w:tr>
      <w:tr>
        <w:trPr>
          <w:trHeight w:val="256"/>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securities (2)</w:t>
            </w: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11,455</w:t>
            </w: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11,455</w:t>
            </w:r>
          </w:p>
        </w:tc>
        <w:tc>
          <w:tcPr>
            <w:tcW w:w="260" w:type="dxa"/>
            <w:vAlign w:val="bottom"/>
          </w:tcPr>
          <w:p>
            <w:pPr>
              <w:spacing w:after="0"/>
              <w:rPr>
                <w:sz w:val="22"/>
                <w:szCs w:val="22"/>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0.47 %</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held-to-maturity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2,405,254</w:t>
            </w:r>
          </w:p>
        </w:tc>
        <w:tc>
          <w:tcPr>
            <w:tcW w:w="3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2,999</w:t>
            </w:r>
          </w:p>
        </w:tc>
        <w:tc>
          <w:tcPr>
            <w:tcW w:w="3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(344,559 )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2,063,694</w:t>
            </w: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-2202815</wp:posOffset>
            </wp:positionV>
            <wp:extent cx="7132320" cy="1543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-1893570</wp:posOffset>
            </wp:positionV>
            <wp:extent cx="7132320" cy="1543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-805180</wp:posOffset>
            </wp:positionV>
            <wp:extent cx="7132320" cy="1543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-496570</wp:posOffset>
            </wp:positionV>
            <wp:extent cx="7132320" cy="1543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-1584960</wp:posOffset>
            </wp:positionV>
            <wp:extent cx="7132320" cy="2914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69" w:lineRule="exact"/>
        <w:rPr>
          <w:sz w:val="20"/>
          <w:szCs w:val="20"/>
          <w:color w:val="auto"/>
        </w:rPr>
      </w:pPr>
    </w:p>
    <w:p>
      <w:pPr>
        <w:ind w:left="760" w:right="180" w:hanging="378"/>
        <w:spacing w:after="0" w:line="267" w:lineRule="auto"/>
        <w:tabs>
          <w:tab w:leader="none" w:pos="7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amount of portfolio layer method basis adjustments related to AFS MBS securities hedged in a closed portfolio. Under U.S. GAAP, portfolio layer method basis adjustments are not allocated to individual securities, however the amounts impact the unrealized gains or losses for the individual securities being hedged. Refer to Note 3 and Note 10 for additional information.</w:t>
      </w:r>
    </w:p>
    <w:p>
      <w:pPr>
        <w:spacing w:after="0" w:line="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Commercial Property Assessed Clean Energy ("C-PACE") bonds.</w:t>
      </w:r>
    </w:p>
    <w:p>
      <w:pPr>
        <w:spacing w:after="0" w:line="2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During the third quarter of 2024, the Bank sold AFS securities with a book value of $312 million, resulting in a net pre-tax loss of $11.6 million.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9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gridSpan w:val="4"/>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140" w:type="dxa"/>
            <w:vAlign w:val="bottom"/>
          </w:tcPr>
          <w:p>
            <w:pPr>
              <w:spacing w:after="0"/>
              <w:rPr>
                <w:sz w:val="18"/>
                <w:szCs w:val="18"/>
                <w:color w:val="auto"/>
              </w:rPr>
            </w:pPr>
          </w:p>
        </w:tc>
        <w:tc>
          <w:tcPr>
            <w:tcW w:w="11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9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Cost</w:t>
            </w:r>
          </w:p>
        </w:tc>
        <w:tc>
          <w:tcPr>
            <w:tcW w:w="340" w:type="dxa"/>
            <w:vAlign w:val="bottom"/>
          </w:tcPr>
          <w:p>
            <w:pPr>
              <w:spacing w:after="0"/>
              <w:rPr>
                <w:sz w:val="21"/>
                <w:szCs w:val="21"/>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Holding Gain</w:t>
            </w:r>
          </w:p>
        </w:tc>
        <w:tc>
          <w:tcPr>
            <w:tcW w:w="320" w:type="dxa"/>
            <w:vAlign w:val="bottom"/>
          </w:tcPr>
          <w:p>
            <w:pPr>
              <w:spacing w:after="0"/>
              <w:rPr>
                <w:sz w:val="21"/>
                <w:szCs w:val="21"/>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Holding Loss</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60" w:type="dxa"/>
            <w:vAlign w:val="bottom"/>
          </w:tcPr>
          <w:p>
            <w:pPr>
              <w:spacing w:after="0"/>
              <w:rPr>
                <w:sz w:val="21"/>
                <w:szCs w:val="21"/>
                <w:color w:val="auto"/>
              </w:rPr>
            </w:pPr>
          </w:p>
        </w:tc>
        <w:tc>
          <w:tcPr>
            <w:tcW w:w="1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Percent</w:t>
            </w:r>
          </w:p>
        </w:tc>
        <w:tc>
          <w:tcPr>
            <w:tcW w:w="16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3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20" w:type="dxa"/>
            <w:vAlign w:val="bottom"/>
            <w:gridSpan w:val="4"/>
          </w:tcPr>
          <w:p>
            <w:pPr>
              <w:jc w:val="right"/>
              <w:ind w:right="30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 securities available-for-sale:</w:t>
            </w: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Government agency/GSE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32,229</w:t>
            </w:r>
          </w:p>
        </w:tc>
        <w:tc>
          <w:tcPr>
            <w:tcW w:w="3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32,253</w:t>
            </w: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0" w:type="dxa"/>
            <w:vAlign w:val="bottom"/>
          </w:tcPr>
          <w:p>
            <w:pPr>
              <w:spacing w:after="0"/>
              <w:rPr>
                <w:sz w:val="1"/>
                <w:szCs w:val="1"/>
                <w:color w:val="auto"/>
              </w:rPr>
            </w:pPr>
          </w:p>
        </w:tc>
      </w:tr>
      <w:tr>
        <w:trPr>
          <w:trHeight w:val="238"/>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2,843,744</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(336,107 )</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2,507,679</w:t>
            </w: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84.83 %</w:t>
            </w:r>
          </w:p>
        </w:tc>
        <w:tc>
          <w:tcPr>
            <w:tcW w:w="0" w:type="dxa"/>
            <w:vAlign w:val="bottom"/>
          </w:tcPr>
          <w:p>
            <w:pPr>
              <w:spacing w:after="0"/>
              <w:rPr>
                <w:sz w:val="1"/>
                <w:szCs w:val="1"/>
                <w:color w:val="auto"/>
              </w:rPr>
            </w:pPr>
          </w:p>
        </w:tc>
      </w:tr>
      <w:tr>
        <w:trPr>
          <w:trHeight w:val="243"/>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CMO/REMIC</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502,234</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(112,872 )</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389,362</w:t>
            </w: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13.17 %</w:t>
            </w:r>
          </w:p>
        </w:tc>
        <w:tc>
          <w:tcPr>
            <w:tcW w:w="0" w:type="dxa"/>
            <w:vAlign w:val="bottom"/>
          </w:tcPr>
          <w:p>
            <w:pPr>
              <w:spacing w:after="0"/>
              <w:rPr>
                <w:sz w:val="1"/>
                <w:szCs w:val="1"/>
                <w:color w:val="auto"/>
              </w:rPr>
            </w:pPr>
          </w:p>
        </w:tc>
      </w:tr>
      <w:tr>
        <w:trPr>
          <w:trHeight w:val="243"/>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Municipal bonds</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26,477</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(888 )</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25,635</w:t>
            </w: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0.87 %</w:t>
            </w:r>
          </w:p>
        </w:tc>
        <w:tc>
          <w:tcPr>
            <w:tcW w:w="0" w:type="dxa"/>
            <w:vAlign w:val="bottom"/>
          </w:tcPr>
          <w:p>
            <w:pPr>
              <w:spacing w:after="0"/>
              <w:rPr>
                <w:sz w:val="1"/>
                <w:szCs w:val="1"/>
                <w:color w:val="auto"/>
              </w:rPr>
            </w:pPr>
          </w:p>
        </w:tc>
      </w:tr>
      <w:tr>
        <w:trPr>
          <w:trHeight w:val="243"/>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securities</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0.04 %</w:t>
            </w:r>
          </w:p>
        </w:tc>
        <w:tc>
          <w:tcPr>
            <w:tcW w:w="0" w:type="dxa"/>
            <w:vAlign w:val="bottom"/>
          </w:tcPr>
          <w:p>
            <w:pPr>
              <w:spacing w:after="0"/>
              <w:rPr>
                <w:sz w:val="1"/>
                <w:szCs w:val="1"/>
                <w:color w:val="auto"/>
              </w:rPr>
            </w:pPr>
          </w:p>
        </w:tc>
      </w:tr>
      <w:tr>
        <w:trPr>
          <w:trHeight w:val="225"/>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Unallocated portfolio layer fair value basis</w:t>
            </w:r>
          </w:p>
        </w:tc>
        <w:tc>
          <w:tcPr>
            <w:tcW w:w="140" w:type="dxa"/>
            <w:vAlign w:val="bottom"/>
          </w:tcPr>
          <w:p>
            <w:pPr>
              <w:spacing w:after="0"/>
              <w:rPr>
                <w:sz w:val="19"/>
                <w:szCs w:val="19"/>
                <w:color w:val="auto"/>
              </w:rPr>
            </w:pPr>
          </w:p>
        </w:tc>
        <w:tc>
          <w:tcPr>
            <w:tcW w:w="14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(6,938 )</w:t>
            </w:r>
          </w:p>
        </w:tc>
        <w:tc>
          <w:tcPr>
            <w:tcW w:w="140" w:type="dxa"/>
            <w:vAlign w:val="bottom"/>
          </w:tcPr>
          <w:p>
            <w:pPr>
              <w:spacing w:after="0"/>
              <w:rPr>
                <w:sz w:val="19"/>
                <w:szCs w:val="19"/>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6,938</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color w:val="auto"/>
              </w:rPr>
              <w:t>0.00 %</w:t>
            </w:r>
          </w:p>
        </w:tc>
        <w:tc>
          <w:tcPr>
            <w:tcW w:w="0" w:type="dxa"/>
            <w:vAlign w:val="bottom"/>
          </w:tcPr>
          <w:p>
            <w:pPr>
              <w:spacing w:after="0"/>
              <w:rPr>
                <w:sz w:val="1"/>
                <w:szCs w:val="1"/>
                <w:color w:val="auto"/>
              </w:rPr>
            </w:pPr>
          </w:p>
        </w:tc>
      </w:tr>
      <w:tr>
        <w:trPr>
          <w:trHeight w:val="234"/>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(1)</w:t>
            </w:r>
          </w:p>
        </w:tc>
        <w:tc>
          <w:tcPr>
            <w:tcW w:w="140" w:type="dxa"/>
            <w:vAlign w:val="bottom"/>
          </w:tcPr>
          <w:p>
            <w:pPr>
              <w:spacing w:after="0"/>
              <w:rPr>
                <w:sz w:val="20"/>
                <w:szCs w:val="20"/>
                <w:color w:val="auto"/>
              </w:rPr>
            </w:pPr>
          </w:p>
        </w:tc>
        <w:tc>
          <w:tcPr>
            <w:tcW w:w="142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1540" w:type="dxa"/>
            <w:vAlign w:val="bottom"/>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3,398,942</w:t>
            </w:r>
          </w:p>
        </w:tc>
        <w:tc>
          <w:tcPr>
            <w:tcW w:w="3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7,050</w:t>
            </w:r>
          </w:p>
        </w:tc>
        <w:tc>
          <w:tcPr>
            <w:tcW w:w="3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(449,867 )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2,956,125</w:t>
            </w: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 securities held-to-maturity:</w:t>
            </w: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Government agency/GSE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530,656</w:t>
            </w:r>
          </w:p>
        </w:tc>
        <w:tc>
          <w:tcPr>
            <w:tcW w:w="3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(97,972 )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432,684</w:t>
            </w: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21.53 %</w:t>
            </w:r>
          </w:p>
        </w:tc>
        <w:tc>
          <w:tcPr>
            <w:tcW w:w="0" w:type="dxa"/>
            <w:vAlign w:val="bottom"/>
          </w:tcPr>
          <w:p>
            <w:pPr>
              <w:spacing w:after="0"/>
              <w:rPr>
                <w:sz w:val="1"/>
                <w:szCs w:val="1"/>
                <w:color w:val="auto"/>
              </w:rPr>
            </w:pPr>
          </w:p>
        </w:tc>
      </w:tr>
      <w:tr>
        <w:trPr>
          <w:trHeight w:val="238"/>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663,090</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(97,436 )</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565,654</w:t>
            </w: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26.90 %</w:t>
            </w:r>
          </w:p>
        </w:tc>
        <w:tc>
          <w:tcPr>
            <w:tcW w:w="0" w:type="dxa"/>
            <w:vAlign w:val="bottom"/>
          </w:tcPr>
          <w:p>
            <w:pPr>
              <w:spacing w:after="0"/>
              <w:rPr>
                <w:sz w:val="1"/>
                <w:szCs w:val="1"/>
                <w:color w:val="auto"/>
              </w:rPr>
            </w:pPr>
          </w:p>
        </w:tc>
      </w:tr>
      <w:tr>
        <w:trPr>
          <w:trHeight w:val="243"/>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CMO/REMIC</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802,892</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(156,155 )</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646,737</w:t>
            </w: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32.58 %</w:t>
            </w:r>
          </w:p>
        </w:tc>
        <w:tc>
          <w:tcPr>
            <w:tcW w:w="0" w:type="dxa"/>
            <w:vAlign w:val="bottom"/>
          </w:tcPr>
          <w:p>
            <w:pPr>
              <w:spacing w:after="0"/>
              <w:rPr>
                <w:sz w:val="1"/>
                <w:szCs w:val="1"/>
                <w:color w:val="auto"/>
              </w:rPr>
            </w:pPr>
          </w:p>
        </w:tc>
      </w:tr>
      <w:tr>
        <w:trPr>
          <w:trHeight w:val="256"/>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Municipal bonds</w:t>
            </w: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467,972</w:t>
            </w: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3,438</w:t>
            </w: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(33,604 )</w:t>
            </w:r>
          </w:p>
        </w:tc>
        <w:tc>
          <w:tcPr>
            <w:tcW w:w="1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437,806</w:t>
            </w: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18.99 %</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held-to-maturity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2,464,610</w:t>
            </w:r>
          </w:p>
        </w:tc>
        <w:tc>
          <w:tcPr>
            <w:tcW w:w="3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3,438</w:t>
            </w:r>
          </w:p>
        </w:tc>
        <w:tc>
          <w:tcPr>
            <w:tcW w:w="3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(385,167 )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2,082,881</w:t>
            </w: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-2047875</wp:posOffset>
            </wp:positionV>
            <wp:extent cx="7132320" cy="1543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-1739265</wp:posOffset>
            </wp:positionV>
            <wp:extent cx="7132320" cy="1543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-650875</wp:posOffset>
            </wp:positionV>
            <wp:extent cx="7132320" cy="1543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-1430655</wp:posOffset>
            </wp:positionV>
            <wp:extent cx="7132320" cy="2914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-342265</wp:posOffset>
            </wp:positionV>
            <wp:extent cx="7132320" cy="1625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7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089" w:right="279" w:bottom="1440" w:gutter="0" w:footer="0" w:header="0"/>
        </w:sectPr>
      </w:pPr>
    </w:p>
    <w:bookmarkStart w:id="10" w:name="page11"/>
    <w:bookmarkEnd w:id="10"/>
    <w:p>
      <w:pPr>
        <w:ind w:right="280" w:firstLine="464"/>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the amount of interest income earned on investment securities which is fully taxable and which is exempt from regular federal income tax.</w:t>
      </w:r>
    </w:p>
    <w:p>
      <w:pPr>
        <w:spacing w:after="0" w:line="171" w:lineRule="exact"/>
        <w:rPr>
          <w:sz w:val="20"/>
          <w:szCs w:val="20"/>
          <w:color w:val="auto"/>
        </w:rPr>
      </w:pPr>
    </w:p>
    <w:tbl>
      <w:tblPr>
        <w:tblLayout w:type="fixed"/>
        <w:tblInd w:w="5640" w:type="dxa"/>
        <w:tblCellMar>
          <w:top w:w="0" w:type="dxa"/>
          <w:left w:w="0" w:type="dxa"/>
          <w:bottom w:w="0" w:type="dxa"/>
          <w:right w:w="0" w:type="dxa"/>
        </w:tblCellMar>
      </w:tblPr>
      <w:tr>
        <w:trPr>
          <w:trHeight w:val="238"/>
        </w:trPr>
        <w:tc>
          <w:tcPr>
            <w:tcW w:w="26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40" w:type="dxa"/>
            <w:vAlign w:val="bottom"/>
          </w:tcPr>
          <w:p>
            <w:pPr>
              <w:spacing w:after="0"/>
              <w:rPr>
                <w:sz w:val="20"/>
                <w:szCs w:val="20"/>
                <w:color w:val="auto"/>
              </w:rPr>
            </w:pPr>
          </w:p>
        </w:tc>
        <w:tc>
          <w:tcPr>
            <w:tcW w:w="25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50"/>
        </w:trPr>
        <w:tc>
          <w:tcPr>
            <w:tcW w:w="1860" w:type="dxa"/>
            <w:vAlign w:val="bottom"/>
            <w:tcBorders>
              <w:bottom w:val="single" w:sz="8" w:color="auto"/>
            </w:tcBorders>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74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25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38"/>
        </w:trPr>
        <w:tc>
          <w:tcPr>
            <w:tcW w:w="1860" w:type="dxa"/>
            <w:vAlign w:val="bottom"/>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340" w:type="dxa"/>
            <w:vAlign w:val="bottom"/>
          </w:tcPr>
          <w:p>
            <w:pPr>
              <w:spacing w:after="0"/>
              <w:rPr>
                <w:sz w:val="20"/>
                <w:szCs w:val="20"/>
                <w:color w:val="auto"/>
              </w:rPr>
            </w:pPr>
          </w:p>
        </w:tc>
        <w:tc>
          <w:tcPr>
            <w:tcW w:w="12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3175</wp:posOffset>
            </wp:positionV>
            <wp:extent cx="348869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9"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6"/>
          <w:szCs w:val="16"/>
          <w:i w:val="1"/>
          <w:iCs w:val="1"/>
          <w:color w:val="auto"/>
        </w:rPr>
        <w:t>(Dollars in thousands)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 securities available-for-sale:</w:t>
            </w:r>
          </w:p>
        </w:tc>
        <w:tc>
          <w:tcPr>
            <w:tcW w:w="38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Taxable</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20,010</w:t>
            </w:r>
          </w:p>
        </w:tc>
        <w:tc>
          <w:tcPr>
            <w:tcW w:w="6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22,272</w:t>
            </w:r>
          </w:p>
        </w:tc>
        <w:tc>
          <w:tcPr>
            <w:tcW w:w="6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62,347</w:t>
            </w:r>
          </w:p>
        </w:tc>
        <w:tc>
          <w:tcPr>
            <w:tcW w:w="6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60,887</w:t>
            </w:r>
          </w:p>
        </w:tc>
        <w:tc>
          <w:tcPr>
            <w:tcW w:w="100" w:type="dxa"/>
            <w:vAlign w:val="bottom"/>
          </w:tcPr>
          <w:p>
            <w:pPr>
              <w:spacing w:after="0"/>
              <w:rPr>
                <w:sz w:val="20"/>
                <w:szCs w:val="20"/>
                <w:color w:val="auto"/>
              </w:rPr>
            </w:pPr>
          </w:p>
        </w:tc>
      </w:tr>
      <w:tr>
        <w:trPr>
          <w:trHeight w:val="247"/>
        </w:trPr>
        <w:tc>
          <w:tcPr>
            <w:tcW w:w="5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Tax-advantaged</w:t>
            </w:r>
          </w:p>
        </w:tc>
        <w:tc>
          <w:tcPr>
            <w:tcW w:w="38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3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3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6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interest income from available-for-sale securities</w:t>
            </w: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20,178</w:t>
            </w:r>
          </w:p>
        </w:tc>
        <w:tc>
          <w:tcPr>
            <w:tcW w:w="3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22,441</w:t>
            </w:r>
          </w:p>
        </w:tc>
        <w:tc>
          <w:tcPr>
            <w:tcW w:w="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62,849</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61,393</w:t>
            </w:r>
          </w:p>
        </w:tc>
        <w:tc>
          <w:tcPr>
            <w:tcW w:w="100" w:type="dxa"/>
            <w:vAlign w:val="bottom"/>
          </w:tcPr>
          <w:p>
            <w:pPr>
              <w:spacing w:after="0"/>
              <w:rPr>
                <w:sz w:val="20"/>
                <w:szCs w:val="20"/>
                <w:color w:val="auto"/>
              </w:rPr>
            </w:pPr>
          </w:p>
        </w:tc>
      </w:tr>
      <w:tr>
        <w:trPr>
          <w:trHeight w:val="236"/>
        </w:trPr>
        <w:tc>
          <w:tcPr>
            <w:tcW w:w="5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 securities held-to-maturity:</w:t>
            </w:r>
          </w:p>
        </w:tc>
        <w:tc>
          <w:tcPr>
            <w:tcW w:w="38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Taxable</w:t>
            </w: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10,896</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11,139</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32,930</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33,939</w:t>
            </w:r>
          </w:p>
        </w:tc>
        <w:tc>
          <w:tcPr>
            <w:tcW w:w="100" w:type="dxa"/>
            <w:vAlign w:val="bottom"/>
          </w:tcPr>
          <w:p>
            <w:pPr>
              <w:spacing w:after="0"/>
              <w:rPr>
                <w:sz w:val="20"/>
                <w:szCs w:val="20"/>
                <w:color w:val="auto"/>
              </w:rPr>
            </w:pPr>
          </w:p>
        </w:tc>
      </w:tr>
      <w:tr>
        <w:trPr>
          <w:trHeight w:val="247"/>
        </w:trPr>
        <w:tc>
          <w:tcPr>
            <w:tcW w:w="5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Tax-advantaged</w:t>
            </w:r>
          </w:p>
        </w:tc>
        <w:tc>
          <w:tcPr>
            <w:tcW w:w="38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3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3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7,201</w:t>
            </w:r>
          </w:p>
        </w:tc>
        <w:tc>
          <w:tcPr>
            <w:tcW w:w="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7,333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6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interest income from held-to-maturity securities</w:t>
            </w: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13,284</w:t>
            </w:r>
          </w:p>
        </w:tc>
        <w:tc>
          <w:tcPr>
            <w:tcW w:w="3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13,576</w:t>
            </w:r>
          </w:p>
        </w:tc>
        <w:tc>
          <w:tcPr>
            <w:tcW w:w="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40,131</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41,272</w:t>
            </w:r>
          </w:p>
        </w:tc>
        <w:tc>
          <w:tcPr>
            <w:tcW w:w="100" w:type="dxa"/>
            <w:vAlign w:val="bottom"/>
          </w:tcPr>
          <w:p>
            <w:pPr>
              <w:spacing w:after="0"/>
              <w:rPr>
                <w:sz w:val="20"/>
                <w:szCs w:val="20"/>
                <w:color w:val="auto"/>
              </w:rPr>
            </w:pPr>
          </w:p>
        </w:tc>
      </w:tr>
      <w:tr>
        <w:trPr>
          <w:trHeight w:val="277"/>
        </w:trPr>
        <w:tc>
          <w:tcPr>
            <w:tcW w:w="5640" w:type="dxa"/>
            <w:vAlign w:val="bottom"/>
            <w:tcBorders>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interest income from investment securities</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33,462</w:t>
            </w:r>
          </w:p>
        </w:tc>
        <w:tc>
          <w:tcPr>
            <w:tcW w:w="30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36,017</w:t>
            </w:r>
          </w:p>
        </w:tc>
        <w:tc>
          <w:tcPr>
            <w:tcW w:w="34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102,980</w:t>
            </w:r>
          </w:p>
        </w:tc>
        <w:tc>
          <w:tcPr>
            <w:tcW w:w="2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102,665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-985520</wp:posOffset>
            </wp:positionV>
            <wp:extent cx="7747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-985520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-985520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-985520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-350520</wp:posOffset>
            </wp:positionV>
            <wp:extent cx="7747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-350520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-350520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-25400</wp:posOffset>
            </wp:positionV>
            <wp:extent cx="7747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-8255</wp:posOffset>
            </wp:positionV>
            <wp:extent cx="7747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-25400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-8255</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-25400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-8255</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260" w:firstLine="469"/>
        <w:spacing w:after="0" w:line="261" w:lineRule="auto"/>
        <w:rPr>
          <w:sz w:val="20"/>
          <w:szCs w:val="20"/>
          <w:color w:val="auto"/>
        </w:rPr>
      </w:pPr>
      <w:r>
        <w:rPr>
          <w:rFonts w:ascii="Times New Roman" w:cs="Times New Roman" w:eastAsia="Times New Roman" w:hAnsi="Times New Roman"/>
          <w:sz w:val="18"/>
          <w:szCs w:val="18"/>
          <w:color w:val="auto"/>
        </w:rPr>
        <w:t>Approximately 90% of the total investment securities portfolio at September 30, 2024 represents securities issued by the U.S. government or U.S. government-sponsored enterprises, with the implied guarantee of payment of principal and interest. The remaining securities are predominately AA or better general-obligation municipal bonds. The allowance for credit losses for held-to-maturity investment securities under the CECL model was zero at September 30, 2024 and December 31, 2023.</w:t>
      </w:r>
    </w:p>
    <w:p>
      <w:pPr>
        <w:spacing w:after="0" w:line="180" w:lineRule="exact"/>
        <w:rPr>
          <w:sz w:val="20"/>
          <w:szCs w:val="20"/>
          <w:color w:val="auto"/>
        </w:rPr>
      </w:pPr>
    </w:p>
    <w:p>
      <w:pPr>
        <w:ind w:right="200" w:firstLine="46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available-for-sale and held-to-maturity investment securities, by investment category, in an unrealized loss position for which an allowance for credit losses has not been recorded as of September 30, 2024 and December 31, 2023.</w:t>
      </w:r>
    </w:p>
    <w:p>
      <w:pPr>
        <w:spacing w:after="0" w:line="178"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6"/>
          <w:szCs w:val="16"/>
          <w:b w:val="1"/>
          <w:bCs w:val="1"/>
          <w:color w:val="auto"/>
        </w:rPr>
        <w:t>September 30, 2024</w:t>
      </w:r>
    </w:p>
    <w:p>
      <w:pPr>
        <w:spacing w:after="0" w:line="28" w:lineRule="exact"/>
        <w:rPr>
          <w:sz w:val="20"/>
          <w:szCs w:val="20"/>
          <w:color w:val="auto"/>
        </w:rPr>
      </w:pPr>
    </w:p>
    <w:tbl>
      <w:tblPr>
        <w:tblLayout w:type="fixed"/>
        <w:tblInd w:w="3540" w:type="dxa"/>
        <w:tblCellMar>
          <w:top w:w="0" w:type="dxa"/>
          <w:left w:w="0" w:type="dxa"/>
          <w:bottom w:w="0" w:type="dxa"/>
          <w:right w:w="0" w:type="dxa"/>
        </w:tblCellMar>
      </w:tblPr>
      <w:tr>
        <w:trPr>
          <w:trHeight w:val="236"/>
        </w:trPr>
        <w:tc>
          <w:tcPr>
            <w:tcW w:w="2360" w:type="dxa"/>
            <w:vAlign w:val="bottom"/>
            <w:tcBorders>
              <w:top w:val="single" w:sz="8" w:color="auto"/>
              <w:bottom w:val="single" w:sz="8" w:color="auto"/>
            </w:tcBorders>
            <w:gridSpan w:val="2"/>
          </w:tcPr>
          <w:p>
            <w:pPr>
              <w:ind w:left="440"/>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320" w:type="dxa"/>
            <w:vAlign w:val="bottom"/>
            <w:tcBorders>
              <w:top w:val="single" w:sz="8" w:color="auto"/>
            </w:tcBorders>
          </w:tcPr>
          <w:p>
            <w:pPr>
              <w:spacing w:after="0"/>
              <w:rPr>
                <w:sz w:val="20"/>
                <w:szCs w:val="20"/>
                <w:color w:val="auto"/>
              </w:rPr>
            </w:pPr>
          </w:p>
        </w:tc>
        <w:tc>
          <w:tcPr>
            <w:tcW w:w="2340" w:type="dxa"/>
            <w:vAlign w:val="bottom"/>
            <w:tcBorders>
              <w:top w:val="single" w:sz="8" w:color="auto"/>
              <w:bottom w:val="single" w:sz="8" w:color="auto"/>
            </w:tcBorders>
            <w:gridSpan w:val="2"/>
          </w:tcPr>
          <w:p>
            <w:pPr>
              <w:ind w:left="440"/>
              <w:spacing w:after="0"/>
              <w:rPr>
                <w:sz w:val="20"/>
                <w:szCs w:val="20"/>
                <w:color w:val="auto"/>
              </w:rPr>
            </w:pPr>
            <w:r>
              <w:rPr>
                <w:rFonts w:ascii="Times New Roman" w:cs="Times New Roman" w:eastAsia="Times New Roman" w:hAnsi="Times New Roman"/>
                <w:sz w:val="16"/>
                <w:szCs w:val="16"/>
                <w:b w:val="1"/>
                <w:bCs w:val="1"/>
                <w:color w:val="auto"/>
              </w:rPr>
              <w:t>12 Months or Longer</w:t>
            </w: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0"/>
        </w:trPr>
        <w:tc>
          <w:tcPr>
            <w:tcW w:w="1160" w:type="dxa"/>
            <w:vAlign w:val="bottom"/>
          </w:tcPr>
          <w:p>
            <w:pPr>
              <w:spacing w:after="0"/>
              <w:rPr>
                <w:sz w:val="17"/>
                <w:szCs w:val="17"/>
                <w:color w:val="auto"/>
              </w:rPr>
            </w:pPr>
          </w:p>
        </w:tc>
        <w:tc>
          <w:tcPr>
            <w:tcW w:w="1200" w:type="dxa"/>
            <w:vAlign w:val="bottom"/>
          </w:tcPr>
          <w:p>
            <w:pPr>
              <w:jc w:val="center"/>
              <w:ind w:left="79"/>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80" w:type="dxa"/>
            <w:vAlign w:val="bottom"/>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80" w:type="dxa"/>
            <w:vAlign w:val="bottom"/>
          </w:tcPr>
          <w:p>
            <w:pPr>
              <w:jc w:val="center"/>
              <w:ind w:left="259"/>
              <w:spacing w:after="0"/>
              <w:rPr>
                <w:sz w:val="20"/>
                <w:szCs w:val="20"/>
                <w:color w:val="auto"/>
              </w:rPr>
            </w:pPr>
            <w:r>
              <w:rPr>
                <w:rFonts w:ascii="Times New Roman" w:cs="Times New Roman" w:eastAsia="Times New Roman" w:hAnsi="Times New Roman"/>
                <w:sz w:val="16"/>
                <w:szCs w:val="16"/>
                <w:b w:val="1"/>
                <w:bCs w:val="1"/>
                <w:color w:val="auto"/>
                <w:w w:val="99"/>
              </w:rPr>
              <w:t>Gross</w:t>
            </w:r>
          </w:p>
        </w:tc>
      </w:tr>
      <w:tr>
        <w:trPr>
          <w:trHeight w:val="203"/>
        </w:trPr>
        <w:tc>
          <w:tcPr>
            <w:tcW w:w="1160" w:type="dxa"/>
            <w:vAlign w:val="bottom"/>
          </w:tcPr>
          <w:p>
            <w:pPr>
              <w:spacing w:after="0"/>
              <w:rPr>
                <w:sz w:val="17"/>
                <w:szCs w:val="17"/>
                <w:color w:val="auto"/>
              </w:rPr>
            </w:pPr>
          </w:p>
        </w:tc>
        <w:tc>
          <w:tcPr>
            <w:tcW w:w="1200" w:type="dxa"/>
            <w:vAlign w:val="bottom"/>
          </w:tcPr>
          <w:p>
            <w:pPr>
              <w:jc w:val="center"/>
              <w:ind w:left="79"/>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80" w:type="dxa"/>
            <w:vAlign w:val="bottom"/>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80" w:type="dxa"/>
            <w:vAlign w:val="bottom"/>
          </w:tcPr>
          <w:p>
            <w:pPr>
              <w:jc w:val="center"/>
              <w:ind w:left="239"/>
              <w:spacing w:after="0"/>
              <w:rPr>
                <w:sz w:val="20"/>
                <w:szCs w:val="20"/>
                <w:color w:val="auto"/>
              </w:rPr>
            </w:pPr>
            <w:r>
              <w:rPr>
                <w:rFonts w:ascii="Times New Roman" w:cs="Times New Roman" w:eastAsia="Times New Roman" w:hAnsi="Times New Roman"/>
                <w:sz w:val="16"/>
                <w:szCs w:val="16"/>
                <w:b w:val="1"/>
                <w:bCs w:val="1"/>
                <w:color w:val="auto"/>
                <w:w w:val="99"/>
              </w:rPr>
              <w:t>Unrealized</w:t>
            </w:r>
          </w:p>
        </w:tc>
      </w:tr>
      <w:tr>
        <w:trPr>
          <w:trHeight w:val="203"/>
        </w:trPr>
        <w:tc>
          <w:tcPr>
            <w:tcW w:w="1160" w:type="dxa"/>
            <w:vAlign w:val="bottom"/>
          </w:tcPr>
          <w:p>
            <w:pPr>
              <w:spacing w:after="0"/>
              <w:rPr>
                <w:sz w:val="17"/>
                <w:szCs w:val="17"/>
                <w:color w:val="auto"/>
              </w:rPr>
            </w:pPr>
          </w:p>
        </w:tc>
        <w:tc>
          <w:tcPr>
            <w:tcW w:w="1200" w:type="dxa"/>
            <w:vAlign w:val="bottom"/>
          </w:tcPr>
          <w:p>
            <w:pPr>
              <w:jc w:val="center"/>
              <w:ind w:left="79"/>
              <w:spacing w:after="0"/>
              <w:rPr>
                <w:sz w:val="20"/>
                <w:szCs w:val="20"/>
                <w:color w:val="auto"/>
              </w:rPr>
            </w:pPr>
            <w:r>
              <w:rPr>
                <w:rFonts w:ascii="Times New Roman" w:cs="Times New Roman" w:eastAsia="Times New Roman" w:hAnsi="Times New Roman"/>
                <w:sz w:val="16"/>
                <w:szCs w:val="16"/>
                <w:b w:val="1"/>
                <w:bCs w:val="1"/>
                <w:color w:val="auto"/>
              </w:rPr>
              <w:t>Holding</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80" w:type="dxa"/>
            <w:vAlign w:val="bottom"/>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rPr>
              <w:t>Holding</w:t>
            </w: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80" w:type="dxa"/>
            <w:vAlign w:val="bottom"/>
          </w:tcPr>
          <w:p>
            <w:pPr>
              <w:jc w:val="center"/>
              <w:ind w:left="259"/>
              <w:spacing w:after="0"/>
              <w:rPr>
                <w:sz w:val="20"/>
                <w:szCs w:val="20"/>
                <w:color w:val="auto"/>
              </w:rPr>
            </w:pPr>
            <w:r>
              <w:rPr>
                <w:rFonts w:ascii="Times New Roman" w:cs="Times New Roman" w:eastAsia="Times New Roman" w:hAnsi="Times New Roman"/>
                <w:sz w:val="16"/>
                <w:szCs w:val="16"/>
                <w:b w:val="1"/>
                <w:bCs w:val="1"/>
                <w:color w:val="auto"/>
              </w:rPr>
              <w:t>Holding</w:t>
            </w:r>
          </w:p>
        </w:tc>
      </w:tr>
      <w:tr>
        <w:trPr>
          <w:trHeight w:val="212"/>
        </w:trPr>
        <w:tc>
          <w:tcPr>
            <w:tcW w:w="116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00" w:type="dxa"/>
            <w:vAlign w:val="bottom"/>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320" w:type="dxa"/>
            <w:vAlign w:val="bottom"/>
          </w:tcPr>
          <w:p>
            <w:pPr>
              <w:spacing w:after="0"/>
              <w:rPr>
                <w:sz w:val="18"/>
                <w:szCs w:val="18"/>
                <w:color w:val="auto"/>
              </w:rPr>
            </w:pPr>
          </w:p>
        </w:tc>
        <w:tc>
          <w:tcPr>
            <w:tcW w:w="116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180" w:type="dxa"/>
            <w:vAlign w:val="bottom"/>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300" w:type="dxa"/>
            <w:vAlign w:val="bottom"/>
          </w:tcPr>
          <w:p>
            <w:pPr>
              <w:spacing w:after="0"/>
              <w:rPr>
                <w:sz w:val="18"/>
                <w:szCs w:val="18"/>
                <w:color w:val="auto"/>
              </w:rPr>
            </w:pPr>
          </w:p>
        </w:tc>
        <w:tc>
          <w:tcPr>
            <w:tcW w:w="9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380" w:type="dxa"/>
            <w:vAlign w:val="bottom"/>
          </w:tcPr>
          <w:p>
            <w:pPr>
              <w:jc w:val="center"/>
              <w:ind w:left="279"/>
              <w:spacing w:after="0"/>
              <w:rPr>
                <w:sz w:val="20"/>
                <w:szCs w:val="20"/>
                <w:color w:val="auto"/>
              </w:rPr>
            </w:pPr>
            <w:r>
              <w:rPr>
                <w:rFonts w:ascii="Times New Roman" w:cs="Times New Roman" w:eastAsia="Times New Roman" w:hAnsi="Times New Roman"/>
                <w:sz w:val="16"/>
                <w:szCs w:val="16"/>
                <w:b w:val="1"/>
                <w:bCs w:val="1"/>
                <w:color w:val="auto"/>
              </w:rPr>
              <w:t>Losses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2251075</wp:posOffset>
            </wp:positionH>
            <wp:positionV relativeFrom="paragraph">
              <wp:posOffset>12700</wp:posOffset>
            </wp:positionV>
            <wp:extent cx="481774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817745" cy="8255"/>
                    </a:xfrm>
                    <a:prstGeom prst="rect">
                      <a:avLst/>
                    </a:prstGeom>
                    <a:noFill/>
                  </pic:spPr>
                </pic:pic>
              </a:graphicData>
            </a:graphic>
          </wp:anchor>
        </w:drawing>
      </w:r>
    </w:p>
    <w:p>
      <w:pPr>
        <w:spacing w:after="0" w:line="11"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i w:val="1"/>
          <w:iCs w:val="1"/>
          <w:color w:val="auto"/>
        </w:rPr>
        <w:t>(Dollars in thousands)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Investment securities available-for-sale:</w:t>
            </w: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3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Government agency/GSE</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3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3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30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2,032,214</w:t>
            </w:r>
          </w:p>
        </w:tc>
        <w:tc>
          <w:tcPr>
            <w:tcW w:w="3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(261,824 )</w:t>
            </w:r>
          </w:p>
        </w:tc>
        <w:tc>
          <w:tcPr>
            <w:tcW w:w="2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2,032,223</w:t>
            </w: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(261,825 )</w:t>
            </w:r>
          </w:p>
        </w:tc>
      </w:tr>
      <w:tr>
        <w:trPr>
          <w:trHeight w:val="220"/>
        </w:trPr>
        <w:tc>
          <w:tcPr>
            <w:tcW w:w="3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CMO/REMIC</w:t>
            </w: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371,006</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(105,044 )</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371,006</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(105,044 )</w:t>
            </w:r>
          </w:p>
        </w:tc>
      </w:tr>
      <w:tr>
        <w:trPr>
          <w:trHeight w:val="236"/>
        </w:trPr>
        <w:tc>
          <w:tcPr>
            <w:tcW w:w="3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Municipal bonds</w:t>
            </w:r>
          </w:p>
        </w:tc>
        <w:tc>
          <w:tcPr>
            <w:tcW w:w="3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3,323</w:t>
            </w:r>
          </w:p>
        </w:tc>
        <w:tc>
          <w:tcPr>
            <w:tcW w:w="30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(48 )</w:t>
            </w: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21,190</w:t>
            </w:r>
          </w:p>
        </w:tc>
        <w:tc>
          <w:tcPr>
            <w:tcW w:w="3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(1,068 )</w:t>
            </w:r>
          </w:p>
        </w:tc>
        <w:tc>
          <w:tcPr>
            <w:tcW w:w="2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24,513</w:t>
            </w: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(1,115 )</w:t>
            </w:r>
          </w:p>
        </w:tc>
      </w:tr>
      <w:tr>
        <w:trPr>
          <w:trHeight w:val="20"/>
        </w:trPr>
        <w:tc>
          <w:tcPr>
            <w:tcW w:w="35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6"/>
        </w:trPr>
        <w:tc>
          <w:tcPr>
            <w:tcW w:w="35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available-for-sale securities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3,332</w:t>
            </w:r>
          </w:p>
        </w:tc>
        <w:tc>
          <w:tcPr>
            <w:tcW w:w="300" w:type="dxa"/>
            <w:vAlign w:val="bottom"/>
          </w:tcPr>
          <w:p>
            <w:pPr>
              <w:spacing w:after="0"/>
              <w:rPr>
                <w:sz w:val="19"/>
                <w:szCs w:val="19"/>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(48 )</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2,424,410</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(367,936 )</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2,427,742</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(367,984 )</w:t>
            </w:r>
          </w:p>
        </w:tc>
      </w:tr>
      <w:tr>
        <w:trPr>
          <w:trHeight w:val="20"/>
        </w:trPr>
        <w:tc>
          <w:tcPr>
            <w:tcW w:w="35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Investment securities held-to-maturity:</w:t>
            </w:r>
          </w:p>
        </w:tc>
        <w:tc>
          <w:tcPr>
            <w:tcW w:w="3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0"/>
        </w:trPr>
        <w:tc>
          <w:tcPr>
            <w:tcW w:w="35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Government agency/GSE</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433,548</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(84,898 )</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433,548</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(84,898 )</w:t>
            </w:r>
          </w:p>
        </w:tc>
      </w:tr>
      <w:tr>
        <w:trPr>
          <w:trHeight w:val="239"/>
        </w:trPr>
        <w:tc>
          <w:tcPr>
            <w:tcW w:w="35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3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538,947</w:t>
            </w:r>
          </w:p>
        </w:tc>
        <w:tc>
          <w:tcPr>
            <w:tcW w:w="3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(85,320 )</w:t>
            </w:r>
          </w:p>
        </w:tc>
        <w:tc>
          <w:tcPr>
            <w:tcW w:w="2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538,947</w:t>
            </w: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(85,320 )</w:t>
            </w:r>
          </w:p>
        </w:tc>
      </w:tr>
      <w:tr>
        <w:trPr>
          <w:trHeight w:val="220"/>
        </w:trPr>
        <w:tc>
          <w:tcPr>
            <w:tcW w:w="35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CMO/REMIC</w:t>
            </w: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643,821</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(144,801 )</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643,821</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(144,801 )</w:t>
            </w:r>
          </w:p>
        </w:tc>
      </w:tr>
      <w:tr>
        <w:trPr>
          <w:trHeight w:val="236"/>
        </w:trPr>
        <w:tc>
          <w:tcPr>
            <w:tcW w:w="35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Municipal bonds</w:t>
            </w:r>
          </w:p>
        </w:tc>
        <w:tc>
          <w:tcPr>
            <w:tcW w:w="3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12,760</w:t>
            </w:r>
          </w:p>
        </w:tc>
        <w:tc>
          <w:tcPr>
            <w:tcW w:w="30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(101 )</w:t>
            </w: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301,057</w:t>
            </w:r>
          </w:p>
        </w:tc>
        <w:tc>
          <w:tcPr>
            <w:tcW w:w="3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(29,439 )</w:t>
            </w:r>
          </w:p>
        </w:tc>
        <w:tc>
          <w:tcPr>
            <w:tcW w:w="2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313,817</w:t>
            </w: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(29,539 )</w:t>
            </w:r>
          </w:p>
        </w:tc>
      </w:tr>
      <w:tr>
        <w:trPr>
          <w:trHeight w:val="20"/>
        </w:trPr>
        <w:tc>
          <w:tcPr>
            <w:tcW w:w="35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6"/>
        </w:trPr>
        <w:tc>
          <w:tcPr>
            <w:tcW w:w="35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held-to-maturity securities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12,760</w:t>
            </w:r>
          </w:p>
        </w:tc>
        <w:tc>
          <w:tcPr>
            <w:tcW w:w="300" w:type="dxa"/>
            <w:vAlign w:val="bottom"/>
          </w:tcPr>
          <w:p>
            <w:pPr>
              <w:spacing w:after="0"/>
              <w:rPr>
                <w:sz w:val="19"/>
                <w:szCs w:val="19"/>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(101 )</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1,917,373</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(344,458 )</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1,930,134</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(344,558 )</w:t>
            </w:r>
          </w:p>
        </w:tc>
      </w:tr>
      <w:tr>
        <w:trPr>
          <w:trHeight w:val="20"/>
        </w:trPr>
        <w:tc>
          <w:tcPr>
            <w:tcW w:w="35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-1087755</wp:posOffset>
            </wp:positionV>
            <wp:extent cx="768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-1087755</wp:posOffset>
            </wp:positionV>
            <wp:extent cx="768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-1087755</wp:posOffset>
            </wp:positionV>
            <wp:extent cx="7747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-1087755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-1087755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-1087755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-179070</wp:posOffset>
            </wp:positionV>
            <wp:extent cx="768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-179070</wp:posOffset>
            </wp:positionV>
            <wp:extent cx="768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-179070</wp:posOffset>
            </wp:positionV>
            <wp:extent cx="7747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-179070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-179070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25"/>
        </w:trPr>
        <w:tc>
          <w:tcPr>
            <w:tcW w:w="3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gridSpan w:val="5"/>
          </w:tcPr>
          <w:p>
            <w:pPr>
              <w:jc w:val="right"/>
              <w:ind w:right="86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60" w:type="dxa"/>
            <w:vAlign w:val="bottom"/>
            <w:gridSpan w:val="5"/>
          </w:tcPr>
          <w:p>
            <w:pPr>
              <w:jc w:val="right"/>
              <w:ind w:right="740"/>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120" w:type="dxa"/>
            <w:vAlign w:val="bottom"/>
          </w:tcPr>
          <w:p>
            <w:pPr>
              <w:spacing w:after="0"/>
              <w:rPr>
                <w:sz w:val="19"/>
                <w:szCs w:val="19"/>
                <w:color w:val="auto"/>
              </w:rPr>
            </w:pPr>
          </w:p>
        </w:tc>
        <w:tc>
          <w:tcPr>
            <w:tcW w:w="2520" w:type="dxa"/>
            <w:vAlign w:val="bottom"/>
            <w:gridSpan w:val="5"/>
          </w:tcPr>
          <w:p>
            <w:pPr>
              <w:jc w:val="right"/>
              <w:ind w:right="740"/>
              <w:spacing w:after="0"/>
              <w:rPr>
                <w:sz w:val="20"/>
                <w:szCs w:val="20"/>
                <w:color w:val="auto"/>
              </w:rPr>
            </w:pPr>
            <w:r>
              <w:rPr>
                <w:rFonts w:ascii="Times New Roman" w:cs="Times New Roman" w:eastAsia="Times New Roman" w:hAnsi="Times New Roman"/>
                <w:sz w:val="16"/>
                <w:szCs w:val="16"/>
                <w:b w:val="1"/>
                <w:bCs w:val="1"/>
                <w:color w:val="auto"/>
              </w:rPr>
              <w:t>12 Months or Longer</w:t>
            </w:r>
          </w:p>
        </w:tc>
        <w:tc>
          <w:tcPr>
            <w:tcW w:w="100" w:type="dxa"/>
            <w:vAlign w:val="bottom"/>
          </w:tcPr>
          <w:p>
            <w:pPr>
              <w:spacing w:after="0"/>
              <w:rPr>
                <w:sz w:val="19"/>
                <w:szCs w:val="19"/>
                <w:color w:val="auto"/>
              </w:rPr>
            </w:pPr>
          </w:p>
        </w:tc>
        <w:tc>
          <w:tcPr>
            <w:tcW w:w="12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0"/>
        </w:trPr>
        <w:tc>
          <w:tcPr>
            <w:tcW w:w="35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3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3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10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Unrealized</w:t>
            </w:r>
          </w:p>
        </w:tc>
      </w:t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Holding</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Holding</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Holding</w:t>
            </w:r>
          </w:p>
        </w:tc>
      </w:tr>
      <w:tr>
        <w:trPr>
          <w:trHeight w:val="225"/>
        </w:trPr>
        <w:tc>
          <w:tcPr>
            <w:tcW w:w="3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00" w:type="dxa"/>
            <w:vAlign w:val="bottom"/>
          </w:tcPr>
          <w:p>
            <w:pPr>
              <w:spacing w:after="0"/>
              <w:rPr>
                <w:sz w:val="19"/>
                <w:szCs w:val="19"/>
                <w:color w:val="auto"/>
              </w:rPr>
            </w:pPr>
          </w:p>
        </w:tc>
      </w:tr>
      <w:tr>
        <w:trPr>
          <w:trHeight w:val="221"/>
        </w:trPr>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20" w:type="dxa"/>
            <w:vAlign w:val="bottom"/>
            <w:gridSpan w:val="5"/>
          </w:tcPr>
          <w:p>
            <w:pPr>
              <w:jc w:val="right"/>
              <w:ind w:right="78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Investment securities available-for-sale:</w:t>
            </w: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3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Government agency/GSE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3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2,506,162</w:t>
            </w:r>
          </w:p>
        </w:tc>
        <w:tc>
          <w:tcPr>
            <w:tcW w:w="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(336,107 )</w:t>
            </w: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2,506,210</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(336,107 )</w:t>
            </w:r>
          </w:p>
        </w:tc>
      </w:tr>
      <w:tr>
        <w:trPr>
          <w:trHeight w:val="220"/>
        </w:trPr>
        <w:tc>
          <w:tcPr>
            <w:tcW w:w="3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CMO/REMIC</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389,359</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(112,872 )</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389,359</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(112,872 )</w:t>
            </w:r>
          </w:p>
        </w:tc>
      </w:tr>
      <w:tr>
        <w:trPr>
          <w:trHeight w:val="236"/>
        </w:trPr>
        <w:tc>
          <w:tcPr>
            <w:tcW w:w="3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Municipal bonds</w:t>
            </w: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3,286</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(17 )</w:t>
            </w: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18,105</w:t>
            </w:r>
          </w:p>
        </w:tc>
        <w:tc>
          <w:tcPr>
            <w:tcW w:w="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(871 )</w:t>
            </w: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21,391</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(888 )</w:t>
            </w:r>
          </w:p>
        </w:tc>
      </w:tr>
      <w:tr>
        <w:trPr>
          <w:trHeight w:val="20"/>
        </w:trPr>
        <w:tc>
          <w:tcPr>
            <w:tcW w:w="35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6"/>
        </w:trPr>
        <w:tc>
          <w:tcPr>
            <w:tcW w:w="35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available-for-sale securities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3,334</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(17 )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2,913,626</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(449,850 )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2,916,960</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(449,867 )</w:t>
            </w:r>
          </w:p>
        </w:tc>
      </w:tr>
      <w:tr>
        <w:trPr>
          <w:trHeight w:val="20"/>
        </w:trPr>
        <w:tc>
          <w:tcPr>
            <w:tcW w:w="3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Investment securities held-to-maturity:</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3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Government agency/GSE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432,684</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(97,972 )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432,684</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(97,972 )</w:t>
            </w:r>
          </w:p>
        </w:tc>
      </w:tr>
      <w:tr>
        <w:trPr>
          <w:trHeight w:val="239"/>
        </w:trPr>
        <w:tc>
          <w:tcPr>
            <w:tcW w:w="3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565,655</w:t>
            </w:r>
          </w:p>
        </w:tc>
        <w:tc>
          <w:tcPr>
            <w:tcW w:w="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(97,436 )</w:t>
            </w: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565,655</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(97,436 )</w:t>
            </w:r>
          </w:p>
        </w:tc>
      </w:tr>
      <w:tr>
        <w:trPr>
          <w:trHeight w:val="220"/>
        </w:trPr>
        <w:tc>
          <w:tcPr>
            <w:tcW w:w="3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CMO/REMIC</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646,737</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(156,155 )</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646,737</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(156,155 )</w:t>
            </w:r>
          </w:p>
        </w:tc>
      </w:tr>
      <w:tr>
        <w:trPr>
          <w:trHeight w:val="236"/>
        </w:trPr>
        <w:tc>
          <w:tcPr>
            <w:tcW w:w="3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Municipal bonds</w:t>
            </w: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20,609</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(200 )</w:t>
            </w: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293,467</w:t>
            </w:r>
          </w:p>
        </w:tc>
        <w:tc>
          <w:tcPr>
            <w:tcW w:w="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(33,404 )</w:t>
            </w: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314,076</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(33,604 )</w:t>
            </w:r>
          </w:p>
        </w:tc>
      </w:tr>
      <w:tr>
        <w:trPr>
          <w:trHeight w:val="20"/>
        </w:trPr>
        <w:tc>
          <w:tcPr>
            <w:tcW w:w="35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6"/>
        </w:trPr>
        <w:tc>
          <w:tcPr>
            <w:tcW w:w="35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held-to-maturity securities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20,609</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(200 )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1,938,543</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(384,967 )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1,959,152</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(385,167 )</w:t>
            </w:r>
          </w:p>
        </w:tc>
      </w:tr>
      <w:tr>
        <w:trPr>
          <w:trHeight w:val="20"/>
        </w:trPr>
        <w:tc>
          <w:tcPr>
            <w:tcW w:w="3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-1233805</wp:posOffset>
            </wp:positionV>
            <wp:extent cx="768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-1233805</wp:posOffset>
            </wp:positionV>
            <wp:extent cx="768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-1233805</wp:posOffset>
            </wp:positionV>
            <wp:extent cx="774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-1233805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-1233805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-1233805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-179070</wp:posOffset>
            </wp:positionV>
            <wp:extent cx="768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-179070</wp:posOffset>
            </wp:positionV>
            <wp:extent cx="7683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-179070</wp:posOffset>
            </wp:positionV>
            <wp:extent cx="7747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-179070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-179070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60" w:firstLine="469"/>
        <w:spacing w:after="0" w:line="266" w:lineRule="auto"/>
        <w:rPr>
          <w:sz w:val="20"/>
          <w:szCs w:val="20"/>
          <w:color w:val="auto"/>
        </w:rPr>
      </w:pPr>
      <w:r>
        <w:rPr>
          <w:rFonts w:ascii="Times New Roman" w:cs="Times New Roman" w:eastAsia="Times New Roman" w:hAnsi="Times New Roman"/>
          <w:sz w:val="18"/>
          <w:szCs w:val="18"/>
          <w:color w:val="auto"/>
        </w:rPr>
        <w:t>At September 30, 2024, investment securities with carrying values of $2.74 billion were pledged to secure various types of deposits, including $1.34 billion of public funds. In addition, investment securities with carrying values of $1.88 billion were pledged to secure $469 million for repurchase agreements, $1.35 billion for unused borrowing capacity and approximately $58 million for other purposes as required or permitted by law.</w:t>
      </w:r>
    </w:p>
    <w:p>
      <w:pPr>
        <w:spacing w:after="0" w:line="176" w:lineRule="exact"/>
        <w:rPr>
          <w:sz w:val="20"/>
          <w:szCs w:val="20"/>
          <w:color w:val="auto"/>
        </w:rPr>
      </w:pPr>
    </w:p>
    <w:p>
      <w:pPr>
        <w:ind w:right="100" w:firstLine="469"/>
        <w:spacing w:after="0" w:line="261" w:lineRule="auto"/>
        <w:rPr>
          <w:sz w:val="20"/>
          <w:szCs w:val="20"/>
          <w:color w:val="auto"/>
        </w:rPr>
      </w:pPr>
      <w:r>
        <w:rPr>
          <w:rFonts w:ascii="Times New Roman" w:cs="Times New Roman" w:eastAsia="Times New Roman" w:hAnsi="Times New Roman"/>
          <w:sz w:val="18"/>
          <w:szCs w:val="18"/>
          <w:color w:val="auto"/>
        </w:rPr>
        <w:t>At December 31, 2023, investment securities with carrying values of $2.26 billion were pledged to secure various types of deposits, including $1.38 billion of public funds. In addition, investment securities, with carrying values of $3.02 billion were pledged to secure $372.5 million for repurchase agreements, $1.8 billion for outstanding borrowings, $796 million for unused borrowing capacity and approximately $51 million for other purposes as required or permitted by law.</w:t>
      </w:r>
    </w:p>
    <w:p>
      <w:pPr>
        <w:spacing w:after="0" w:line="180" w:lineRule="exact"/>
        <w:rPr>
          <w:sz w:val="20"/>
          <w:szCs w:val="20"/>
          <w:color w:val="auto"/>
        </w:rPr>
      </w:pPr>
    </w:p>
    <w:p>
      <w:pPr>
        <w:ind w:right="60" w:firstLine="464"/>
        <w:spacing w:after="0" w:line="261" w:lineRule="auto"/>
        <w:rPr>
          <w:sz w:val="20"/>
          <w:szCs w:val="20"/>
          <w:color w:val="auto"/>
        </w:rPr>
      </w:pPr>
      <w:r>
        <w:rPr>
          <w:rFonts w:ascii="Times New Roman" w:cs="Times New Roman" w:eastAsia="Times New Roman" w:hAnsi="Times New Roman"/>
          <w:sz w:val="18"/>
          <w:szCs w:val="18"/>
          <w:color w:val="auto"/>
        </w:rPr>
        <w:t>The amortized cost and fair value of debt securities at September 30, 2024, by contractual maturity, are shown in the table below. Although mortgage-backed and CMO/REMIC securities have weighted average remaining contractual maturities of approximately 23 years, expected maturities will differ from contractual maturities because borrowers may have the right to prepay such obligations without penalty. Mortgage-backed and CMO/REMIC securities are included in maturity categories based upon estimated average lives which incorporate estimated prepayment speeds.</w:t>
      </w:r>
    </w:p>
    <w:p>
      <w:pPr>
        <w:sectPr>
          <w:pgSz w:w="11900" w:h="16838" w:orient="portrait"/>
          <w:cols w:equalWidth="0" w:num="1">
            <w:col w:w="11240"/>
          </w:cols>
          <w:pgMar w:left="320" w:top="13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Due in one year or less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Due after one year through five years</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Due after five years through ten years</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Due after ten years</w:t>
      </w:r>
    </w:p>
    <w:p>
      <w:pPr>
        <w:spacing w:after="0" w:line="5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Total investment securities</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4"/>
          <w:szCs w:val="14"/>
          <w:b w:val="1"/>
          <w:bCs w:val="1"/>
          <w:color w:val="auto"/>
        </w:rPr>
        <w:t>September 30, 2024</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20" w:type="dxa"/>
            <w:vAlign w:val="bottom"/>
            <w:tcBorders>
              <w:top w:val="single" w:sz="8" w:color="auto"/>
              <w:bottom w:val="single" w:sz="8" w:color="auto"/>
            </w:tcBorders>
          </w:tcPr>
          <w:p>
            <w:pPr>
              <w:spacing w:after="0"/>
              <w:rPr>
                <w:sz w:val="14"/>
                <w:szCs w:val="14"/>
                <w:color w:val="auto"/>
              </w:rPr>
            </w:pPr>
          </w:p>
        </w:tc>
        <w:tc>
          <w:tcPr>
            <w:tcW w:w="2780" w:type="dxa"/>
            <w:vAlign w:val="bottom"/>
            <w:tcBorders>
              <w:top w:val="single" w:sz="8" w:color="auto"/>
              <w:bottom w:val="single" w:sz="8" w:color="auto"/>
            </w:tcBorders>
            <w:gridSpan w:val="4"/>
          </w:tcPr>
          <w:p>
            <w:pPr>
              <w:jc w:val="right"/>
              <w:ind w:right="848"/>
              <w:spacing w:after="0"/>
              <w:rPr>
                <w:sz w:val="20"/>
                <w:szCs w:val="20"/>
                <w:color w:val="auto"/>
              </w:rPr>
            </w:pPr>
            <w:r>
              <w:rPr>
                <w:rFonts w:ascii="Times New Roman" w:cs="Times New Roman" w:eastAsia="Times New Roman" w:hAnsi="Times New Roman"/>
                <w:sz w:val="14"/>
                <w:szCs w:val="14"/>
                <w:b w:val="1"/>
                <w:bCs w:val="1"/>
                <w:color w:val="auto"/>
              </w:rPr>
              <w:t>Available-for-sale</w:t>
            </w:r>
          </w:p>
        </w:tc>
        <w:tc>
          <w:tcPr>
            <w:tcW w:w="30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2700" w:type="dxa"/>
            <w:vAlign w:val="bottom"/>
            <w:tcBorders>
              <w:top w:val="single" w:sz="8" w:color="auto"/>
              <w:bottom w:val="single" w:sz="8" w:color="auto"/>
            </w:tcBorders>
            <w:gridSpan w:val="4"/>
          </w:tcPr>
          <w:p>
            <w:pPr>
              <w:jc w:val="right"/>
              <w:ind w:right="808"/>
              <w:spacing w:after="0"/>
              <w:rPr>
                <w:sz w:val="20"/>
                <w:szCs w:val="20"/>
                <w:color w:val="auto"/>
              </w:rPr>
            </w:pPr>
            <w:r>
              <w:rPr>
                <w:rFonts w:ascii="Times New Roman" w:cs="Times New Roman" w:eastAsia="Times New Roman" w:hAnsi="Times New Roman"/>
                <w:sz w:val="14"/>
                <w:szCs w:val="14"/>
                <w:b w:val="1"/>
                <w:bCs w:val="1"/>
                <w:color w:val="auto"/>
              </w:rPr>
              <w:t>Held-to-maturity</w:t>
            </w:r>
          </w:p>
        </w:tc>
      </w:tr>
      <w:tr>
        <w:trPr>
          <w:trHeight w:val="169"/>
        </w:trPr>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3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60"/>
        </w:trPr>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i w:val="1"/>
                <w:iCs w:val="1"/>
                <w:color w:val="auto"/>
              </w:rPr>
              <w:t>(Dollars</w:t>
            </w:r>
          </w:p>
        </w:tc>
        <w:tc>
          <w:tcPr>
            <w:tcW w:w="300" w:type="dxa"/>
            <w:vAlign w:val="bottom"/>
          </w:tcPr>
          <w:p>
            <w:pPr>
              <w:spacing w:after="0" w:line="160" w:lineRule="exact"/>
              <w:rPr>
                <w:sz w:val="20"/>
                <w:szCs w:val="20"/>
                <w:color w:val="auto"/>
              </w:rPr>
            </w:pPr>
            <w:r>
              <w:rPr>
                <w:rFonts w:ascii="Times New Roman" w:cs="Times New Roman" w:eastAsia="Times New Roman" w:hAnsi="Times New Roman"/>
                <w:sz w:val="14"/>
                <w:szCs w:val="14"/>
                <w:i w:val="1"/>
                <w:iCs w:val="1"/>
                <w:color w:val="auto"/>
              </w:rPr>
              <w:t>in</w:t>
            </w:r>
          </w:p>
        </w:tc>
        <w:tc>
          <w:tcPr>
            <w:tcW w:w="126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i w:val="1"/>
                <w:iCs w:val="1"/>
                <w:color w:val="auto"/>
              </w:rPr>
              <w:t>thousands)</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75"/>
        </w:trPr>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43,249</w:t>
            </w:r>
          </w:p>
        </w:tc>
        <w:tc>
          <w:tcPr>
            <w:tcW w:w="5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43,327</w:t>
            </w:r>
          </w:p>
        </w:tc>
        <w:tc>
          <w:tcPr>
            <w:tcW w:w="42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10,211</w:t>
            </w:r>
          </w:p>
        </w:tc>
        <w:tc>
          <w:tcPr>
            <w:tcW w:w="5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10,049</w:t>
            </w:r>
          </w:p>
        </w:tc>
      </w:tr>
      <w:tr>
        <w:trPr>
          <w:trHeight w:val="176"/>
        </w:trPr>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110,874</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116,476</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48,525</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47,616</w:t>
            </w:r>
          </w:p>
        </w:tc>
      </w:tr>
      <w:tr>
        <w:trPr>
          <w:trHeight w:val="175"/>
        </w:trPr>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2,180,665</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1,928,902</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322,507</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291,783</w:t>
            </w:r>
          </w:p>
        </w:tc>
      </w:tr>
      <w:tr>
        <w:trPr>
          <w:trHeight w:val="185"/>
        </w:trPr>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483,525</w:t>
            </w:r>
          </w:p>
        </w:tc>
        <w:tc>
          <w:tcPr>
            <w:tcW w:w="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376,880</w:t>
            </w:r>
          </w:p>
        </w:tc>
        <w:tc>
          <w:tcPr>
            <w:tcW w:w="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2,024,011</w:t>
            </w:r>
          </w:p>
        </w:tc>
        <w:tc>
          <w:tcPr>
            <w:tcW w:w="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1,714,246</w:t>
            </w:r>
          </w:p>
        </w:tc>
      </w:tr>
      <w:tr>
        <w:trPr>
          <w:trHeight w:val="169"/>
        </w:trPr>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2,818,313</w:t>
            </w:r>
          </w:p>
        </w:tc>
        <w:tc>
          <w:tcPr>
            <w:tcW w:w="340" w:type="dxa"/>
            <w:vAlign w:val="bottom"/>
          </w:tcPr>
          <w:p>
            <w:pPr>
              <w:spacing w:after="0"/>
              <w:rPr>
                <w:sz w:val="14"/>
                <w:szCs w:val="14"/>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2,465,585</w:t>
            </w:r>
          </w:p>
        </w:tc>
        <w:tc>
          <w:tcPr>
            <w:tcW w:w="300" w:type="dxa"/>
            <w:vAlign w:val="bottom"/>
          </w:tcPr>
          <w:p>
            <w:pPr>
              <w:spacing w:after="0"/>
              <w:rPr>
                <w:sz w:val="14"/>
                <w:szCs w:val="14"/>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2,405,254</w:t>
            </w:r>
          </w:p>
        </w:tc>
        <w:tc>
          <w:tcPr>
            <w:tcW w:w="300" w:type="dxa"/>
            <w:vAlign w:val="bottom"/>
          </w:tcPr>
          <w:p>
            <w:pPr>
              <w:spacing w:after="0"/>
              <w:rPr>
                <w:sz w:val="14"/>
                <w:szCs w:val="14"/>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2,063,694</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-591185</wp:posOffset>
            </wp:positionV>
            <wp:extent cx="7132320" cy="11112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-367665</wp:posOffset>
            </wp:positionV>
            <wp:extent cx="7132320" cy="11112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-136525</wp:posOffset>
            </wp:positionV>
            <wp:extent cx="7132320" cy="1371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4400" w:space="720"/>
            <w:col w:w="6120"/>
          </w:cols>
          <w:pgMar w:left="320" w:top="1325" w:right="339" w:bottom="1440" w:gutter="0" w:footer="0" w:header="0"/>
          <w:type w:val="continuous"/>
        </w:sectPr>
      </w:pPr>
    </w:p>
    <w:p>
      <w:pPr>
        <w:ind w:right="400" w:firstLine="469"/>
        <w:spacing w:after="0" w:line="282" w:lineRule="auto"/>
        <w:rPr>
          <w:sz w:val="20"/>
          <w:szCs w:val="20"/>
          <w:color w:val="auto"/>
        </w:rPr>
      </w:pPr>
      <w:r>
        <w:rPr>
          <w:rFonts w:ascii="Times New Roman" w:cs="Times New Roman" w:eastAsia="Times New Roman" w:hAnsi="Times New Roman"/>
          <w:sz w:val="18"/>
          <w:szCs w:val="18"/>
          <w:color w:val="auto"/>
        </w:rPr>
        <w:t>The investment in FHLB stock is periodically evaluated for impairment based on, among other things, the capital adequacy of the FHLB and its overall financial condition. No impairment losses have been recorded through September 30, 2024.</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5" w:right="339" w:bottom="1440" w:gutter="0" w:footer="0" w:header="0"/>
          <w:type w:val="continuous"/>
        </w:sectPr>
      </w:pPr>
    </w:p>
    <w:bookmarkStart w:id="12" w:name="page13"/>
    <w:bookmarkEnd w:id="12"/>
    <w:p>
      <w:pPr>
        <w:ind w:left="480" w:right="3500" w:hanging="472"/>
        <w:spacing w:after="0" w:line="538" w:lineRule="auto"/>
        <w:tabs>
          <w:tab w:leader="none" w:pos="331"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LOANS AND LEASE FINANCE RECEIVABLES AND ALLOWANCE FOR CREDIT LOSSES </w:t>
      </w:r>
      <w:r>
        <w:rPr>
          <w:rFonts w:ascii="Times New Roman" w:cs="Times New Roman" w:eastAsia="Times New Roman" w:hAnsi="Times New Roman"/>
          <w:sz w:val="17"/>
          <w:szCs w:val="17"/>
          <w:color w:val="auto"/>
        </w:rPr>
        <w:t>The following table provides a summary of total loans and lease finance receivables by type.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6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4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0" w:type="dxa"/>
            <w:vAlign w:val="bottom"/>
          </w:tcPr>
          <w:p>
            <w:pPr>
              <w:spacing w:after="0"/>
              <w:rPr>
                <w:sz w:val="21"/>
                <w:szCs w:val="21"/>
                <w:color w:val="auto"/>
              </w:rPr>
            </w:pPr>
          </w:p>
        </w:tc>
      </w:tr>
      <w:tr>
        <w:trPr>
          <w:trHeight w:val="233"/>
        </w:trPr>
        <w:tc>
          <w:tcPr>
            <w:tcW w:w="6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380" w:type="dxa"/>
            <w:vAlign w:val="bottom"/>
            <w:gridSpan w:val="5"/>
          </w:tcPr>
          <w:p>
            <w:pPr>
              <w:jc w:val="right"/>
              <w:ind w:right="16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r>
      <w:tr>
        <w:trPr>
          <w:trHeight w:val="253"/>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6,618,637</w:t>
            </w:r>
          </w:p>
        </w:tc>
        <w:tc>
          <w:tcPr>
            <w:tcW w:w="40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6,784,505</w:t>
            </w:r>
          </w:p>
        </w:tc>
        <w:tc>
          <w:tcPr>
            <w:tcW w:w="100" w:type="dxa"/>
            <w:vAlign w:val="bottom"/>
            <w:shd w:val="clear" w:color="auto" w:fill="CFF0FC"/>
          </w:tcPr>
          <w:p>
            <w:pPr>
              <w:spacing w:after="0"/>
              <w:rPr>
                <w:sz w:val="21"/>
                <w:szCs w:val="21"/>
                <w:color w:val="auto"/>
              </w:rPr>
            </w:pPr>
          </w:p>
        </w:tc>
      </w:tr>
      <w:tr>
        <w:trPr>
          <w:trHeight w:val="23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22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14,755</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66,734</w:t>
            </w:r>
          </w:p>
        </w:tc>
        <w:tc>
          <w:tcPr>
            <w:tcW w:w="100" w:type="dxa"/>
            <w:vAlign w:val="bottom"/>
          </w:tcPr>
          <w:p>
            <w:pPr>
              <w:spacing w:after="0"/>
              <w:rPr>
                <w:sz w:val="20"/>
                <w:szCs w:val="20"/>
                <w:color w:val="auto"/>
              </w:rPr>
            </w:pPr>
          </w:p>
        </w:tc>
      </w:tr>
      <w:tr>
        <w:trPr>
          <w:trHeight w:val="24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SBA</w:t>
            </w:r>
          </w:p>
        </w:tc>
        <w:tc>
          <w:tcPr>
            <w:tcW w:w="220" w:type="dxa"/>
            <w:vAlign w:val="bottom"/>
            <w:shd w:val="clear" w:color="auto" w:fill="CFF0FC"/>
          </w:tcPr>
          <w:p>
            <w:pPr>
              <w:spacing w:after="0"/>
              <w:rPr>
                <w:sz w:val="21"/>
                <w:szCs w:val="21"/>
                <w:color w:val="auto"/>
              </w:rPr>
            </w:pP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272,001</w:t>
            </w:r>
          </w:p>
        </w:tc>
        <w:tc>
          <w:tcPr>
            <w:tcW w:w="4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270,619</w:t>
            </w:r>
          </w:p>
        </w:tc>
        <w:tc>
          <w:tcPr>
            <w:tcW w:w="100" w:type="dxa"/>
            <w:vAlign w:val="bottom"/>
            <w:shd w:val="clear" w:color="auto" w:fill="CFF0FC"/>
          </w:tcPr>
          <w:p>
            <w:pPr>
              <w:spacing w:after="0"/>
              <w:rPr>
                <w:sz w:val="21"/>
                <w:szCs w:val="21"/>
                <w:color w:val="auto"/>
              </w:rPr>
            </w:pPr>
          </w:p>
        </w:tc>
      </w:tr>
      <w:tr>
        <w:trPr>
          <w:trHeight w:val="23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SBA - Paycheck Protection Program (PPP)</w:t>
            </w:r>
          </w:p>
        </w:tc>
        <w:tc>
          <w:tcPr>
            <w:tcW w:w="22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2,736</w:t>
            </w:r>
          </w:p>
        </w:tc>
        <w:tc>
          <w:tcPr>
            <w:tcW w:w="100" w:type="dxa"/>
            <w:vAlign w:val="bottom"/>
          </w:tcPr>
          <w:p>
            <w:pPr>
              <w:spacing w:after="0"/>
              <w:rPr>
                <w:sz w:val="20"/>
                <w:szCs w:val="20"/>
                <w:color w:val="auto"/>
              </w:rPr>
            </w:pPr>
          </w:p>
        </w:tc>
      </w:tr>
      <w:tr>
        <w:trPr>
          <w:trHeight w:val="24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20" w:type="dxa"/>
            <w:vAlign w:val="bottom"/>
            <w:shd w:val="clear" w:color="auto" w:fill="CFF0FC"/>
          </w:tcPr>
          <w:p>
            <w:pPr>
              <w:spacing w:after="0"/>
              <w:rPr>
                <w:sz w:val="21"/>
                <w:szCs w:val="21"/>
                <w:color w:val="auto"/>
              </w:rPr>
            </w:pP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936,489</w:t>
            </w:r>
          </w:p>
        </w:tc>
        <w:tc>
          <w:tcPr>
            <w:tcW w:w="4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969,895</w:t>
            </w:r>
          </w:p>
        </w:tc>
        <w:tc>
          <w:tcPr>
            <w:tcW w:w="100" w:type="dxa"/>
            <w:vAlign w:val="bottom"/>
            <w:shd w:val="clear" w:color="auto" w:fill="CFF0FC"/>
          </w:tcPr>
          <w:p>
            <w:pPr>
              <w:spacing w:after="0"/>
              <w:rPr>
                <w:sz w:val="21"/>
                <w:szCs w:val="21"/>
                <w:color w:val="auto"/>
              </w:rPr>
            </w:pPr>
          </w:p>
        </w:tc>
      </w:tr>
      <w:tr>
        <w:trPr>
          <w:trHeight w:val="23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Dairy &amp; livestock and agribusiness</w:t>
            </w:r>
          </w:p>
        </w:tc>
        <w:tc>
          <w:tcPr>
            <w:tcW w:w="22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342,445</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412,891</w:t>
            </w:r>
          </w:p>
        </w:tc>
        <w:tc>
          <w:tcPr>
            <w:tcW w:w="100" w:type="dxa"/>
            <w:vAlign w:val="bottom"/>
          </w:tcPr>
          <w:p>
            <w:pPr>
              <w:spacing w:after="0"/>
              <w:rPr>
                <w:sz w:val="20"/>
                <w:szCs w:val="20"/>
                <w:color w:val="auto"/>
              </w:rPr>
            </w:pPr>
          </w:p>
        </w:tc>
      </w:tr>
      <w:tr>
        <w:trPr>
          <w:trHeight w:val="24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Municipal lease finance receivables</w:t>
            </w:r>
          </w:p>
        </w:tc>
        <w:tc>
          <w:tcPr>
            <w:tcW w:w="220" w:type="dxa"/>
            <w:vAlign w:val="bottom"/>
            <w:shd w:val="clear" w:color="auto" w:fill="CFF0FC"/>
          </w:tcPr>
          <w:p>
            <w:pPr>
              <w:spacing w:after="0"/>
              <w:rPr>
                <w:sz w:val="21"/>
                <w:szCs w:val="21"/>
                <w:color w:val="auto"/>
              </w:rPr>
            </w:pP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67,585</w:t>
            </w:r>
          </w:p>
        </w:tc>
        <w:tc>
          <w:tcPr>
            <w:tcW w:w="4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73,590</w:t>
            </w:r>
          </w:p>
        </w:tc>
        <w:tc>
          <w:tcPr>
            <w:tcW w:w="100" w:type="dxa"/>
            <w:vAlign w:val="bottom"/>
            <w:shd w:val="clear" w:color="auto" w:fill="CFF0FC"/>
          </w:tcPr>
          <w:p>
            <w:pPr>
              <w:spacing w:after="0"/>
              <w:rPr>
                <w:sz w:val="21"/>
                <w:szCs w:val="21"/>
                <w:color w:val="auto"/>
              </w:rPr>
            </w:pPr>
          </w:p>
        </w:tc>
      </w:tr>
      <w:tr>
        <w:trPr>
          <w:trHeight w:val="23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SFR mortgage</w:t>
            </w:r>
          </w:p>
        </w:tc>
        <w:tc>
          <w:tcPr>
            <w:tcW w:w="22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267,181</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269,868</w:t>
            </w:r>
          </w:p>
        </w:tc>
        <w:tc>
          <w:tcPr>
            <w:tcW w:w="100" w:type="dxa"/>
            <w:vAlign w:val="bottom"/>
          </w:tcPr>
          <w:p>
            <w:pPr>
              <w:spacing w:after="0"/>
              <w:rPr>
                <w:sz w:val="20"/>
                <w:szCs w:val="20"/>
                <w:color w:val="auto"/>
              </w:rPr>
            </w:pPr>
          </w:p>
        </w:tc>
      </w:tr>
      <w:tr>
        <w:trPr>
          <w:trHeight w:val="247"/>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Consumer and other loans</w:t>
            </w:r>
          </w:p>
        </w:tc>
        <w:tc>
          <w:tcPr>
            <w:tcW w:w="220" w:type="dxa"/>
            <w:vAlign w:val="bottom"/>
            <w:tcBorders>
              <w:bottom w:val="single" w:sz="8" w:color="auto"/>
            </w:tcBorders>
            <w:shd w:val="clear" w:color="auto" w:fill="CFF0FC"/>
          </w:tcPr>
          <w:p>
            <w:pPr>
              <w:spacing w:after="0"/>
              <w:rPr>
                <w:sz w:val="21"/>
                <w:szCs w:val="21"/>
                <w:color w:val="auto"/>
              </w:rPr>
            </w:pPr>
          </w:p>
        </w:tc>
        <w:tc>
          <w:tcPr>
            <w:tcW w:w="1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52,217</w:t>
            </w:r>
          </w:p>
        </w:tc>
        <w:tc>
          <w:tcPr>
            <w:tcW w:w="4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54,072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66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loans, at amortized cost</w:t>
            </w:r>
          </w:p>
        </w:tc>
        <w:tc>
          <w:tcPr>
            <w:tcW w:w="22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8,572,565</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8,904,910</w:t>
            </w:r>
          </w:p>
        </w:tc>
        <w:tc>
          <w:tcPr>
            <w:tcW w:w="100" w:type="dxa"/>
            <w:vAlign w:val="bottom"/>
          </w:tcPr>
          <w:p>
            <w:pPr>
              <w:spacing w:after="0"/>
              <w:rPr>
                <w:sz w:val="20"/>
                <w:szCs w:val="20"/>
                <w:color w:val="auto"/>
              </w:rPr>
            </w:pPr>
          </w:p>
        </w:tc>
      </w:tr>
      <w:tr>
        <w:trPr>
          <w:trHeight w:val="24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220" w:type="dxa"/>
            <w:vAlign w:val="bottom"/>
            <w:shd w:val="clear" w:color="auto" w:fill="CFF0FC"/>
          </w:tcPr>
          <w:p>
            <w:pPr>
              <w:spacing w:after="0"/>
              <w:rPr>
                <w:sz w:val="21"/>
                <w:szCs w:val="21"/>
                <w:color w:val="auto"/>
              </w:rPr>
            </w:pPr>
          </w:p>
        </w:tc>
        <w:tc>
          <w:tcPr>
            <w:tcW w:w="23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(82,942 )</w:t>
            </w:r>
          </w:p>
        </w:tc>
        <w:tc>
          <w:tcPr>
            <w:tcW w:w="160" w:type="dxa"/>
            <w:vAlign w:val="bottom"/>
            <w:shd w:val="clear" w:color="auto" w:fill="CFF0FC"/>
          </w:tcPr>
          <w:p>
            <w:pPr>
              <w:spacing w:after="0"/>
              <w:rPr>
                <w:sz w:val="21"/>
                <w:szCs w:val="21"/>
                <w:color w:val="auto"/>
              </w:rPr>
            </w:pPr>
          </w:p>
        </w:tc>
        <w:tc>
          <w:tcPr>
            <w:tcW w:w="1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(86,842 )</w:t>
            </w:r>
          </w:p>
        </w:tc>
      </w:tr>
      <w:tr>
        <w:trPr>
          <w:trHeight w:val="237"/>
        </w:trPr>
        <w:tc>
          <w:tcPr>
            <w:tcW w:w="6640" w:type="dxa"/>
            <w:vAlign w:val="bottom"/>
            <w:tcBorders>
              <w:top w:val="single" w:sz="8" w:color="CFF0FC"/>
            </w:tcBorders>
          </w:tcPr>
          <w:p>
            <w:pPr>
              <w:ind w:left="420"/>
              <w:spacing w:after="0"/>
              <w:rPr>
                <w:sz w:val="20"/>
                <w:szCs w:val="20"/>
                <w:color w:val="auto"/>
              </w:rPr>
            </w:pPr>
            <w:r>
              <w:rPr>
                <w:rFonts w:ascii="Times New Roman" w:cs="Times New Roman" w:eastAsia="Times New Roman" w:hAnsi="Times New Roman"/>
                <w:sz w:val="18"/>
                <w:szCs w:val="18"/>
                <w:color w:val="auto"/>
              </w:rPr>
              <w:t>Total loans and lease finance receivables, net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8,489,623</w:t>
            </w:r>
          </w:p>
        </w:tc>
        <w:tc>
          <w:tcPr>
            <w:tcW w:w="400" w:type="dxa"/>
            <w:vAlign w:val="bottom"/>
            <w:tcBorders>
              <w:top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8,818,068</w:t>
            </w:r>
          </w:p>
        </w:tc>
        <w:tc>
          <w:tcPr>
            <w:tcW w:w="100" w:type="dxa"/>
            <w:vAlign w:val="bottom"/>
            <w:tcBorders>
              <w:top w:val="single" w:sz="8" w:color="CFF0FC"/>
            </w:tcBorders>
          </w:tcPr>
          <w:p>
            <w:pPr>
              <w:spacing w:after="0"/>
              <w:rPr>
                <w:sz w:val="20"/>
                <w:szCs w:val="20"/>
                <w:color w:val="auto"/>
              </w:rPr>
            </w:pPr>
          </w:p>
        </w:tc>
      </w:tr>
      <w:tr>
        <w:trPr>
          <w:trHeight w:val="20"/>
        </w:trPr>
        <w:tc>
          <w:tcPr>
            <w:tcW w:w="6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-504825</wp:posOffset>
            </wp:positionV>
            <wp:extent cx="7747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-187960</wp:posOffset>
            </wp:positionV>
            <wp:extent cx="7747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80" w:firstLine="469"/>
        <w:spacing w:after="0" w:line="254" w:lineRule="auto"/>
        <w:rPr>
          <w:sz w:val="20"/>
          <w:szCs w:val="20"/>
          <w:color w:val="auto"/>
        </w:rPr>
      </w:pPr>
      <w:r>
        <w:rPr>
          <w:rFonts w:ascii="Times New Roman" w:cs="Times New Roman" w:eastAsia="Times New Roman" w:hAnsi="Times New Roman"/>
          <w:sz w:val="18"/>
          <w:szCs w:val="18"/>
          <w:color w:val="auto"/>
        </w:rPr>
        <w:t>As of September 30, 2024, 80.50% of the Company’s total loan portfolio consisted of real estate loans, with commercial real estate loans representing 77.21% of total loans. The Company’s real estate loans and construction loans are secured by real properties primarily located in California. As of September 30, 2024, $460.7 million, or 6.96% of the total commercial real estate loans included loans secured by farmland, compared to $497.7 million, or 7.34%, at December 31, 2023. The loans secured by farmland included $121.9 million for loans secured by dairy &amp; livestock land and $338.8 million for loans secured by agricultural land at September 30, 2024, compared to $122.4 million for loans secured by dairy &amp; livestock land and $375.3 million for loans secured by agricultural land at December 31, 2023. As of September 30, 2024, dairy &amp; livestock and agribusiness loans of $342.4 million were comprised of $298.3 million for dairy &amp; livestock loans and $44.1 million for agribusiness loans, compared to $412.9 million comprised of $374.9 million of dairy &amp; livestock loans and $38.0 million of agribusiness loans December 31, 2023.</w:t>
      </w:r>
    </w:p>
    <w:p>
      <w:pPr>
        <w:spacing w:after="0" w:line="192" w:lineRule="exact"/>
        <w:rPr>
          <w:sz w:val="20"/>
          <w:szCs w:val="20"/>
          <w:color w:val="auto"/>
        </w:rPr>
      </w:pPr>
    </w:p>
    <w:p>
      <w:pPr>
        <w:ind w:right="60" w:firstLine="469"/>
        <w:spacing w:after="0" w:line="282" w:lineRule="auto"/>
        <w:rPr>
          <w:sz w:val="20"/>
          <w:szCs w:val="20"/>
          <w:color w:val="auto"/>
        </w:rPr>
      </w:pPr>
      <w:r>
        <w:rPr>
          <w:rFonts w:ascii="Times New Roman" w:cs="Times New Roman" w:eastAsia="Times New Roman" w:hAnsi="Times New Roman"/>
          <w:sz w:val="18"/>
          <w:szCs w:val="18"/>
          <w:color w:val="auto"/>
        </w:rPr>
        <w:t>At September 30, 2024 and December 31, 2023, loans totaling $4.32 billion and $4.04 billion, respectively, were pledged to secure available lines of credit from the FHLB and the Federal Reserve Bank.</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There were no outstanding loans held-for-sale as of September 30, 2024 and December 31, 2023.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Credit Quality Indicators</w:t>
      </w:r>
    </w:p>
    <w:p>
      <w:pPr>
        <w:spacing w:after="0" w:line="229" w:lineRule="exact"/>
        <w:rPr>
          <w:sz w:val="20"/>
          <w:szCs w:val="20"/>
          <w:color w:val="auto"/>
        </w:rPr>
      </w:pPr>
    </w:p>
    <w:p>
      <w:pPr>
        <w:ind w:firstLine="469"/>
        <w:spacing w:after="0" w:line="282" w:lineRule="auto"/>
        <w:rPr>
          <w:sz w:val="20"/>
          <w:szCs w:val="20"/>
          <w:color w:val="auto"/>
        </w:rPr>
      </w:pPr>
      <w:r>
        <w:rPr>
          <w:rFonts w:ascii="Times New Roman" w:cs="Times New Roman" w:eastAsia="Times New Roman" w:hAnsi="Times New Roman"/>
          <w:sz w:val="18"/>
          <w:szCs w:val="18"/>
          <w:color w:val="auto"/>
        </w:rPr>
        <w:t>We monitor credit quality by evaluating various risk attributes and utilize such information in our evaluation of the appropriateness of the allowance for credit losses. Internal credit risk ratings, within our loan risk rating system, are the credit quality indicators that we most closely monitor.</w:t>
      </w:r>
    </w:p>
    <w:p>
      <w:pPr>
        <w:spacing w:after="0" w:line="162" w:lineRule="exact"/>
        <w:rPr>
          <w:sz w:val="20"/>
          <w:szCs w:val="20"/>
          <w:color w:val="auto"/>
        </w:rPr>
      </w:pPr>
    </w:p>
    <w:p>
      <w:pPr>
        <w:jc w:val="both"/>
        <w:ind w:right="100" w:firstLine="469"/>
        <w:spacing w:after="0" w:line="258" w:lineRule="auto"/>
        <w:rPr>
          <w:sz w:val="20"/>
          <w:szCs w:val="20"/>
          <w:color w:val="auto"/>
        </w:rPr>
      </w:pPr>
      <w:r>
        <w:rPr>
          <w:rFonts w:ascii="Times New Roman" w:cs="Times New Roman" w:eastAsia="Times New Roman" w:hAnsi="Times New Roman"/>
          <w:sz w:val="18"/>
          <w:szCs w:val="18"/>
          <w:color w:val="auto"/>
        </w:rPr>
        <w:t>An important element of our approach to credit risk management is our loan risk rating system. The originating officer assigns each loan an initial risk rating, which is reviewed and confirmed or changed, as appropriate, by credit management. Approvals are made based upon the amount of inherent credit risk specific to the transaction and are reviewed for appropriateness by senior line and credit management personnel. Credits are monitored by line and credit management personnel for deterioration or improvement in a borrower’s financial condition, which would impact the ability of the borrower to perform under the contract. Risk ratings are adjusted as necessary.</w:t>
      </w:r>
    </w:p>
    <w:p>
      <w:pPr>
        <w:spacing w:after="0" w:line="183" w:lineRule="exact"/>
        <w:rPr>
          <w:sz w:val="20"/>
          <w:szCs w:val="20"/>
          <w:color w:val="auto"/>
        </w:rPr>
      </w:pPr>
    </w:p>
    <w:p>
      <w:pPr>
        <w:ind w:right="120" w:firstLine="469"/>
        <w:spacing w:after="0" w:line="282" w:lineRule="auto"/>
        <w:rPr>
          <w:sz w:val="20"/>
          <w:szCs w:val="20"/>
          <w:color w:val="auto"/>
        </w:rPr>
      </w:pPr>
      <w:r>
        <w:rPr>
          <w:rFonts w:ascii="Times New Roman" w:cs="Times New Roman" w:eastAsia="Times New Roman" w:hAnsi="Times New Roman"/>
          <w:sz w:val="18"/>
          <w:szCs w:val="18"/>
          <w:color w:val="auto"/>
        </w:rPr>
        <w:t>Loans are risk rated into the following categories: Pass, Special Mention, Substandard, Doubtful and Loss. Each of these groups is assessed for the proper amount to be used in determining the adequacy of our allowance for losses. These categories can be described as follows:</w:t>
      </w:r>
    </w:p>
    <w:p>
      <w:pPr>
        <w:spacing w:after="0" w:line="162" w:lineRule="exact"/>
        <w:rPr>
          <w:sz w:val="20"/>
          <w:szCs w:val="20"/>
          <w:color w:val="auto"/>
        </w:rPr>
      </w:pPr>
    </w:p>
    <w:p>
      <w:pPr>
        <w:ind w:firstLine="469"/>
        <w:spacing w:after="0" w:line="261" w:lineRule="auto"/>
        <w:rPr>
          <w:sz w:val="20"/>
          <w:szCs w:val="20"/>
          <w:color w:val="auto"/>
        </w:rPr>
      </w:pPr>
      <w:r>
        <w:rPr>
          <w:rFonts w:ascii="Times New Roman" w:cs="Times New Roman" w:eastAsia="Times New Roman" w:hAnsi="Times New Roman"/>
          <w:sz w:val="18"/>
          <w:szCs w:val="18"/>
          <w:color w:val="auto"/>
        </w:rPr>
        <w:t>Pass — These loans, including loans on the Bank’s internal watch list, range from minimal credit risk to lower than average, but still acceptable, credit risk. Watch list loans usually require more than normal management attention. Loans on the watch list may involve borrowers with adverse financial trends, higher debt/equity ratios, or weaker liquidity positions, but not to the degree of being considered a defined weakness or problem loan where risk of loss may be apparent.</w:t>
      </w:r>
    </w:p>
    <w:p>
      <w:pPr>
        <w:spacing w:after="0" w:line="180" w:lineRule="exact"/>
        <w:rPr>
          <w:sz w:val="20"/>
          <w:szCs w:val="20"/>
          <w:color w:val="auto"/>
        </w:rPr>
      </w:pPr>
    </w:p>
    <w:p>
      <w:pPr>
        <w:jc w:val="both"/>
        <w:ind w:right="80" w:firstLine="469"/>
        <w:spacing w:after="0" w:line="266" w:lineRule="auto"/>
        <w:rPr>
          <w:sz w:val="20"/>
          <w:szCs w:val="20"/>
          <w:color w:val="auto"/>
        </w:rPr>
      </w:pPr>
      <w:r>
        <w:rPr>
          <w:rFonts w:ascii="Times New Roman" w:cs="Times New Roman" w:eastAsia="Times New Roman" w:hAnsi="Times New Roman"/>
          <w:sz w:val="18"/>
          <w:szCs w:val="18"/>
          <w:color w:val="auto"/>
        </w:rPr>
        <w:t>Special Mention — Loans assigned to this category have potential weaknesses that deserve management’s close attention. If left uncorrected, these potential weaknesses may result in the deterioration of the repayment prospects for the asset or the Company’s credit position at some future date. Special mention assets are not adversely classified and do not expose the Company to sufficient risk to warrant adverse classification.</w:t>
      </w:r>
    </w:p>
    <w:p>
      <w:pPr>
        <w:spacing w:after="0" w:line="176" w:lineRule="exact"/>
        <w:rPr>
          <w:sz w:val="20"/>
          <w:szCs w:val="20"/>
          <w:color w:val="auto"/>
        </w:rPr>
      </w:pPr>
    </w:p>
    <w:p>
      <w:pPr>
        <w:jc w:val="both"/>
        <w:ind w:right="140" w:firstLine="469"/>
        <w:spacing w:after="0" w:line="266" w:lineRule="auto"/>
        <w:rPr>
          <w:sz w:val="20"/>
          <w:szCs w:val="20"/>
          <w:color w:val="auto"/>
        </w:rPr>
      </w:pPr>
      <w:r>
        <w:rPr>
          <w:rFonts w:ascii="Times New Roman" w:cs="Times New Roman" w:eastAsia="Times New Roman" w:hAnsi="Times New Roman"/>
          <w:sz w:val="18"/>
          <w:szCs w:val="18"/>
          <w:color w:val="auto"/>
        </w:rPr>
        <w:t>Substandard — Loans classified as substandard are inadequately protected by the current sound worth and paying capacity of the obligor or of the collateral pledged, if any. Assets so classified must have a well-defined weakness, or weaknesses, that jeopardize the liquidation of the debt. Substandard loans are characterized by the distinct possibility that the Company will sustain some loss if deficiencies are not corrected.</w:t>
      </w:r>
    </w:p>
    <w:p>
      <w:pPr>
        <w:spacing w:after="0" w:line="176" w:lineRule="exact"/>
        <w:rPr>
          <w:sz w:val="20"/>
          <w:szCs w:val="20"/>
          <w:color w:val="auto"/>
        </w:rPr>
      </w:pPr>
    </w:p>
    <w:p>
      <w:pPr>
        <w:ind w:right="160" w:firstLine="469"/>
        <w:spacing w:after="0" w:line="282" w:lineRule="auto"/>
        <w:rPr>
          <w:sz w:val="20"/>
          <w:szCs w:val="20"/>
          <w:color w:val="auto"/>
        </w:rPr>
      </w:pPr>
      <w:r>
        <w:rPr>
          <w:rFonts w:ascii="Times New Roman" w:cs="Times New Roman" w:eastAsia="Times New Roman" w:hAnsi="Times New Roman"/>
          <w:sz w:val="18"/>
          <w:szCs w:val="18"/>
          <w:color w:val="auto"/>
        </w:rPr>
        <w:t>Doubtful — Loans classified as doubtful have all the weaknesses inherent in those classified substandard with the added characteristic that the weaknesses make collection or the liquidation in full, on the basis of currently existing facts, conditions and values, highly questionable and improbable.</w:t>
      </w:r>
    </w:p>
    <w:p>
      <w:pPr>
        <w:spacing w:after="0" w:line="162" w:lineRule="exact"/>
        <w:rPr>
          <w:sz w:val="20"/>
          <w:szCs w:val="20"/>
          <w:color w:val="auto"/>
        </w:rPr>
      </w:pPr>
    </w:p>
    <w:p>
      <w:pPr>
        <w:jc w:val="both"/>
        <w:ind w:right="40" w:firstLine="469"/>
        <w:spacing w:after="0" w:line="257" w:lineRule="auto"/>
        <w:rPr>
          <w:sz w:val="20"/>
          <w:szCs w:val="20"/>
          <w:color w:val="auto"/>
        </w:rPr>
      </w:pPr>
      <w:r>
        <w:rPr>
          <w:rFonts w:ascii="Times New Roman" w:cs="Times New Roman" w:eastAsia="Times New Roman" w:hAnsi="Times New Roman"/>
          <w:sz w:val="18"/>
          <w:szCs w:val="18"/>
          <w:color w:val="auto"/>
        </w:rPr>
        <w:t>Loss — Loans classified as loss are considered uncollectible and of such little value that their continuance as bankable assets is not warranted. This classification does not mean that the loan has absolutely no recovery or salvage value, but rather that it is not practical or desirable to defer writing off this asset with insignificant value even though partial recovery may be affected in the future.</w:t>
      </w:r>
    </w:p>
    <w:p>
      <w:pPr>
        <w:spacing w:after="0" w:line="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89" w:right="419" w:bottom="1440" w:gutter="0" w:footer="0" w:header="0"/>
        </w:sectPr>
      </w:pPr>
    </w:p>
    <w:bookmarkStart w:id="14" w:name="page15"/>
    <w:bookmarkEnd w:id="14"/>
    <w:p>
      <w:pPr>
        <w:ind w:left="480"/>
        <w:spacing w:after="0"/>
        <w:rPr>
          <w:sz w:val="20"/>
          <w:szCs w:val="20"/>
          <w:color w:val="auto"/>
        </w:rPr>
      </w:pPr>
      <w:r>
        <w:rPr>
          <w:rFonts w:ascii="Times New Roman" w:cs="Times New Roman" w:eastAsia="Times New Roman" w:hAnsi="Times New Roman"/>
          <w:sz w:val="18"/>
          <w:szCs w:val="18"/>
          <w:color w:val="auto"/>
        </w:rPr>
        <w:t>The following table summarizes loans by type and origination year, according to our internal risk ratings as of the dates presented.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7"/>
              </w:rPr>
              <w:t>Revolving</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7"/>
              </w:rPr>
              <w:t>Revolving</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Origination Year</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loans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loans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9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4"/>
            <w:vMerge w:val="continue"/>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5"/>
              </w:rPr>
              <w:t>amortized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5"/>
              </w:rPr>
              <w:t>converted to</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2022</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w w:val="92"/>
              </w:rPr>
              <w:t>2021</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Prior</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5"/>
              </w:rPr>
              <w:t>cost basis</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8"/>
              </w:rPr>
              <w:t>term loans</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5"/>
          </w:tcPr>
          <w:p>
            <w:pPr>
              <w:spacing w:after="0"/>
              <w:rPr>
                <w:sz w:val="20"/>
                <w:szCs w:val="20"/>
                <w:color w:val="auto"/>
              </w:rPr>
            </w:pPr>
            <w:r>
              <w:rPr>
                <w:rFonts w:ascii="Times New Roman" w:cs="Times New Roman" w:eastAsia="Times New Roman" w:hAnsi="Times New Roman"/>
                <w:sz w:val="13"/>
                <w:szCs w:val="13"/>
                <w:i w:val="1"/>
                <w:iCs w:val="1"/>
                <w:color w:val="auto"/>
                <w:w w:val="93"/>
              </w:rPr>
              <w:t>(Dollars in thousands)</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1940" w:type="dxa"/>
            <w:vAlign w:val="bottom"/>
            <w:shd w:val="clear" w:color="auto" w:fill="CFF0FC"/>
          </w:tcPr>
          <w:p>
            <w:pPr>
              <w:ind w:left="20"/>
              <w:spacing w:after="0" w:line="128" w:lineRule="exact"/>
              <w:rPr>
                <w:sz w:val="20"/>
                <w:szCs w:val="20"/>
                <w:color w:val="auto"/>
              </w:rPr>
            </w:pPr>
            <w:r>
              <w:rPr>
                <w:rFonts w:ascii="Times New Roman" w:cs="Times New Roman" w:eastAsia="Times New Roman" w:hAnsi="Times New Roman"/>
                <w:sz w:val="13"/>
                <w:szCs w:val="13"/>
                <w:b w:val="1"/>
                <w:bCs w:val="1"/>
                <w:color w:val="auto"/>
              </w:rPr>
              <w:t>Commercial real estate</w:t>
            </w:r>
          </w:p>
        </w:tc>
        <w:tc>
          <w:tcPr>
            <w:tcW w:w="1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1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Risk Rating:</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234,801</w:t>
            </w:r>
          </w:p>
        </w:tc>
        <w:tc>
          <w:tcPr>
            <w:tcW w:w="4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427,623</w:t>
            </w:r>
          </w:p>
        </w:tc>
        <w:tc>
          <w:tcPr>
            <w:tcW w:w="4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1,262,430</w:t>
            </w:r>
          </w:p>
        </w:tc>
        <w:tc>
          <w:tcPr>
            <w:tcW w:w="5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2"/>
              </w:rPr>
              <w:t>1,080,704</w:t>
            </w:r>
          </w:p>
        </w:tc>
        <w:tc>
          <w:tcPr>
            <w:tcW w:w="3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838,577</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2,270,791</w:t>
            </w:r>
          </w:p>
        </w:tc>
        <w:tc>
          <w:tcPr>
            <w:tcW w:w="3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187,981</w:t>
            </w:r>
          </w:p>
        </w:tc>
        <w:tc>
          <w:tcPr>
            <w:tcW w:w="3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36,610</w:t>
            </w:r>
          </w:p>
        </w:tc>
        <w:tc>
          <w:tcPr>
            <w:tcW w:w="4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6,339,517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4,501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23,795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25,259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17,022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106,569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3,075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182,188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244</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8,890</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6,224</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25,309</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55,301</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964</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96,932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Doubtful &amp; Loss</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94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Total Commercial real</w:t>
            </w:r>
          </w:p>
        </w:tc>
        <w:tc>
          <w:tcPr>
            <w:tcW w:w="180" w:type="dxa"/>
            <w:vAlign w:val="bottom"/>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235,472</w:t>
            </w:r>
          </w:p>
        </w:tc>
        <w:tc>
          <w:tcPr>
            <w:tcW w:w="440" w:type="dxa"/>
            <w:vAlign w:val="bottom"/>
            <w:gridSpan w:val="3"/>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432,368</w:t>
            </w:r>
          </w:p>
        </w:tc>
        <w:tc>
          <w:tcPr>
            <w:tcW w:w="440" w:type="dxa"/>
            <w:vAlign w:val="bottom"/>
            <w:gridSpan w:val="3"/>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1,295,115</w:t>
            </w:r>
          </w:p>
        </w:tc>
        <w:tc>
          <w:tcPr>
            <w:tcW w:w="500" w:type="dxa"/>
            <w:vAlign w:val="bottom"/>
            <w:gridSpan w:val="3"/>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2"/>
              </w:rPr>
              <w:t>1,112,187</w:t>
            </w:r>
          </w:p>
        </w:tc>
        <w:tc>
          <w:tcPr>
            <w:tcW w:w="380" w:type="dxa"/>
            <w:vAlign w:val="bottom"/>
            <w:gridSpan w:val="3"/>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880,908</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vMerge w:val="restart"/>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2,432,661</w:t>
            </w:r>
          </w:p>
        </w:tc>
        <w:tc>
          <w:tcPr>
            <w:tcW w:w="320" w:type="dxa"/>
            <w:vAlign w:val="bottom"/>
            <w:gridSpan w:val="3"/>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192,020</w:t>
            </w:r>
          </w:p>
        </w:tc>
        <w:tc>
          <w:tcPr>
            <w:tcW w:w="300" w:type="dxa"/>
            <w:vAlign w:val="bottom"/>
            <w:gridSpan w:val="3"/>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37,906</w:t>
            </w:r>
          </w:p>
        </w:tc>
        <w:tc>
          <w:tcPr>
            <w:tcW w:w="400" w:type="dxa"/>
            <w:vAlign w:val="bottom"/>
            <w:gridSpan w:val="3"/>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6,618,637</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estate loans:</w:t>
            </w:r>
          </w:p>
        </w:tc>
        <w:tc>
          <w:tcPr>
            <w:tcW w:w="180" w:type="dxa"/>
            <w:vAlign w:val="bottom"/>
            <w:vMerge w:val="continue"/>
            <w:shd w:val="clear" w:color="auto" w:fill="CFF0FC"/>
          </w:tcPr>
          <w:p>
            <w:pPr>
              <w:spacing w:after="0"/>
              <w:rPr>
                <w:sz w:val="13"/>
                <w:szCs w:val="13"/>
                <w:color w:val="auto"/>
              </w:rPr>
            </w:pPr>
          </w:p>
        </w:tc>
        <w:tc>
          <w:tcPr>
            <w:tcW w:w="620" w:type="dxa"/>
            <w:vAlign w:val="bottom"/>
            <w:vMerge w:val="continue"/>
            <w:shd w:val="clear" w:color="auto" w:fill="CFF0FC"/>
          </w:tcPr>
          <w:p>
            <w:pPr>
              <w:spacing w:after="0"/>
              <w:rPr>
                <w:sz w:val="13"/>
                <w:szCs w:val="13"/>
                <w:color w:val="auto"/>
              </w:rPr>
            </w:pPr>
          </w:p>
        </w:tc>
        <w:tc>
          <w:tcPr>
            <w:tcW w:w="440" w:type="dxa"/>
            <w:vAlign w:val="bottom"/>
            <w:gridSpan w:val="3"/>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440" w:type="dxa"/>
            <w:vAlign w:val="bottom"/>
            <w:gridSpan w:val="3"/>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500" w:type="dxa"/>
            <w:vAlign w:val="bottom"/>
            <w:gridSpan w:val="3"/>
            <w:vMerge w:val="continue"/>
            <w:shd w:val="clear" w:color="auto" w:fill="CFF0FC"/>
          </w:tcPr>
          <w:p>
            <w:pPr>
              <w:spacing w:after="0"/>
              <w:rPr>
                <w:sz w:val="13"/>
                <w:szCs w:val="13"/>
                <w:color w:val="auto"/>
              </w:rPr>
            </w:pPr>
          </w:p>
        </w:tc>
        <w:tc>
          <w:tcPr>
            <w:tcW w:w="520" w:type="dxa"/>
            <w:vAlign w:val="bottom"/>
            <w:vMerge w:val="continue"/>
            <w:shd w:val="clear" w:color="auto" w:fill="CFF0FC"/>
          </w:tcPr>
          <w:p>
            <w:pPr>
              <w:spacing w:after="0"/>
              <w:rPr>
                <w:sz w:val="13"/>
                <w:szCs w:val="13"/>
                <w:color w:val="auto"/>
              </w:rPr>
            </w:pPr>
          </w:p>
        </w:tc>
        <w:tc>
          <w:tcPr>
            <w:tcW w:w="380" w:type="dxa"/>
            <w:vAlign w:val="bottom"/>
            <w:gridSpan w:val="3"/>
            <w:vMerge w:val="continue"/>
            <w:shd w:val="clear" w:color="auto" w:fill="CFF0FC"/>
          </w:tcPr>
          <w:p>
            <w:pPr>
              <w:spacing w:after="0"/>
              <w:rPr>
                <w:sz w:val="13"/>
                <w:szCs w:val="13"/>
                <w:color w:val="auto"/>
              </w:rPr>
            </w:pPr>
          </w:p>
        </w:tc>
        <w:tc>
          <w:tcPr>
            <w:tcW w:w="62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320" w:type="dxa"/>
            <w:vAlign w:val="bottom"/>
            <w:gridSpan w:val="3"/>
            <w:vMerge w:val="continue"/>
            <w:shd w:val="clear" w:color="auto" w:fill="CFF0FC"/>
          </w:tcPr>
          <w:p>
            <w:pPr>
              <w:spacing w:after="0"/>
              <w:rPr>
                <w:sz w:val="13"/>
                <w:szCs w:val="13"/>
                <w:color w:val="auto"/>
              </w:rPr>
            </w:pPr>
          </w:p>
        </w:tc>
        <w:tc>
          <w:tcPr>
            <w:tcW w:w="720" w:type="dxa"/>
            <w:vAlign w:val="bottom"/>
            <w:vMerge w:val="continue"/>
            <w:shd w:val="clear" w:color="auto" w:fill="CFF0FC"/>
          </w:tcPr>
          <w:p>
            <w:pPr>
              <w:spacing w:after="0"/>
              <w:rPr>
                <w:sz w:val="13"/>
                <w:szCs w:val="13"/>
                <w:color w:val="auto"/>
              </w:rPr>
            </w:pPr>
          </w:p>
        </w:tc>
        <w:tc>
          <w:tcPr>
            <w:tcW w:w="300" w:type="dxa"/>
            <w:vAlign w:val="bottom"/>
            <w:gridSpan w:val="3"/>
            <w:vMerge w:val="continue"/>
            <w:shd w:val="clear" w:color="auto" w:fill="CFF0FC"/>
          </w:tcPr>
          <w:p>
            <w:pPr>
              <w:spacing w:after="0"/>
              <w:rPr>
                <w:sz w:val="13"/>
                <w:szCs w:val="13"/>
                <w:color w:val="auto"/>
              </w:rPr>
            </w:pPr>
          </w:p>
        </w:tc>
        <w:tc>
          <w:tcPr>
            <w:tcW w:w="760" w:type="dxa"/>
            <w:vAlign w:val="bottom"/>
            <w:vMerge w:val="continue"/>
            <w:shd w:val="clear" w:color="auto" w:fill="CFF0FC"/>
          </w:tcPr>
          <w:p>
            <w:pPr>
              <w:spacing w:after="0"/>
              <w:rPr>
                <w:sz w:val="13"/>
                <w:szCs w:val="13"/>
                <w:color w:val="auto"/>
              </w:rPr>
            </w:pPr>
          </w:p>
        </w:tc>
        <w:tc>
          <w:tcPr>
            <w:tcW w:w="400" w:type="dxa"/>
            <w:vAlign w:val="bottom"/>
            <w:gridSpan w:val="3"/>
            <w:vMerge w:val="continue"/>
            <w:shd w:val="clear" w:color="auto" w:fill="CFF0FC"/>
          </w:tcPr>
          <w:p>
            <w:pPr>
              <w:spacing w:after="0"/>
              <w:rPr>
                <w:sz w:val="13"/>
                <w:szCs w:val="13"/>
                <w:color w:val="auto"/>
              </w:rPr>
            </w:pPr>
          </w:p>
        </w:tc>
        <w:tc>
          <w:tcPr>
            <w:tcW w:w="70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940" w:type="dxa"/>
            <w:vAlign w:val="bottom"/>
            <w:tcBorders>
              <w:top w:val="single" w:sz="8" w:color="CFF0FC"/>
            </w:tcBorders>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Current YTD Period:</w:t>
            </w:r>
          </w:p>
        </w:tc>
        <w:tc>
          <w:tcPr>
            <w:tcW w:w="1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94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Gross charge-offs</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2,258</w:t>
            </w:r>
          </w:p>
        </w:tc>
        <w:tc>
          <w:tcPr>
            <w:tcW w:w="32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Construction loans:</w:t>
            </w: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Risk Rating:</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2,977</w:t>
            </w:r>
          </w:p>
        </w:tc>
        <w:tc>
          <w:tcPr>
            <w:tcW w:w="4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1,986</w:t>
            </w:r>
          </w:p>
        </w:tc>
        <w:tc>
          <w:tcPr>
            <w:tcW w:w="4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7,730</w:t>
            </w:r>
          </w:p>
        </w:tc>
        <w:tc>
          <w:tcPr>
            <w:tcW w:w="5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12,693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1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2,062</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2,062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Doubtful &amp; Loss</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94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Total Construction</w:t>
            </w:r>
          </w:p>
        </w:tc>
        <w:tc>
          <w:tcPr>
            <w:tcW w:w="180" w:type="dxa"/>
            <w:vAlign w:val="bottom"/>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2,977</w:t>
            </w:r>
          </w:p>
        </w:tc>
        <w:tc>
          <w:tcPr>
            <w:tcW w:w="440" w:type="dxa"/>
            <w:vAlign w:val="bottom"/>
            <w:gridSpan w:val="3"/>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1,986</w:t>
            </w:r>
          </w:p>
        </w:tc>
        <w:tc>
          <w:tcPr>
            <w:tcW w:w="440" w:type="dxa"/>
            <w:vAlign w:val="bottom"/>
            <w:gridSpan w:val="3"/>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7,730</w:t>
            </w:r>
          </w:p>
        </w:tc>
        <w:tc>
          <w:tcPr>
            <w:tcW w:w="500" w:type="dxa"/>
            <w:vAlign w:val="bottom"/>
            <w:gridSpan w:val="3"/>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2,062</w:t>
            </w:r>
          </w:p>
        </w:tc>
        <w:tc>
          <w:tcPr>
            <w:tcW w:w="380" w:type="dxa"/>
            <w:vAlign w:val="bottom"/>
            <w:gridSpan w:val="3"/>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3"/>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vMerge w:val="restart"/>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14,755</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180" w:type="dxa"/>
            <w:vAlign w:val="bottom"/>
            <w:vMerge w:val="continue"/>
            <w:shd w:val="clear" w:color="auto" w:fill="CFF0FC"/>
          </w:tcPr>
          <w:p>
            <w:pPr>
              <w:spacing w:after="0"/>
              <w:rPr>
                <w:sz w:val="13"/>
                <w:szCs w:val="13"/>
                <w:color w:val="auto"/>
              </w:rPr>
            </w:pPr>
          </w:p>
        </w:tc>
        <w:tc>
          <w:tcPr>
            <w:tcW w:w="620" w:type="dxa"/>
            <w:vAlign w:val="bottom"/>
            <w:vMerge w:val="continue"/>
            <w:shd w:val="clear" w:color="auto" w:fill="CFF0FC"/>
          </w:tcPr>
          <w:p>
            <w:pPr>
              <w:spacing w:after="0"/>
              <w:rPr>
                <w:sz w:val="13"/>
                <w:szCs w:val="13"/>
                <w:color w:val="auto"/>
              </w:rPr>
            </w:pPr>
          </w:p>
        </w:tc>
        <w:tc>
          <w:tcPr>
            <w:tcW w:w="440" w:type="dxa"/>
            <w:vAlign w:val="bottom"/>
            <w:gridSpan w:val="3"/>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440" w:type="dxa"/>
            <w:vAlign w:val="bottom"/>
            <w:gridSpan w:val="3"/>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500" w:type="dxa"/>
            <w:vAlign w:val="bottom"/>
            <w:gridSpan w:val="3"/>
            <w:vMerge w:val="continue"/>
            <w:shd w:val="clear" w:color="auto" w:fill="CFF0FC"/>
          </w:tcPr>
          <w:p>
            <w:pPr>
              <w:spacing w:after="0"/>
              <w:rPr>
                <w:sz w:val="13"/>
                <w:szCs w:val="13"/>
                <w:color w:val="auto"/>
              </w:rPr>
            </w:pPr>
          </w:p>
        </w:tc>
        <w:tc>
          <w:tcPr>
            <w:tcW w:w="520" w:type="dxa"/>
            <w:vAlign w:val="bottom"/>
            <w:vMerge w:val="continue"/>
            <w:shd w:val="clear" w:color="auto" w:fill="CFF0FC"/>
          </w:tcPr>
          <w:p>
            <w:pPr>
              <w:spacing w:after="0"/>
              <w:rPr>
                <w:sz w:val="13"/>
                <w:szCs w:val="13"/>
                <w:color w:val="auto"/>
              </w:rPr>
            </w:pPr>
          </w:p>
        </w:tc>
        <w:tc>
          <w:tcPr>
            <w:tcW w:w="380" w:type="dxa"/>
            <w:vAlign w:val="bottom"/>
            <w:gridSpan w:val="3"/>
            <w:vMerge w:val="continue"/>
            <w:shd w:val="clear" w:color="auto" w:fill="CFF0FC"/>
          </w:tcPr>
          <w:p>
            <w:pPr>
              <w:spacing w:after="0"/>
              <w:rPr>
                <w:sz w:val="13"/>
                <w:szCs w:val="13"/>
                <w:color w:val="auto"/>
              </w:rPr>
            </w:pPr>
          </w:p>
        </w:tc>
        <w:tc>
          <w:tcPr>
            <w:tcW w:w="840" w:type="dxa"/>
            <w:vAlign w:val="bottom"/>
            <w:gridSpan w:val="3"/>
            <w:vMerge w:val="continue"/>
            <w:shd w:val="clear" w:color="auto" w:fill="CFF0FC"/>
          </w:tcPr>
          <w:p>
            <w:pPr>
              <w:spacing w:after="0"/>
              <w:rPr>
                <w:sz w:val="13"/>
                <w:szCs w:val="13"/>
                <w:color w:val="auto"/>
              </w:rPr>
            </w:pPr>
          </w:p>
        </w:tc>
        <w:tc>
          <w:tcPr>
            <w:tcW w:w="160" w:type="dxa"/>
            <w:vAlign w:val="bottom"/>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320" w:type="dxa"/>
            <w:vAlign w:val="bottom"/>
            <w:gridSpan w:val="3"/>
            <w:vMerge w:val="continue"/>
            <w:shd w:val="clear" w:color="auto" w:fill="CFF0FC"/>
          </w:tcPr>
          <w:p>
            <w:pPr>
              <w:spacing w:after="0"/>
              <w:rPr>
                <w:sz w:val="13"/>
                <w:szCs w:val="13"/>
                <w:color w:val="auto"/>
              </w:rPr>
            </w:pPr>
          </w:p>
        </w:tc>
        <w:tc>
          <w:tcPr>
            <w:tcW w:w="720" w:type="dxa"/>
            <w:vAlign w:val="bottom"/>
            <w:vMerge w:val="continue"/>
            <w:shd w:val="clear" w:color="auto" w:fill="CFF0FC"/>
          </w:tcPr>
          <w:p>
            <w:pPr>
              <w:spacing w:after="0"/>
              <w:rPr>
                <w:sz w:val="13"/>
                <w:szCs w:val="13"/>
                <w:color w:val="auto"/>
              </w:rPr>
            </w:pPr>
          </w:p>
        </w:tc>
        <w:tc>
          <w:tcPr>
            <w:tcW w:w="300" w:type="dxa"/>
            <w:vAlign w:val="bottom"/>
            <w:gridSpan w:val="3"/>
            <w:vMerge w:val="continue"/>
            <w:shd w:val="clear" w:color="auto" w:fill="CFF0FC"/>
          </w:tcPr>
          <w:p>
            <w:pPr>
              <w:spacing w:after="0"/>
              <w:rPr>
                <w:sz w:val="13"/>
                <w:szCs w:val="13"/>
                <w:color w:val="auto"/>
              </w:rPr>
            </w:pPr>
          </w:p>
        </w:tc>
        <w:tc>
          <w:tcPr>
            <w:tcW w:w="760" w:type="dxa"/>
            <w:vAlign w:val="bottom"/>
            <w:vMerge w:val="continue"/>
            <w:shd w:val="clear" w:color="auto" w:fill="CFF0FC"/>
          </w:tcPr>
          <w:p>
            <w:pPr>
              <w:spacing w:after="0"/>
              <w:rPr>
                <w:sz w:val="13"/>
                <w:szCs w:val="13"/>
                <w:color w:val="auto"/>
              </w:rPr>
            </w:pPr>
          </w:p>
        </w:tc>
        <w:tc>
          <w:tcPr>
            <w:tcW w:w="400" w:type="dxa"/>
            <w:vAlign w:val="bottom"/>
            <w:gridSpan w:val="3"/>
            <w:vMerge w:val="continue"/>
            <w:shd w:val="clear" w:color="auto" w:fill="CFF0FC"/>
          </w:tcPr>
          <w:p>
            <w:pPr>
              <w:spacing w:after="0"/>
              <w:rPr>
                <w:sz w:val="13"/>
                <w:szCs w:val="13"/>
                <w:color w:val="auto"/>
              </w:rPr>
            </w:pPr>
          </w:p>
        </w:tc>
        <w:tc>
          <w:tcPr>
            <w:tcW w:w="70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940" w:type="dxa"/>
            <w:vAlign w:val="bottom"/>
            <w:tcBorders>
              <w:top w:val="single" w:sz="8" w:color="CFF0FC"/>
            </w:tcBorders>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Current YTD Period:</w:t>
            </w:r>
          </w:p>
        </w:tc>
        <w:tc>
          <w:tcPr>
            <w:tcW w:w="1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94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Gross charge-offs</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4"/>
        </w:trPr>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SBA loans:</w:t>
            </w: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Risk Rating:</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25,973</w:t>
            </w:r>
          </w:p>
        </w:tc>
        <w:tc>
          <w:tcPr>
            <w:tcW w:w="4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17,213</w:t>
            </w:r>
          </w:p>
        </w:tc>
        <w:tc>
          <w:tcPr>
            <w:tcW w:w="4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47,143</w:t>
            </w:r>
          </w:p>
        </w:tc>
        <w:tc>
          <w:tcPr>
            <w:tcW w:w="5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49,661</w:t>
            </w:r>
          </w:p>
        </w:tc>
        <w:tc>
          <w:tcPr>
            <w:tcW w:w="3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24,005</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95,298</w:t>
            </w:r>
          </w:p>
        </w:tc>
        <w:tc>
          <w:tcPr>
            <w:tcW w:w="3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259,293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4,736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2,895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7,631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1,591</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3,486</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5,077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Doubtful &amp; Loss</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SBA loans:</w:t>
            </w: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25,973</w:t>
            </w:r>
          </w:p>
        </w:tc>
        <w:tc>
          <w:tcPr>
            <w:tcW w:w="4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17,213</w:t>
            </w:r>
          </w:p>
        </w:tc>
        <w:tc>
          <w:tcPr>
            <w:tcW w:w="4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48,734</w:t>
            </w:r>
          </w:p>
        </w:tc>
        <w:tc>
          <w:tcPr>
            <w:tcW w:w="5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49,661</w:t>
            </w:r>
          </w:p>
        </w:tc>
        <w:tc>
          <w:tcPr>
            <w:tcW w:w="3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28,741</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101,679</w:t>
            </w:r>
          </w:p>
        </w:tc>
        <w:tc>
          <w:tcPr>
            <w:tcW w:w="3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272,001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940" w:type="dxa"/>
            <w:vAlign w:val="bottom"/>
            <w:tcBorders>
              <w:top w:val="single" w:sz="8" w:color="CFF0FC"/>
            </w:tcBorders>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Current YTD Period:</w:t>
            </w:r>
          </w:p>
        </w:tc>
        <w:tc>
          <w:tcPr>
            <w:tcW w:w="1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94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Gross charge-offs</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w:t>
            </w:r>
          </w:p>
        </w:tc>
        <w:tc>
          <w:tcPr>
            <w:tcW w:w="32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SBA - PPP loans:</w:t>
            </w: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Risk Rating:</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366</w:t>
            </w:r>
          </w:p>
        </w:tc>
        <w:tc>
          <w:tcPr>
            <w:tcW w:w="3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889</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1,255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1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19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Doubtful &amp; Loss</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SBA - PPP loans:</w:t>
            </w: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366</w:t>
            </w:r>
          </w:p>
        </w:tc>
        <w:tc>
          <w:tcPr>
            <w:tcW w:w="3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889</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1,255</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940" w:type="dxa"/>
            <w:vAlign w:val="bottom"/>
            <w:tcBorders>
              <w:top w:val="single" w:sz="8" w:color="CFF0FC"/>
            </w:tcBorders>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Current YTD Period:</w:t>
            </w:r>
          </w:p>
        </w:tc>
        <w:tc>
          <w:tcPr>
            <w:tcW w:w="1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94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Gross charge-offs</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5"/>
        </w:trPr>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940" w:type="dxa"/>
            <w:vAlign w:val="bottom"/>
            <w:shd w:val="clear" w:color="auto" w:fill="CFF0FC"/>
          </w:tcPr>
          <w:p>
            <w:pPr>
              <w:ind w:left="20"/>
              <w:spacing w:after="0" w:line="128" w:lineRule="exact"/>
              <w:rPr>
                <w:sz w:val="20"/>
                <w:szCs w:val="20"/>
                <w:color w:val="auto"/>
              </w:rPr>
            </w:pPr>
            <w:r>
              <w:rPr>
                <w:rFonts w:ascii="Times New Roman" w:cs="Times New Roman" w:eastAsia="Times New Roman" w:hAnsi="Times New Roman"/>
                <w:sz w:val="13"/>
                <w:szCs w:val="13"/>
                <w:b w:val="1"/>
                <w:bCs w:val="1"/>
                <w:color w:val="auto"/>
              </w:rPr>
              <w:t>Commercial and</w:t>
            </w:r>
          </w:p>
        </w:tc>
        <w:tc>
          <w:tcPr>
            <w:tcW w:w="1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1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industrial loans:</w:t>
            </w: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Risk Rating:</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77,027</w:t>
            </w:r>
          </w:p>
        </w:tc>
        <w:tc>
          <w:tcPr>
            <w:tcW w:w="4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123,195</w:t>
            </w:r>
          </w:p>
        </w:tc>
        <w:tc>
          <w:tcPr>
            <w:tcW w:w="4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119,246</w:t>
            </w:r>
          </w:p>
        </w:tc>
        <w:tc>
          <w:tcPr>
            <w:tcW w:w="5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72,164</w:t>
            </w:r>
          </w:p>
        </w:tc>
        <w:tc>
          <w:tcPr>
            <w:tcW w:w="3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72,604</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124,580</w:t>
            </w:r>
          </w:p>
        </w:tc>
        <w:tc>
          <w:tcPr>
            <w:tcW w:w="3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307,261</w:t>
            </w:r>
          </w:p>
        </w:tc>
        <w:tc>
          <w:tcPr>
            <w:tcW w:w="3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5,131</w:t>
            </w:r>
          </w:p>
        </w:tc>
        <w:tc>
          <w:tcPr>
            <w:tcW w:w="4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901,208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3,414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4,370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9,664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5,173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27,095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1,472</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253</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2,400</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3,975</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8,186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Doubtful &amp; Loss</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94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Total Commercial and</w:t>
            </w:r>
          </w:p>
        </w:tc>
        <w:tc>
          <w:tcPr>
            <w:tcW w:w="180" w:type="dxa"/>
            <w:vAlign w:val="bottom"/>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77,701</w:t>
            </w:r>
          </w:p>
        </w:tc>
        <w:tc>
          <w:tcPr>
            <w:tcW w:w="440" w:type="dxa"/>
            <w:vAlign w:val="bottom"/>
            <w:gridSpan w:val="3"/>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128,081</w:t>
            </w:r>
          </w:p>
        </w:tc>
        <w:tc>
          <w:tcPr>
            <w:tcW w:w="440" w:type="dxa"/>
            <w:vAlign w:val="bottom"/>
            <w:gridSpan w:val="3"/>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120,498</w:t>
            </w:r>
          </w:p>
        </w:tc>
        <w:tc>
          <w:tcPr>
            <w:tcW w:w="500" w:type="dxa"/>
            <w:vAlign w:val="bottom"/>
            <w:gridSpan w:val="3"/>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74,600</w:t>
            </w:r>
          </w:p>
        </w:tc>
        <w:tc>
          <w:tcPr>
            <w:tcW w:w="380" w:type="dxa"/>
            <w:vAlign w:val="bottom"/>
            <w:gridSpan w:val="3"/>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73,048</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vMerge w:val="restart"/>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128,957</w:t>
            </w:r>
          </w:p>
        </w:tc>
        <w:tc>
          <w:tcPr>
            <w:tcW w:w="320" w:type="dxa"/>
            <w:vAlign w:val="bottom"/>
            <w:gridSpan w:val="3"/>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319,325</w:t>
            </w:r>
          </w:p>
        </w:tc>
        <w:tc>
          <w:tcPr>
            <w:tcW w:w="300" w:type="dxa"/>
            <w:vAlign w:val="bottom"/>
            <w:gridSpan w:val="3"/>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14,279</w:t>
            </w:r>
          </w:p>
        </w:tc>
        <w:tc>
          <w:tcPr>
            <w:tcW w:w="400" w:type="dxa"/>
            <w:vAlign w:val="bottom"/>
            <w:gridSpan w:val="3"/>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936,489</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industrial loans:</w:t>
            </w:r>
          </w:p>
        </w:tc>
        <w:tc>
          <w:tcPr>
            <w:tcW w:w="180" w:type="dxa"/>
            <w:vAlign w:val="bottom"/>
            <w:vMerge w:val="continue"/>
            <w:shd w:val="clear" w:color="auto" w:fill="CFF0FC"/>
          </w:tcPr>
          <w:p>
            <w:pPr>
              <w:spacing w:after="0"/>
              <w:rPr>
                <w:sz w:val="13"/>
                <w:szCs w:val="13"/>
                <w:color w:val="auto"/>
              </w:rPr>
            </w:pPr>
          </w:p>
        </w:tc>
        <w:tc>
          <w:tcPr>
            <w:tcW w:w="620" w:type="dxa"/>
            <w:vAlign w:val="bottom"/>
            <w:vMerge w:val="continue"/>
            <w:shd w:val="clear" w:color="auto" w:fill="CFF0FC"/>
          </w:tcPr>
          <w:p>
            <w:pPr>
              <w:spacing w:after="0"/>
              <w:rPr>
                <w:sz w:val="13"/>
                <w:szCs w:val="13"/>
                <w:color w:val="auto"/>
              </w:rPr>
            </w:pPr>
          </w:p>
        </w:tc>
        <w:tc>
          <w:tcPr>
            <w:tcW w:w="440" w:type="dxa"/>
            <w:vAlign w:val="bottom"/>
            <w:gridSpan w:val="3"/>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440" w:type="dxa"/>
            <w:vAlign w:val="bottom"/>
            <w:gridSpan w:val="3"/>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500" w:type="dxa"/>
            <w:vAlign w:val="bottom"/>
            <w:gridSpan w:val="3"/>
            <w:vMerge w:val="continue"/>
            <w:shd w:val="clear" w:color="auto" w:fill="CFF0FC"/>
          </w:tcPr>
          <w:p>
            <w:pPr>
              <w:spacing w:after="0"/>
              <w:rPr>
                <w:sz w:val="13"/>
                <w:szCs w:val="13"/>
                <w:color w:val="auto"/>
              </w:rPr>
            </w:pPr>
          </w:p>
        </w:tc>
        <w:tc>
          <w:tcPr>
            <w:tcW w:w="520" w:type="dxa"/>
            <w:vAlign w:val="bottom"/>
            <w:vMerge w:val="continue"/>
            <w:shd w:val="clear" w:color="auto" w:fill="CFF0FC"/>
          </w:tcPr>
          <w:p>
            <w:pPr>
              <w:spacing w:after="0"/>
              <w:rPr>
                <w:sz w:val="13"/>
                <w:szCs w:val="13"/>
                <w:color w:val="auto"/>
              </w:rPr>
            </w:pPr>
          </w:p>
        </w:tc>
        <w:tc>
          <w:tcPr>
            <w:tcW w:w="380" w:type="dxa"/>
            <w:vAlign w:val="bottom"/>
            <w:gridSpan w:val="3"/>
            <w:vMerge w:val="continue"/>
            <w:shd w:val="clear" w:color="auto" w:fill="CFF0FC"/>
          </w:tcPr>
          <w:p>
            <w:pPr>
              <w:spacing w:after="0"/>
              <w:rPr>
                <w:sz w:val="13"/>
                <w:szCs w:val="13"/>
                <w:color w:val="auto"/>
              </w:rPr>
            </w:pPr>
          </w:p>
        </w:tc>
        <w:tc>
          <w:tcPr>
            <w:tcW w:w="62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320" w:type="dxa"/>
            <w:vAlign w:val="bottom"/>
            <w:gridSpan w:val="3"/>
            <w:vMerge w:val="continue"/>
            <w:shd w:val="clear" w:color="auto" w:fill="CFF0FC"/>
          </w:tcPr>
          <w:p>
            <w:pPr>
              <w:spacing w:after="0"/>
              <w:rPr>
                <w:sz w:val="13"/>
                <w:szCs w:val="13"/>
                <w:color w:val="auto"/>
              </w:rPr>
            </w:pPr>
          </w:p>
        </w:tc>
        <w:tc>
          <w:tcPr>
            <w:tcW w:w="720" w:type="dxa"/>
            <w:vAlign w:val="bottom"/>
            <w:vMerge w:val="continue"/>
            <w:shd w:val="clear" w:color="auto" w:fill="CFF0FC"/>
          </w:tcPr>
          <w:p>
            <w:pPr>
              <w:spacing w:after="0"/>
              <w:rPr>
                <w:sz w:val="13"/>
                <w:szCs w:val="13"/>
                <w:color w:val="auto"/>
              </w:rPr>
            </w:pPr>
          </w:p>
        </w:tc>
        <w:tc>
          <w:tcPr>
            <w:tcW w:w="300" w:type="dxa"/>
            <w:vAlign w:val="bottom"/>
            <w:gridSpan w:val="3"/>
            <w:vMerge w:val="continue"/>
            <w:shd w:val="clear" w:color="auto" w:fill="CFF0FC"/>
          </w:tcPr>
          <w:p>
            <w:pPr>
              <w:spacing w:after="0"/>
              <w:rPr>
                <w:sz w:val="13"/>
                <w:szCs w:val="13"/>
                <w:color w:val="auto"/>
              </w:rPr>
            </w:pPr>
          </w:p>
        </w:tc>
        <w:tc>
          <w:tcPr>
            <w:tcW w:w="760" w:type="dxa"/>
            <w:vAlign w:val="bottom"/>
            <w:vMerge w:val="continue"/>
            <w:shd w:val="clear" w:color="auto" w:fill="CFF0FC"/>
          </w:tcPr>
          <w:p>
            <w:pPr>
              <w:spacing w:after="0"/>
              <w:rPr>
                <w:sz w:val="13"/>
                <w:szCs w:val="13"/>
                <w:color w:val="auto"/>
              </w:rPr>
            </w:pPr>
          </w:p>
        </w:tc>
        <w:tc>
          <w:tcPr>
            <w:tcW w:w="400" w:type="dxa"/>
            <w:vAlign w:val="bottom"/>
            <w:gridSpan w:val="3"/>
            <w:vMerge w:val="continue"/>
            <w:shd w:val="clear" w:color="auto" w:fill="CFF0FC"/>
          </w:tcPr>
          <w:p>
            <w:pPr>
              <w:spacing w:after="0"/>
              <w:rPr>
                <w:sz w:val="13"/>
                <w:szCs w:val="13"/>
                <w:color w:val="auto"/>
              </w:rPr>
            </w:pPr>
          </w:p>
        </w:tc>
        <w:tc>
          <w:tcPr>
            <w:tcW w:w="70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940" w:type="dxa"/>
            <w:vAlign w:val="bottom"/>
            <w:tcBorders>
              <w:top w:val="single" w:sz="8" w:color="CFF0FC"/>
            </w:tcBorders>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Current YTD Period:</w:t>
            </w:r>
          </w:p>
        </w:tc>
        <w:tc>
          <w:tcPr>
            <w:tcW w:w="1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94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Gross charge-offs</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5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1,186</w:t>
            </w:r>
          </w:p>
        </w:tc>
        <w:tc>
          <w:tcPr>
            <w:tcW w:w="32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431</w:t>
            </w:r>
          </w:p>
        </w:tc>
        <w:tc>
          <w:tcPr>
            <w:tcW w:w="4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1744980</wp:posOffset>
            </wp:positionH>
            <wp:positionV relativeFrom="paragraph">
              <wp:posOffset>-4549775</wp:posOffset>
            </wp:positionV>
            <wp:extent cx="7683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-4549775</wp:posOffset>
            </wp:positionV>
            <wp:extent cx="7683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-4549775</wp:posOffset>
            </wp:positionV>
            <wp:extent cx="7747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-4549775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-4549775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-4549775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-4549775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-4549775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-4549775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1744980</wp:posOffset>
            </wp:positionH>
            <wp:positionV relativeFrom="paragraph">
              <wp:posOffset>-3443605</wp:posOffset>
            </wp:positionV>
            <wp:extent cx="7683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-3443605</wp:posOffset>
            </wp:positionV>
            <wp:extent cx="7683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-3443605</wp:posOffset>
            </wp:positionV>
            <wp:extent cx="7747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-3443605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-3443605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-3443605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-3443605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-3443605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-3443605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1744980</wp:posOffset>
            </wp:positionH>
            <wp:positionV relativeFrom="paragraph">
              <wp:posOffset>-2414905</wp:posOffset>
            </wp:positionV>
            <wp:extent cx="7683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-2414905</wp:posOffset>
            </wp:positionV>
            <wp:extent cx="7683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-2414905</wp:posOffset>
            </wp:positionV>
            <wp:extent cx="7747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-2414905</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-2414905</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-2414905</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-2414905</wp:posOffset>
            </wp:positionV>
            <wp:extent cx="685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-2414905</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-2414905</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1744980</wp:posOffset>
            </wp:positionH>
            <wp:positionV relativeFrom="paragraph">
              <wp:posOffset>-1386205</wp:posOffset>
            </wp:positionV>
            <wp:extent cx="7683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-1386205</wp:posOffset>
            </wp:positionV>
            <wp:extent cx="7683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-1386205</wp:posOffset>
            </wp:positionV>
            <wp:extent cx="7747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-1386205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-1386205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-1386205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-1386205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-1386205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-1386205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1744980</wp:posOffset>
            </wp:positionH>
            <wp:positionV relativeFrom="paragraph">
              <wp:posOffset>-194945</wp:posOffset>
            </wp:positionV>
            <wp:extent cx="7683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-194945</wp:posOffset>
            </wp:positionV>
            <wp:extent cx="7683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-194945</wp:posOffset>
            </wp:positionV>
            <wp:extent cx="7747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-194945</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-194945</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-194945</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-194945</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-194945</wp:posOffset>
            </wp:positionV>
            <wp:extent cx="685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-194945</wp:posOffset>
            </wp:positionV>
            <wp:extent cx="685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49"/>
        </w:trPr>
        <w:tc>
          <w:tcPr>
            <w:tcW w:w="1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7"/>
              </w:rPr>
              <w:t>Revolving</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7"/>
              </w:rPr>
              <w:t>Revolving</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Origination Year</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loans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loans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9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4"/>
            <w:vMerge w:val="continue"/>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5"/>
              </w:rPr>
              <w:t>amortized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5"/>
              </w:rPr>
              <w:t>converted to</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2022</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w w:val="92"/>
              </w:rPr>
              <w:t>2021</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Prior</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5"/>
              </w:rPr>
              <w:t>cost basis</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8"/>
              </w:rPr>
              <w:t>term loans</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5"/>
          </w:tcPr>
          <w:p>
            <w:pPr>
              <w:spacing w:after="0"/>
              <w:rPr>
                <w:sz w:val="20"/>
                <w:szCs w:val="20"/>
                <w:color w:val="auto"/>
              </w:rPr>
            </w:pPr>
            <w:r>
              <w:rPr>
                <w:rFonts w:ascii="Times New Roman" w:cs="Times New Roman" w:eastAsia="Times New Roman" w:hAnsi="Times New Roman"/>
                <w:sz w:val="13"/>
                <w:szCs w:val="13"/>
                <w:i w:val="1"/>
                <w:iCs w:val="1"/>
                <w:color w:val="auto"/>
                <w:w w:val="93"/>
              </w:rPr>
              <w:t>(Dollars in thousands)</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1940" w:type="dxa"/>
            <w:vAlign w:val="bottom"/>
            <w:shd w:val="clear" w:color="auto" w:fill="CFF0FC"/>
          </w:tcPr>
          <w:p>
            <w:pPr>
              <w:ind w:left="20"/>
              <w:spacing w:after="0" w:line="128" w:lineRule="exact"/>
              <w:rPr>
                <w:sz w:val="20"/>
                <w:szCs w:val="20"/>
                <w:color w:val="auto"/>
              </w:rPr>
            </w:pPr>
            <w:r>
              <w:rPr>
                <w:rFonts w:ascii="Times New Roman" w:cs="Times New Roman" w:eastAsia="Times New Roman" w:hAnsi="Times New Roman"/>
                <w:sz w:val="13"/>
                <w:szCs w:val="13"/>
                <w:b w:val="1"/>
                <w:bCs w:val="1"/>
                <w:color w:val="auto"/>
              </w:rPr>
              <w:t>Dairy &amp; livestock and</w:t>
            </w:r>
          </w:p>
        </w:tc>
        <w:tc>
          <w:tcPr>
            <w:tcW w:w="1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1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agribusiness loans:</w:t>
            </w: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Risk Rating:</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427</w:t>
            </w:r>
          </w:p>
        </w:tc>
        <w:tc>
          <w:tcPr>
            <w:tcW w:w="440" w:type="dxa"/>
            <w:vAlign w:val="bottom"/>
            <w:gridSpan w:val="3"/>
            <w:shd w:val="clear" w:color="auto" w:fill="CFF0FC"/>
          </w:tcPr>
          <w:p>
            <w:pPr>
              <w:jc w:val="right"/>
              <w:ind w:right="68"/>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3"/>
            <w:shd w:val="clear" w:color="auto" w:fill="CFF0FC"/>
          </w:tcPr>
          <w:p>
            <w:pPr>
              <w:jc w:val="right"/>
              <w:ind w:right="68"/>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3"/>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642</w:t>
            </w:r>
          </w:p>
        </w:tc>
        <w:tc>
          <w:tcPr>
            <w:tcW w:w="380" w:type="dxa"/>
            <w:vAlign w:val="bottom"/>
            <w:gridSpan w:val="3"/>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889</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210</w:t>
            </w: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286,841</w:t>
            </w:r>
          </w:p>
        </w:tc>
        <w:tc>
          <w:tcPr>
            <w:tcW w:w="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289,009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41,349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41,757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9,562</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2,057</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11,679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Doubtful &amp; Loss</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2"/>
        </w:trPr>
        <w:tc>
          <w:tcPr>
            <w:tcW w:w="194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Total Dairy &amp; livestock</w:t>
            </w:r>
          </w:p>
        </w:tc>
        <w:tc>
          <w:tcPr>
            <w:tcW w:w="180" w:type="dxa"/>
            <w:vAlign w:val="bottom"/>
            <w:tcBorders>
              <w:top w:val="single" w:sz="8" w:color="auto"/>
            </w:tcBorders>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60" w:type="dxa"/>
            <w:vAlign w:val="bottom"/>
            <w:tcBorders>
              <w:top w:val="single" w:sz="8" w:color="auto"/>
            </w:tcBorders>
            <w:shd w:val="clear" w:color="auto" w:fill="CFF0FC"/>
          </w:tcPr>
          <w:p>
            <w:pPr>
              <w:spacing w:after="0"/>
              <w:rPr>
                <w:sz w:val="10"/>
                <w:szCs w:val="10"/>
                <w:color w:val="auto"/>
              </w:rPr>
            </w:pPr>
          </w:p>
        </w:tc>
        <w:tc>
          <w:tcPr>
            <w:tcW w:w="52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76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spacing w:after="0"/>
              <w:rPr>
                <w:sz w:val="10"/>
                <w:szCs w:val="10"/>
                <w:color w:val="auto"/>
              </w:rPr>
            </w:pPr>
          </w:p>
        </w:tc>
        <w:tc>
          <w:tcPr>
            <w:tcW w:w="70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94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b w:val="1"/>
                <w:bCs w:val="1"/>
                <w:color w:val="auto"/>
              </w:rPr>
              <w:t>and agribusiness</w:t>
            </w:r>
          </w:p>
        </w:tc>
        <w:tc>
          <w:tcPr>
            <w:tcW w:w="180" w:type="dxa"/>
            <w:vAlign w:val="bottom"/>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427</w:t>
            </w:r>
          </w:p>
        </w:tc>
        <w:tc>
          <w:tcPr>
            <w:tcW w:w="440" w:type="dxa"/>
            <w:vAlign w:val="bottom"/>
            <w:gridSpan w:val="3"/>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3"/>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3"/>
            <w:vMerge w:val="restart"/>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642</w:t>
            </w:r>
          </w:p>
        </w:tc>
        <w:tc>
          <w:tcPr>
            <w:tcW w:w="380" w:type="dxa"/>
            <w:vAlign w:val="bottom"/>
            <w:gridSpan w:val="3"/>
            <w:vMerge w:val="restart"/>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889</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vMerge w:val="restart"/>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270</w:t>
            </w:r>
          </w:p>
        </w:tc>
        <w:tc>
          <w:tcPr>
            <w:tcW w:w="32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337,752</w:t>
            </w:r>
          </w:p>
        </w:tc>
        <w:tc>
          <w:tcPr>
            <w:tcW w:w="30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2,465</w:t>
            </w:r>
          </w:p>
        </w:tc>
        <w:tc>
          <w:tcPr>
            <w:tcW w:w="400" w:type="dxa"/>
            <w:vAlign w:val="bottom"/>
            <w:gridSpan w:val="3"/>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342,445</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180" w:type="dxa"/>
            <w:vAlign w:val="bottom"/>
            <w:vMerge w:val="continue"/>
            <w:shd w:val="clear" w:color="auto" w:fill="CFF0FC"/>
          </w:tcPr>
          <w:p>
            <w:pPr>
              <w:spacing w:after="0"/>
              <w:rPr>
                <w:sz w:val="13"/>
                <w:szCs w:val="13"/>
                <w:color w:val="auto"/>
              </w:rPr>
            </w:pPr>
          </w:p>
        </w:tc>
        <w:tc>
          <w:tcPr>
            <w:tcW w:w="620" w:type="dxa"/>
            <w:vAlign w:val="bottom"/>
            <w:vMerge w:val="continue"/>
            <w:shd w:val="clear" w:color="auto" w:fill="CFF0FC"/>
          </w:tcPr>
          <w:p>
            <w:pPr>
              <w:spacing w:after="0"/>
              <w:rPr>
                <w:sz w:val="13"/>
                <w:szCs w:val="13"/>
                <w:color w:val="auto"/>
              </w:rPr>
            </w:pPr>
          </w:p>
        </w:tc>
        <w:tc>
          <w:tcPr>
            <w:tcW w:w="440" w:type="dxa"/>
            <w:vAlign w:val="bottom"/>
            <w:gridSpan w:val="3"/>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440" w:type="dxa"/>
            <w:vAlign w:val="bottom"/>
            <w:gridSpan w:val="3"/>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500" w:type="dxa"/>
            <w:vAlign w:val="bottom"/>
            <w:gridSpan w:val="3"/>
            <w:vMerge w:val="continue"/>
            <w:shd w:val="clear" w:color="auto" w:fill="CFF0FC"/>
          </w:tcPr>
          <w:p>
            <w:pPr>
              <w:spacing w:after="0"/>
              <w:rPr>
                <w:sz w:val="13"/>
                <w:szCs w:val="13"/>
                <w:color w:val="auto"/>
              </w:rPr>
            </w:pPr>
          </w:p>
        </w:tc>
        <w:tc>
          <w:tcPr>
            <w:tcW w:w="520" w:type="dxa"/>
            <w:vAlign w:val="bottom"/>
            <w:vMerge w:val="continue"/>
            <w:shd w:val="clear" w:color="auto" w:fill="CFF0FC"/>
          </w:tcPr>
          <w:p>
            <w:pPr>
              <w:spacing w:after="0"/>
              <w:rPr>
                <w:sz w:val="13"/>
                <w:szCs w:val="13"/>
                <w:color w:val="auto"/>
              </w:rPr>
            </w:pPr>
          </w:p>
        </w:tc>
        <w:tc>
          <w:tcPr>
            <w:tcW w:w="380" w:type="dxa"/>
            <w:vAlign w:val="bottom"/>
            <w:gridSpan w:val="3"/>
            <w:vMerge w:val="continue"/>
            <w:shd w:val="clear" w:color="auto" w:fill="CFF0FC"/>
          </w:tcPr>
          <w:p>
            <w:pPr>
              <w:spacing w:after="0"/>
              <w:rPr>
                <w:sz w:val="13"/>
                <w:szCs w:val="13"/>
                <w:color w:val="auto"/>
              </w:rPr>
            </w:pPr>
          </w:p>
        </w:tc>
        <w:tc>
          <w:tcPr>
            <w:tcW w:w="62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320" w:type="dxa"/>
            <w:vAlign w:val="bottom"/>
            <w:gridSpan w:val="3"/>
            <w:vMerge w:val="continue"/>
            <w:shd w:val="clear" w:color="auto" w:fill="CFF0FC"/>
          </w:tcPr>
          <w:p>
            <w:pPr>
              <w:spacing w:after="0"/>
              <w:rPr>
                <w:sz w:val="13"/>
                <w:szCs w:val="13"/>
                <w:color w:val="auto"/>
              </w:rPr>
            </w:pPr>
          </w:p>
        </w:tc>
        <w:tc>
          <w:tcPr>
            <w:tcW w:w="720" w:type="dxa"/>
            <w:vAlign w:val="bottom"/>
            <w:vMerge w:val="continue"/>
            <w:shd w:val="clear" w:color="auto" w:fill="CFF0FC"/>
          </w:tcPr>
          <w:p>
            <w:pPr>
              <w:spacing w:after="0"/>
              <w:rPr>
                <w:sz w:val="13"/>
                <w:szCs w:val="13"/>
                <w:color w:val="auto"/>
              </w:rPr>
            </w:pPr>
          </w:p>
        </w:tc>
        <w:tc>
          <w:tcPr>
            <w:tcW w:w="300" w:type="dxa"/>
            <w:vAlign w:val="bottom"/>
            <w:gridSpan w:val="3"/>
            <w:vMerge w:val="continue"/>
            <w:shd w:val="clear" w:color="auto" w:fill="CFF0FC"/>
          </w:tcPr>
          <w:p>
            <w:pPr>
              <w:spacing w:after="0"/>
              <w:rPr>
                <w:sz w:val="13"/>
                <w:szCs w:val="13"/>
                <w:color w:val="auto"/>
              </w:rPr>
            </w:pPr>
          </w:p>
        </w:tc>
        <w:tc>
          <w:tcPr>
            <w:tcW w:w="760" w:type="dxa"/>
            <w:vAlign w:val="bottom"/>
            <w:vMerge w:val="continue"/>
            <w:shd w:val="clear" w:color="auto" w:fill="CFF0FC"/>
          </w:tcPr>
          <w:p>
            <w:pPr>
              <w:spacing w:after="0"/>
              <w:rPr>
                <w:sz w:val="13"/>
                <w:szCs w:val="13"/>
                <w:color w:val="auto"/>
              </w:rPr>
            </w:pPr>
          </w:p>
        </w:tc>
        <w:tc>
          <w:tcPr>
            <w:tcW w:w="400" w:type="dxa"/>
            <w:vAlign w:val="bottom"/>
            <w:gridSpan w:val="3"/>
            <w:vMerge w:val="continue"/>
            <w:shd w:val="clear" w:color="auto" w:fill="CFF0FC"/>
          </w:tcPr>
          <w:p>
            <w:pPr>
              <w:spacing w:after="0"/>
              <w:rPr>
                <w:sz w:val="13"/>
                <w:szCs w:val="13"/>
                <w:color w:val="auto"/>
              </w:rPr>
            </w:pPr>
          </w:p>
        </w:tc>
        <w:tc>
          <w:tcPr>
            <w:tcW w:w="70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940" w:type="dxa"/>
            <w:vAlign w:val="bottom"/>
            <w:tcBorders>
              <w:top w:val="single" w:sz="8" w:color="CFF0FC"/>
            </w:tcBorders>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Current YTD Period:</w:t>
            </w:r>
          </w:p>
        </w:tc>
        <w:tc>
          <w:tcPr>
            <w:tcW w:w="1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94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Gross charge-offs</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3"/>
          </w:tcPr>
          <w:p>
            <w:pPr>
              <w:jc w:val="right"/>
              <w:ind w:right="68"/>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3"/>
          </w:tcPr>
          <w:p>
            <w:pPr>
              <w:jc w:val="right"/>
              <w:ind w:right="68"/>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3"/>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3"/>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4"/>
        </w:trPr>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940" w:type="dxa"/>
            <w:vAlign w:val="bottom"/>
            <w:shd w:val="clear" w:color="auto" w:fill="CFF0FC"/>
          </w:tcPr>
          <w:p>
            <w:pPr>
              <w:ind w:left="20"/>
              <w:spacing w:after="0" w:line="128" w:lineRule="exact"/>
              <w:rPr>
                <w:sz w:val="20"/>
                <w:szCs w:val="20"/>
                <w:color w:val="auto"/>
              </w:rPr>
            </w:pPr>
            <w:r>
              <w:rPr>
                <w:rFonts w:ascii="Times New Roman" w:cs="Times New Roman" w:eastAsia="Times New Roman" w:hAnsi="Times New Roman"/>
                <w:sz w:val="13"/>
                <w:szCs w:val="13"/>
                <w:b w:val="1"/>
                <w:bCs w:val="1"/>
                <w:color w:val="auto"/>
              </w:rPr>
              <w:t>Municipal lease finance</w:t>
            </w:r>
          </w:p>
        </w:tc>
        <w:tc>
          <w:tcPr>
            <w:tcW w:w="1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1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receivables loans:</w:t>
            </w: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Risk Rating:</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1,711</w:t>
            </w:r>
          </w:p>
        </w:tc>
        <w:tc>
          <w:tcPr>
            <w:tcW w:w="440" w:type="dxa"/>
            <w:vAlign w:val="bottom"/>
            <w:gridSpan w:val="3"/>
            <w:shd w:val="clear" w:color="auto" w:fill="CFF0FC"/>
          </w:tcPr>
          <w:p>
            <w:pPr>
              <w:jc w:val="right"/>
              <w:ind w:right="68"/>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3"/>
            <w:shd w:val="clear" w:color="auto" w:fill="CFF0FC"/>
          </w:tcPr>
          <w:p>
            <w:pPr>
              <w:jc w:val="right"/>
              <w:ind w:right="68"/>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5,345</w:t>
            </w:r>
          </w:p>
        </w:tc>
        <w:tc>
          <w:tcPr>
            <w:tcW w:w="500" w:type="dxa"/>
            <w:vAlign w:val="bottom"/>
            <w:gridSpan w:val="3"/>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25,008</w:t>
            </w:r>
          </w:p>
        </w:tc>
        <w:tc>
          <w:tcPr>
            <w:tcW w:w="380" w:type="dxa"/>
            <w:vAlign w:val="bottom"/>
            <w:gridSpan w:val="3"/>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5,354</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30,026</w:t>
            </w: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67,444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19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Doubtful &amp; Loss</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2"/>
        </w:trPr>
        <w:tc>
          <w:tcPr>
            <w:tcW w:w="194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Total Municipal lease</w:t>
            </w:r>
          </w:p>
        </w:tc>
        <w:tc>
          <w:tcPr>
            <w:tcW w:w="180" w:type="dxa"/>
            <w:vAlign w:val="bottom"/>
            <w:tcBorders>
              <w:top w:val="single" w:sz="8" w:color="auto"/>
            </w:tcBorders>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60" w:type="dxa"/>
            <w:vAlign w:val="bottom"/>
            <w:tcBorders>
              <w:top w:val="single" w:sz="8" w:color="auto"/>
            </w:tcBorders>
            <w:shd w:val="clear" w:color="auto" w:fill="CFF0FC"/>
          </w:tcPr>
          <w:p>
            <w:pPr>
              <w:spacing w:after="0"/>
              <w:rPr>
                <w:sz w:val="10"/>
                <w:szCs w:val="10"/>
                <w:color w:val="auto"/>
              </w:rPr>
            </w:pPr>
          </w:p>
        </w:tc>
        <w:tc>
          <w:tcPr>
            <w:tcW w:w="52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76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spacing w:after="0"/>
              <w:rPr>
                <w:sz w:val="10"/>
                <w:szCs w:val="10"/>
                <w:color w:val="auto"/>
              </w:rPr>
            </w:pPr>
          </w:p>
        </w:tc>
        <w:tc>
          <w:tcPr>
            <w:tcW w:w="70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94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b w:val="1"/>
                <w:bCs w:val="1"/>
                <w:color w:val="auto"/>
              </w:rPr>
              <w:t>finance receivables</w:t>
            </w:r>
          </w:p>
        </w:tc>
        <w:tc>
          <w:tcPr>
            <w:tcW w:w="180" w:type="dxa"/>
            <w:vAlign w:val="bottom"/>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1,711</w:t>
            </w:r>
          </w:p>
        </w:tc>
        <w:tc>
          <w:tcPr>
            <w:tcW w:w="440" w:type="dxa"/>
            <w:vAlign w:val="bottom"/>
            <w:gridSpan w:val="3"/>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3"/>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5,345</w:t>
            </w:r>
          </w:p>
        </w:tc>
        <w:tc>
          <w:tcPr>
            <w:tcW w:w="500" w:type="dxa"/>
            <w:vAlign w:val="bottom"/>
            <w:gridSpan w:val="3"/>
            <w:vMerge w:val="restart"/>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25,008</w:t>
            </w:r>
          </w:p>
        </w:tc>
        <w:tc>
          <w:tcPr>
            <w:tcW w:w="380" w:type="dxa"/>
            <w:vAlign w:val="bottom"/>
            <w:gridSpan w:val="3"/>
            <w:vMerge w:val="restart"/>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5,354</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vMerge w:val="restart"/>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30,167</w:t>
            </w:r>
          </w:p>
        </w:tc>
        <w:tc>
          <w:tcPr>
            <w:tcW w:w="32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67,585</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180" w:type="dxa"/>
            <w:vAlign w:val="bottom"/>
            <w:vMerge w:val="continue"/>
            <w:shd w:val="clear" w:color="auto" w:fill="CFF0FC"/>
          </w:tcPr>
          <w:p>
            <w:pPr>
              <w:spacing w:after="0"/>
              <w:rPr>
                <w:sz w:val="13"/>
                <w:szCs w:val="13"/>
                <w:color w:val="auto"/>
              </w:rPr>
            </w:pPr>
          </w:p>
        </w:tc>
        <w:tc>
          <w:tcPr>
            <w:tcW w:w="620" w:type="dxa"/>
            <w:vAlign w:val="bottom"/>
            <w:vMerge w:val="continue"/>
            <w:shd w:val="clear" w:color="auto" w:fill="CFF0FC"/>
          </w:tcPr>
          <w:p>
            <w:pPr>
              <w:spacing w:after="0"/>
              <w:rPr>
                <w:sz w:val="13"/>
                <w:szCs w:val="13"/>
                <w:color w:val="auto"/>
              </w:rPr>
            </w:pPr>
          </w:p>
        </w:tc>
        <w:tc>
          <w:tcPr>
            <w:tcW w:w="440" w:type="dxa"/>
            <w:vAlign w:val="bottom"/>
            <w:gridSpan w:val="3"/>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440" w:type="dxa"/>
            <w:vAlign w:val="bottom"/>
            <w:gridSpan w:val="3"/>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500" w:type="dxa"/>
            <w:vAlign w:val="bottom"/>
            <w:gridSpan w:val="3"/>
            <w:vMerge w:val="continue"/>
            <w:shd w:val="clear" w:color="auto" w:fill="CFF0FC"/>
          </w:tcPr>
          <w:p>
            <w:pPr>
              <w:spacing w:after="0"/>
              <w:rPr>
                <w:sz w:val="13"/>
                <w:szCs w:val="13"/>
                <w:color w:val="auto"/>
              </w:rPr>
            </w:pPr>
          </w:p>
        </w:tc>
        <w:tc>
          <w:tcPr>
            <w:tcW w:w="520" w:type="dxa"/>
            <w:vAlign w:val="bottom"/>
            <w:vMerge w:val="continue"/>
            <w:shd w:val="clear" w:color="auto" w:fill="CFF0FC"/>
          </w:tcPr>
          <w:p>
            <w:pPr>
              <w:spacing w:after="0"/>
              <w:rPr>
                <w:sz w:val="13"/>
                <w:szCs w:val="13"/>
                <w:color w:val="auto"/>
              </w:rPr>
            </w:pPr>
          </w:p>
        </w:tc>
        <w:tc>
          <w:tcPr>
            <w:tcW w:w="380" w:type="dxa"/>
            <w:vAlign w:val="bottom"/>
            <w:gridSpan w:val="3"/>
            <w:vMerge w:val="continue"/>
            <w:shd w:val="clear" w:color="auto" w:fill="CFF0FC"/>
          </w:tcPr>
          <w:p>
            <w:pPr>
              <w:spacing w:after="0"/>
              <w:rPr>
                <w:sz w:val="13"/>
                <w:szCs w:val="13"/>
                <w:color w:val="auto"/>
              </w:rPr>
            </w:pPr>
          </w:p>
        </w:tc>
        <w:tc>
          <w:tcPr>
            <w:tcW w:w="62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320" w:type="dxa"/>
            <w:vAlign w:val="bottom"/>
            <w:gridSpan w:val="3"/>
            <w:vMerge w:val="continue"/>
            <w:shd w:val="clear" w:color="auto" w:fill="CFF0FC"/>
          </w:tcPr>
          <w:p>
            <w:pPr>
              <w:spacing w:after="0"/>
              <w:rPr>
                <w:sz w:val="13"/>
                <w:szCs w:val="13"/>
                <w:color w:val="auto"/>
              </w:rPr>
            </w:pPr>
          </w:p>
        </w:tc>
        <w:tc>
          <w:tcPr>
            <w:tcW w:w="720" w:type="dxa"/>
            <w:vAlign w:val="bottom"/>
            <w:vMerge w:val="continue"/>
            <w:shd w:val="clear" w:color="auto" w:fill="CFF0FC"/>
          </w:tcPr>
          <w:p>
            <w:pPr>
              <w:spacing w:after="0"/>
              <w:rPr>
                <w:sz w:val="13"/>
                <w:szCs w:val="13"/>
                <w:color w:val="auto"/>
              </w:rPr>
            </w:pPr>
          </w:p>
        </w:tc>
        <w:tc>
          <w:tcPr>
            <w:tcW w:w="300" w:type="dxa"/>
            <w:vAlign w:val="bottom"/>
            <w:gridSpan w:val="3"/>
            <w:vMerge w:val="continue"/>
            <w:shd w:val="clear" w:color="auto" w:fill="CFF0FC"/>
          </w:tcPr>
          <w:p>
            <w:pPr>
              <w:spacing w:after="0"/>
              <w:rPr>
                <w:sz w:val="13"/>
                <w:szCs w:val="13"/>
                <w:color w:val="auto"/>
              </w:rPr>
            </w:pPr>
          </w:p>
        </w:tc>
        <w:tc>
          <w:tcPr>
            <w:tcW w:w="760" w:type="dxa"/>
            <w:vAlign w:val="bottom"/>
            <w:vMerge w:val="continue"/>
            <w:shd w:val="clear" w:color="auto" w:fill="CFF0FC"/>
          </w:tcPr>
          <w:p>
            <w:pPr>
              <w:spacing w:after="0"/>
              <w:rPr>
                <w:sz w:val="13"/>
                <w:szCs w:val="13"/>
                <w:color w:val="auto"/>
              </w:rPr>
            </w:pPr>
          </w:p>
        </w:tc>
        <w:tc>
          <w:tcPr>
            <w:tcW w:w="400" w:type="dxa"/>
            <w:vAlign w:val="bottom"/>
            <w:gridSpan w:val="3"/>
            <w:vMerge w:val="continue"/>
            <w:shd w:val="clear" w:color="auto" w:fill="CFF0FC"/>
          </w:tcPr>
          <w:p>
            <w:pPr>
              <w:spacing w:after="0"/>
              <w:rPr>
                <w:sz w:val="13"/>
                <w:szCs w:val="13"/>
                <w:color w:val="auto"/>
              </w:rPr>
            </w:pPr>
          </w:p>
        </w:tc>
        <w:tc>
          <w:tcPr>
            <w:tcW w:w="70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940" w:type="dxa"/>
            <w:vAlign w:val="bottom"/>
            <w:tcBorders>
              <w:top w:val="single" w:sz="8" w:color="CFF0FC"/>
            </w:tcBorders>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Current YTD Period:</w:t>
            </w:r>
          </w:p>
        </w:tc>
        <w:tc>
          <w:tcPr>
            <w:tcW w:w="1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94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Gross charge-offs</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3"/>
          </w:tcPr>
          <w:p>
            <w:pPr>
              <w:jc w:val="right"/>
              <w:ind w:right="68"/>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3"/>
          </w:tcPr>
          <w:p>
            <w:pPr>
              <w:jc w:val="right"/>
              <w:ind w:right="68"/>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3"/>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3"/>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4"/>
        </w:trPr>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SFR mortgage loans:</w:t>
            </w: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Risk Rating:</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14,861</w:t>
            </w:r>
          </w:p>
        </w:tc>
        <w:tc>
          <w:tcPr>
            <w:tcW w:w="440" w:type="dxa"/>
            <w:vAlign w:val="bottom"/>
            <w:gridSpan w:val="3"/>
            <w:shd w:val="clear" w:color="auto" w:fill="CFF0FC"/>
          </w:tcPr>
          <w:p>
            <w:pPr>
              <w:jc w:val="right"/>
              <w:ind w:right="68"/>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21,171</w:t>
            </w:r>
          </w:p>
        </w:tc>
        <w:tc>
          <w:tcPr>
            <w:tcW w:w="440" w:type="dxa"/>
            <w:vAlign w:val="bottom"/>
            <w:gridSpan w:val="3"/>
            <w:shd w:val="clear" w:color="auto" w:fill="CFF0FC"/>
          </w:tcPr>
          <w:p>
            <w:pPr>
              <w:jc w:val="right"/>
              <w:ind w:right="68"/>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60,051</w:t>
            </w:r>
          </w:p>
        </w:tc>
        <w:tc>
          <w:tcPr>
            <w:tcW w:w="500" w:type="dxa"/>
            <w:vAlign w:val="bottom"/>
            <w:gridSpan w:val="3"/>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41,849</w:t>
            </w:r>
          </w:p>
        </w:tc>
        <w:tc>
          <w:tcPr>
            <w:tcW w:w="380" w:type="dxa"/>
            <w:vAlign w:val="bottom"/>
            <w:gridSpan w:val="3"/>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39,384</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87,473</w:t>
            </w: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264,789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373</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Doubtful &amp; Loss</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94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Total SFR mortgage</w:t>
            </w:r>
          </w:p>
        </w:tc>
        <w:tc>
          <w:tcPr>
            <w:tcW w:w="180" w:type="dxa"/>
            <w:vAlign w:val="bottom"/>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14,861</w:t>
            </w:r>
          </w:p>
        </w:tc>
        <w:tc>
          <w:tcPr>
            <w:tcW w:w="440" w:type="dxa"/>
            <w:vAlign w:val="bottom"/>
            <w:gridSpan w:val="3"/>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21,171</w:t>
            </w:r>
          </w:p>
        </w:tc>
        <w:tc>
          <w:tcPr>
            <w:tcW w:w="440" w:type="dxa"/>
            <w:vAlign w:val="bottom"/>
            <w:gridSpan w:val="3"/>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60,051</w:t>
            </w:r>
          </w:p>
        </w:tc>
        <w:tc>
          <w:tcPr>
            <w:tcW w:w="500" w:type="dxa"/>
            <w:vAlign w:val="bottom"/>
            <w:gridSpan w:val="3"/>
            <w:vMerge w:val="restart"/>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41,849</w:t>
            </w:r>
          </w:p>
        </w:tc>
        <w:tc>
          <w:tcPr>
            <w:tcW w:w="380" w:type="dxa"/>
            <w:vAlign w:val="bottom"/>
            <w:gridSpan w:val="3"/>
            <w:vMerge w:val="restart"/>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40,286</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vMerge w:val="restart"/>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88,669</w:t>
            </w:r>
          </w:p>
        </w:tc>
        <w:tc>
          <w:tcPr>
            <w:tcW w:w="32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294</w:t>
            </w:r>
          </w:p>
        </w:tc>
        <w:tc>
          <w:tcPr>
            <w:tcW w:w="400" w:type="dxa"/>
            <w:vAlign w:val="bottom"/>
            <w:gridSpan w:val="3"/>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267,181</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180" w:type="dxa"/>
            <w:vAlign w:val="bottom"/>
            <w:vMerge w:val="continue"/>
            <w:shd w:val="clear" w:color="auto" w:fill="CFF0FC"/>
          </w:tcPr>
          <w:p>
            <w:pPr>
              <w:spacing w:after="0"/>
              <w:rPr>
                <w:sz w:val="13"/>
                <w:szCs w:val="13"/>
                <w:color w:val="auto"/>
              </w:rPr>
            </w:pPr>
          </w:p>
        </w:tc>
        <w:tc>
          <w:tcPr>
            <w:tcW w:w="620" w:type="dxa"/>
            <w:vAlign w:val="bottom"/>
            <w:vMerge w:val="continue"/>
            <w:shd w:val="clear" w:color="auto" w:fill="CFF0FC"/>
          </w:tcPr>
          <w:p>
            <w:pPr>
              <w:spacing w:after="0"/>
              <w:rPr>
                <w:sz w:val="13"/>
                <w:szCs w:val="13"/>
                <w:color w:val="auto"/>
              </w:rPr>
            </w:pPr>
          </w:p>
        </w:tc>
        <w:tc>
          <w:tcPr>
            <w:tcW w:w="440" w:type="dxa"/>
            <w:vAlign w:val="bottom"/>
            <w:gridSpan w:val="3"/>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440" w:type="dxa"/>
            <w:vAlign w:val="bottom"/>
            <w:gridSpan w:val="3"/>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500" w:type="dxa"/>
            <w:vAlign w:val="bottom"/>
            <w:gridSpan w:val="3"/>
            <w:vMerge w:val="continue"/>
            <w:shd w:val="clear" w:color="auto" w:fill="CFF0FC"/>
          </w:tcPr>
          <w:p>
            <w:pPr>
              <w:spacing w:after="0"/>
              <w:rPr>
                <w:sz w:val="13"/>
                <w:szCs w:val="13"/>
                <w:color w:val="auto"/>
              </w:rPr>
            </w:pPr>
          </w:p>
        </w:tc>
        <w:tc>
          <w:tcPr>
            <w:tcW w:w="520" w:type="dxa"/>
            <w:vAlign w:val="bottom"/>
            <w:vMerge w:val="continue"/>
            <w:shd w:val="clear" w:color="auto" w:fill="CFF0FC"/>
          </w:tcPr>
          <w:p>
            <w:pPr>
              <w:spacing w:after="0"/>
              <w:rPr>
                <w:sz w:val="13"/>
                <w:szCs w:val="13"/>
                <w:color w:val="auto"/>
              </w:rPr>
            </w:pPr>
          </w:p>
        </w:tc>
        <w:tc>
          <w:tcPr>
            <w:tcW w:w="380" w:type="dxa"/>
            <w:vAlign w:val="bottom"/>
            <w:gridSpan w:val="3"/>
            <w:vMerge w:val="continue"/>
            <w:shd w:val="clear" w:color="auto" w:fill="CFF0FC"/>
          </w:tcPr>
          <w:p>
            <w:pPr>
              <w:spacing w:after="0"/>
              <w:rPr>
                <w:sz w:val="13"/>
                <w:szCs w:val="13"/>
                <w:color w:val="auto"/>
              </w:rPr>
            </w:pPr>
          </w:p>
        </w:tc>
        <w:tc>
          <w:tcPr>
            <w:tcW w:w="62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320" w:type="dxa"/>
            <w:vAlign w:val="bottom"/>
            <w:gridSpan w:val="3"/>
            <w:vMerge w:val="continue"/>
            <w:shd w:val="clear" w:color="auto" w:fill="CFF0FC"/>
          </w:tcPr>
          <w:p>
            <w:pPr>
              <w:spacing w:after="0"/>
              <w:rPr>
                <w:sz w:val="13"/>
                <w:szCs w:val="13"/>
                <w:color w:val="auto"/>
              </w:rPr>
            </w:pPr>
          </w:p>
        </w:tc>
        <w:tc>
          <w:tcPr>
            <w:tcW w:w="720" w:type="dxa"/>
            <w:vAlign w:val="bottom"/>
            <w:vMerge w:val="continue"/>
            <w:shd w:val="clear" w:color="auto" w:fill="CFF0FC"/>
          </w:tcPr>
          <w:p>
            <w:pPr>
              <w:spacing w:after="0"/>
              <w:rPr>
                <w:sz w:val="13"/>
                <w:szCs w:val="13"/>
                <w:color w:val="auto"/>
              </w:rPr>
            </w:pPr>
          </w:p>
        </w:tc>
        <w:tc>
          <w:tcPr>
            <w:tcW w:w="300" w:type="dxa"/>
            <w:vAlign w:val="bottom"/>
            <w:gridSpan w:val="3"/>
            <w:vMerge w:val="continue"/>
            <w:shd w:val="clear" w:color="auto" w:fill="CFF0FC"/>
          </w:tcPr>
          <w:p>
            <w:pPr>
              <w:spacing w:after="0"/>
              <w:rPr>
                <w:sz w:val="13"/>
                <w:szCs w:val="13"/>
                <w:color w:val="auto"/>
              </w:rPr>
            </w:pPr>
          </w:p>
        </w:tc>
        <w:tc>
          <w:tcPr>
            <w:tcW w:w="760" w:type="dxa"/>
            <w:vAlign w:val="bottom"/>
            <w:vMerge w:val="continue"/>
            <w:shd w:val="clear" w:color="auto" w:fill="CFF0FC"/>
          </w:tcPr>
          <w:p>
            <w:pPr>
              <w:spacing w:after="0"/>
              <w:rPr>
                <w:sz w:val="13"/>
                <w:szCs w:val="13"/>
                <w:color w:val="auto"/>
              </w:rPr>
            </w:pPr>
          </w:p>
        </w:tc>
        <w:tc>
          <w:tcPr>
            <w:tcW w:w="400" w:type="dxa"/>
            <w:vAlign w:val="bottom"/>
            <w:gridSpan w:val="3"/>
            <w:vMerge w:val="continue"/>
            <w:shd w:val="clear" w:color="auto" w:fill="CFF0FC"/>
          </w:tcPr>
          <w:p>
            <w:pPr>
              <w:spacing w:after="0"/>
              <w:rPr>
                <w:sz w:val="13"/>
                <w:szCs w:val="13"/>
                <w:color w:val="auto"/>
              </w:rPr>
            </w:pPr>
          </w:p>
        </w:tc>
        <w:tc>
          <w:tcPr>
            <w:tcW w:w="70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940" w:type="dxa"/>
            <w:vAlign w:val="bottom"/>
            <w:tcBorders>
              <w:top w:val="single" w:sz="8" w:color="CFF0FC"/>
            </w:tcBorders>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Current YTD Period:</w:t>
            </w:r>
          </w:p>
        </w:tc>
        <w:tc>
          <w:tcPr>
            <w:tcW w:w="1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94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Gross charge-offs</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3"/>
          </w:tcPr>
          <w:p>
            <w:pPr>
              <w:jc w:val="right"/>
              <w:ind w:right="68"/>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3"/>
          </w:tcPr>
          <w:p>
            <w:pPr>
              <w:jc w:val="right"/>
              <w:ind w:right="68"/>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3"/>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3"/>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5"/>
        </w:trPr>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940" w:type="dxa"/>
            <w:vAlign w:val="bottom"/>
            <w:shd w:val="clear" w:color="auto" w:fill="CFF0FC"/>
          </w:tcPr>
          <w:p>
            <w:pPr>
              <w:ind w:left="20"/>
              <w:spacing w:after="0" w:line="128" w:lineRule="exact"/>
              <w:rPr>
                <w:sz w:val="20"/>
                <w:szCs w:val="20"/>
                <w:color w:val="auto"/>
              </w:rPr>
            </w:pPr>
            <w:r>
              <w:rPr>
                <w:rFonts w:ascii="Times New Roman" w:cs="Times New Roman" w:eastAsia="Times New Roman" w:hAnsi="Times New Roman"/>
                <w:sz w:val="13"/>
                <w:szCs w:val="13"/>
                <w:b w:val="1"/>
                <w:bCs w:val="1"/>
                <w:color w:val="auto"/>
              </w:rPr>
              <w:t>Consumer and other</w:t>
            </w:r>
          </w:p>
        </w:tc>
        <w:tc>
          <w:tcPr>
            <w:tcW w:w="1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1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Risk Rating:</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4,110</w:t>
            </w:r>
          </w:p>
        </w:tc>
        <w:tc>
          <w:tcPr>
            <w:tcW w:w="440" w:type="dxa"/>
            <w:vAlign w:val="bottom"/>
            <w:gridSpan w:val="3"/>
            <w:shd w:val="clear" w:color="auto" w:fill="CFF0FC"/>
          </w:tcPr>
          <w:p>
            <w:pPr>
              <w:jc w:val="right"/>
              <w:ind w:right="68"/>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3,324</w:t>
            </w:r>
          </w:p>
        </w:tc>
        <w:tc>
          <w:tcPr>
            <w:tcW w:w="440" w:type="dxa"/>
            <w:vAlign w:val="bottom"/>
            <w:gridSpan w:val="3"/>
            <w:shd w:val="clear" w:color="auto" w:fill="CFF0FC"/>
          </w:tcPr>
          <w:p>
            <w:pPr>
              <w:jc w:val="right"/>
              <w:ind w:right="68"/>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2,189</w:t>
            </w:r>
          </w:p>
        </w:tc>
        <w:tc>
          <w:tcPr>
            <w:tcW w:w="500" w:type="dxa"/>
            <w:vAlign w:val="bottom"/>
            <w:gridSpan w:val="3"/>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2,065</w:t>
            </w:r>
          </w:p>
        </w:tc>
        <w:tc>
          <w:tcPr>
            <w:tcW w:w="380" w:type="dxa"/>
            <w:vAlign w:val="bottom"/>
            <w:gridSpan w:val="3"/>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359</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696</w:t>
            </w: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37,201</w:t>
            </w:r>
          </w:p>
        </w:tc>
        <w:tc>
          <w:tcPr>
            <w:tcW w:w="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1,815</w:t>
            </w:r>
          </w:p>
        </w:tc>
        <w:tc>
          <w:tcPr>
            <w:tcW w:w="40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51,759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297</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Doubtful &amp; Loss</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94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Total Consumer and</w:t>
            </w:r>
          </w:p>
        </w:tc>
        <w:tc>
          <w:tcPr>
            <w:tcW w:w="180" w:type="dxa"/>
            <w:vAlign w:val="bottom"/>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4,110</w:t>
            </w:r>
          </w:p>
        </w:tc>
        <w:tc>
          <w:tcPr>
            <w:tcW w:w="440" w:type="dxa"/>
            <w:vAlign w:val="bottom"/>
            <w:gridSpan w:val="3"/>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3,324</w:t>
            </w:r>
          </w:p>
        </w:tc>
        <w:tc>
          <w:tcPr>
            <w:tcW w:w="440" w:type="dxa"/>
            <w:vAlign w:val="bottom"/>
            <w:gridSpan w:val="3"/>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2,189</w:t>
            </w:r>
          </w:p>
        </w:tc>
        <w:tc>
          <w:tcPr>
            <w:tcW w:w="500" w:type="dxa"/>
            <w:vAlign w:val="bottom"/>
            <w:gridSpan w:val="3"/>
            <w:vMerge w:val="restart"/>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2,222</w:t>
            </w:r>
          </w:p>
        </w:tc>
        <w:tc>
          <w:tcPr>
            <w:tcW w:w="380" w:type="dxa"/>
            <w:vAlign w:val="bottom"/>
            <w:gridSpan w:val="3"/>
            <w:vMerge w:val="restart"/>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359</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vMerge w:val="restart"/>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696</w:t>
            </w:r>
          </w:p>
        </w:tc>
        <w:tc>
          <w:tcPr>
            <w:tcW w:w="32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37,205</w:t>
            </w:r>
          </w:p>
        </w:tc>
        <w:tc>
          <w:tcPr>
            <w:tcW w:w="30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2,112</w:t>
            </w:r>
          </w:p>
        </w:tc>
        <w:tc>
          <w:tcPr>
            <w:tcW w:w="400" w:type="dxa"/>
            <w:vAlign w:val="bottom"/>
            <w:gridSpan w:val="3"/>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52,217</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other loans:</w:t>
            </w:r>
          </w:p>
        </w:tc>
        <w:tc>
          <w:tcPr>
            <w:tcW w:w="180" w:type="dxa"/>
            <w:vAlign w:val="bottom"/>
            <w:vMerge w:val="continue"/>
            <w:shd w:val="clear" w:color="auto" w:fill="CFF0FC"/>
          </w:tcPr>
          <w:p>
            <w:pPr>
              <w:spacing w:after="0"/>
              <w:rPr>
                <w:sz w:val="13"/>
                <w:szCs w:val="13"/>
                <w:color w:val="auto"/>
              </w:rPr>
            </w:pPr>
          </w:p>
        </w:tc>
        <w:tc>
          <w:tcPr>
            <w:tcW w:w="620" w:type="dxa"/>
            <w:vAlign w:val="bottom"/>
            <w:vMerge w:val="continue"/>
            <w:shd w:val="clear" w:color="auto" w:fill="CFF0FC"/>
          </w:tcPr>
          <w:p>
            <w:pPr>
              <w:spacing w:after="0"/>
              <w:rPr>
                <w:sz w:val="13"/>
                <w:szCs w:val="13"/>
                <w:color w:val="auto"/>
              </w:rPr>
            </w:pPr>
          </w:p>
        </w:tc>
        <w:tc>
          <w:tcPr>
            <w:tcW w:w="440" w:type="dxa"/>
            <w:vAlign w:val="bottom"/>
            <w:gridSpan w:val="3"/>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440" w:type="dxa"/>
            <w:vAlign w:val="bottom"/>
            <w:gridSpan w:val="3"/>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500" w:type="dxa"/>
            <w:vAlign w:val="bottom"/>
            <w:gridSpan w:val="3"/>
            <w:vMerge w:val="continue"/>
            <w:shd w:val="clear" w:color="auto" w:fill="CFF0FC"/>
          </w:tcPr>
          <w:p>
            <w:pPr>
              <w:spacing w:after="0"/>
              <w:rPr>
                <w:sz w:val="13"/>
                <w:szCs w:val="13"/>
                <w:color w:val="auto"/>
              </w:rPr>
            </w:pPr>
          </w:p>
        </w:tc>
        <w:tc>
          <w:tcPr>
            <w:tcW w:w="520" w:type="dxa"/>
            <w:vAlign w:val="bottom"/>
            <w:vMerge w:val="continue"/>
            <w:shd w:val="clear" w:color="auto" w:fill="CFF0FC"/>
          </w:tcPr>
          <w:p>
            <w:pPr>
              <w:spacing w:after="0"/>
              <w:rPr>
                <w:sz w:val="13"/>
                <w:szCs w:val="13"/>
                <w:color w:val="auto"/>
              </w:rPr>
            </w:pPr>
          </w:p>
        </w:tc>
        <w:tc>
          <w:tcPr>
            <w:tcW w:w="380" w:type="dxa"/>
            <w:vAlign w:val="bottom"/>
            <w:gridSpan w:val="3"/>
            <w:vMerge w:val="continue"/>
            <w:shd w:val="clear" w:color="auto" w:fill="CFF0FC"/>
          </w:tcPr>
          <w:p>
            <w:pPr>
              <w:spacing w:after="0"/>
              <w:rPr>
                <w:sz w:val="13"/>
                <w:szCs w:val="13"/>
                <w:color w:val="auto"/>
              </w:rPr>
            </w:pPr>
          </w:p>
        </w:tc>
        <w:tc>
          <w:tcPr>
            <w:tcW w:w="62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320" w:type="dxa"/>
            <w:vAlign w:val="bottom"/>
            <w:gridSpan w:val="3"/>
            <w:vMerge w:val="continue"/>
            <w:shd w:val="clear" w:color="auto" w:fill="CFF0FC"/>
          </w:tcPr>
          <w:p>
            <w:pPr>
              <w:spacing w:after="0"/>
              <w:rPr>
                <w:sz w:val="13"/>
                <w:szCs w:val="13"/>
                <w:color w:val="auto"/>
              </w:rPr>
            </w:pPr>
          </w:p>
        </w:tc>
        <w:tc>
          <w:tcPr>
            <w:tcW w:w="720" w:type="dxa"/>
            <w:vAlign w:val="bottom"/>
            <w:vMerge w:val="continue"/>
            <w:shd w:val="clear" w:color="auto" w:fill="CFF0FC"/>
          </w:tcPr>
          <w:p>
            <w:pPr>
              <w:spacing w:after="0"/>
              <w:rPr>
                <w:sz w:val="13"/>
                <w:szCs w:val="13"/>
                <w:color w:val="auto"/>
              </w:rPr>
            </w:pPr>
          </w:p>
        </w:tc>
        <w:tc>
          <w:tcPr>
            <w:tcW w:w="300" w:type="dxa"/>
            <w:vAlign w:val="bottom"/>
            <w:gridSpan w:val="3"/>
            <w:vMerge w:val="continue"/>
            <w:shd w:val="clear" w:color="auto" w:fill="CFF0FC"/>
          </w:tcPr>
          <w:p>
            <w:pPr>
              <w:spacing w:after="0"/>
              <w:rPr>
                <w:sz w:val="13"/>
                <w:szCs w:val="13"/>
                <w:color w:val="auto"/>
              </w:rPr>
            </w:pPr>
          </w:p>
        </w:tc>
        <w:tc>
          <w:tcPr>
            <w:tcW w:w="760" w:type="dxa"/>
            <w:vAlign w:val="bottom"/>
            <w:vMerge w:val="continue"/>
            <w:shd w:val="clear" w:color="auto" w:fill="CFF0FC"/>
          </w:tcPr>
          <w:p>
            <w:pPr>
              <w:spacing w:after="0"/>
              <w:rPr>
                <w:sz w:val="13"/>
                <w:szCs w:val="13"/>
                <w:color w:val="auto"/>
              </w:rPr>
            </w:pPr>
          </w:p>
        </w:tc>
        <w:tc>
          <w:tcPr>
            <w:tcW w:w="400" w:type="dxa"/>
            <w:vAlign w:val="bottom"/>
            <w:gridSpan w:val="3"/>
            <w:vMerge w:val="continue"/>
            <w:shd w:val="clear" w:color="auto" w:fill="CFF0FC"/>
          </w:tcPr>
          <w:p>
            <w:pPr>
              <w:spacing w:after="0"/>
              <w:rPr>
                <w:sz w:val="13"/>
                <w:szCs w:val="13"/>
                <w:color w:val="auto"/>
              </w:rPr>
            </w:pPr>
          </w:p>
        </w:tc>
        <w:tc>
          <w:tcPr>
            <w:tcW w:w="70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940" w:type="dxa"/>
            <w:vAlign w:val="bottom"/>
            <w:tcBorders>
              <w:top w:val="single" w:sz="8" w:color="CFF0FC"/>
            </w:tcBorders>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Current YTD Period:</w:t>
            </w:r>
          </w:p>
        </w:tc>
        <w:tc>
          <w:tcPr>
            <w:tcW w:w="1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94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Gross charge-offs</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3"/>
          </w:tcPr>
          <w:p>
            <w:pPr>
              <w:jc w:val="right"/>
              <w:ind w:right="68"/>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3"/>
          </w:tcPr>
          <w:p>
            <w:pPr>
              <w:jc w:val="right"/>
              <w:ind w:right="68"/>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3"/>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3"/>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40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Loans, at amortized cost:</w:t>
            </w: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Risk Rating:</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361,887</w:t>
            </w:r>
          </w:p>
        </w:tc>
        <w:tc>
          <w:tcPr>
            <w:tcW w:w="440" w:type="dxa"/>
            <w:vAlign w:val="bottom"/>
            <w:gridSpan w:val="3"/>
            <w:shd w:val="clear" w:color="auto" w:fill="CFF0FC"/>
          </w:tcPr>
          <w:p>
            <w:pPr>
              <w:jc w:val="right"/>
              <w:ind w:right="68"/>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594,512</w:t>
            </w:r>
          </w:p>
        </w:tc>
        <w:tc>
          <w:tcPr>
            <w:tcW w:w="440" w:type="dxa"/>
            <w:vAlign w:val="bottom"/>
            <w:gridSpan w:val="3"/>
            <w:shd w:val="clear" w:color="auto" w:fill="CFF0FC"/>
          </w:tcPr>
          <w:p>
            <w:pPr>
              <w:jc w:val="right"/>
              <w:ind w:right="68"/>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1,504,134</w:t>
            </w:r>
          </w:p>
        </w:tc>
        <w:tc>
          <w:tcPr>
            <w:tcW w:w="500" w:type="dxa"/>
            <w:vAlign w:val="bottom"/>
            <w:gridSpan w:val="3"/>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2"/>
              </w:rPr>
              <w:t>1,272,459</w:t>
            </w:r>
          </w:p>
        </w:tc>
        <w:tc>
          <w:tcPr>
            <w:tcW w:w="380" w:type="dxa"/>
            <w:vAlign w:val="bottom"/>
            <w:gridSpan w:val="3"/>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982,061</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2,609,074</w:t>
            </w: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819,284</w:t>
            </w:r>
          </w:p>
        </w:tc>
        <w:tc>
          <w:tcPr>
            <w:tcW w:w="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43,556</w:t>
            </w:r>
          </w:p>
        </w:tc>
        <w:tc>
          <w:tcPr>
            <w:tcW w:w="40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8,186,967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7,915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24,794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27,773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23,104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114,798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54,092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7,171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260,992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1,716</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10,734</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8,365</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25,309</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59,227</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12,926</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6,329</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124,606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Doubtful &amp; Loss</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940" w:type="dxa"/>
            <w:vAlign w:val="bottom"/>
            <w:tcBorders>
              <w:bottom w:val="single" w:sz="8" w:color="CFF0FC"/>
            </w:tcBorders>
            <w:shd w:val="clear" w:color="auto" w:fill="CFF0FC"/>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Total Loans at amortized cost:</w:t>
            </w:r>
          </w:p>
        </w:tc>
        <w:tc>
          <w:tcPr>
            <w:tcW w:w="180" w:type="dxa"/>
            <w:vAlign w:val="bottom"/>
            <w:tcBorders>
              <w:bottom w:val="single" w:sz="8" w:color="auto"/>
            </w:tcBorders>
            <w:shd w:val="clear" w:color="auto" w:fill="CFF0FC"/>
          </w:tcPr>
          <w:p>
            <w:pPr>
              <w:jc w:val="right"/>
              <w:ind w:right="3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363,232</w:t>
            </w:r>
          </w:p>
        </w:tc>
        <w:tc>
          <w:tcPr>
            <w:tcW w:w="260" w:type="dxa"/>
            <w:vAlign w:val="bottom"/>
            <w:tcBorders>
              <w:bottom w:val="single" w:sz="8" w:color="CFF0FC"/>
            </w:tcBorders>
            <w:gridSpan w:val="2"/>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604,143</w:t>
            </w:r>
          </w:p>
        </w:tc>
        <w:tc>
          <w:tcPr>
            <w:tcW w:w="260" w:type="dxa"/>
            <w:vAlign w:val="bottom"/>
            <w:tcBorders>
              <w:bottom w:val="single" w:sz="8" w:color="CFF0FC"/>
            </w:tcBorders>
            <w:gridSpan w:val="2"/>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1,539,662</w:t>
            </w:r>
          </w:p>
        </w:tc>
        <w:tc>
          <w:tcPr>
            <w:tcW w:w="240" w:type="dxa"/>
            <w:vAlign w:val="bottom"/>
            <w:tcBorders>
              <w:bottom w:val="single" w:sz="8" w:color="CFF0FC"/>
            </w:tcBorders>
            <w:gridSpan w:val="2"/>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jc w:val="right"/>
              <w:ind w:right="11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2"/>
              </w:rPr>
              <w:t>1,308,597</w:t>
            </w:r>
          </w:p>
        </w:tc>
        <w:tc>
          <w:tcPr>
            <w:tcW w:w="220" w:type="dxa"/>
            <w:vAlign w:val="bottom"/>
            <w:tcBorders>
              <w:bottom w:val="single" w:sz="8" w:color="CFF0FC"/>
            </w:tcBorders>
            <w:gridSpan w:val="2"/>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ind w:right="1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1,030,474</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ind w:right="1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2,783,099</w:t>
            </w:r>
          </w:p>
        </w:tc>
        <w:tc>
          <w:tcPr>
            <w:tcW w:w="220" w:type="dxa"/>
            <w:vAlign w:val="bottom"/>
            <w:tcBorders>
              <w:bottom w:val="single" w:sz="8" w:color="CFF0FC"/>
            </w:tcBorders>
            <w:gridSpan w:val="2"/>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886,302</w:t>
            </w:r>
          </w:p>
        </w:tc>
        <w:tc>
          <w:tcPr>
            <w:tcW w:w="200" w:type="dxa"/>
            <w:vAlign w:val="bottom"/>
            <w:tcBorders>
              <w:bottom w:val="single" w:sz="8" w:color="CFF0FC"/>
            </w:tcBorders>
            <w:gridSpan w:val="2"/>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57,056</w:t>
            </w:r>
          </w:p>
        </w:tc>
        <w:tc>
          <w:tcPr>
            <w:tcW w:w="220" w:type="dxa"/>
            <w:vAlign w:val="bottom"/>
            <w:tcBorders>
              <w:bottom w:val="single" w:sz="8" w:color="CFF0FC"/>
            </w:tcBorders>
            <w:gridSpan w:val="2"/>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ind w:right="3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8,572,565</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1940" w:type="dxa"/>
            <w:vAlign w:val="bottom"/>
          </w:tcPr>
          <w:p>
            <w:pPr>
              <w:ind w:left="20"/>
              <w:spacing w:after="0" w:line="109" w:lineRule="exact"/>
              <w:rPr>
                <w:sz w:val="20"/>
                <w:szCs w:val="20"/>
                <w:color w:val="auto"/>
              </w:rPr>
            </w:pPr>
            <w:r>
              <w:rPr>
                <w:rFonts w:ascii="Times New Roman" w:cs="Times New Roman" w:eastAsia="Times New Roman" w:hAnsi="Times New Roman"/>
                <w:sz w:val="12"/>
                <w:szCs w:val="12"/>
                <w:b w:val="1"/>
                <w:bCs w:val="1"/>
                <w:color w:val="auto"/>
              </w:rPr>
              <w:t>Current YTD Period:</w:t>
            </w:r>
          </w:p>
        </w:tc>
        <w:tc>
          <w:tcPr>
            <w:tcW w:w="18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3"/>
            <w:vMerge w:val="restart"/>
          </w:tcPr>
          <w:p>
            <w:pPr>
              <w:jc w:val="right"/>
              <w:ind w:right="68"/>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3"/>
            <w:vMerge w:val="restart"/>
          </w:tcPr>
          <w:p>
            <w:pPr>
              <w:jc w:val="right"/>
              <w:ind w:right="68"/>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500" w:type="dxa"/>
            <w:vAlign w:val="bottom"/>
            <w:gridSpan w:val="3"/>
            <w:vMerge w:val="restart"/>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3"/>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3,609</w:t>
            </w:r>
          </w:p>
        </w:tc>
        <w:tc>
          <w:tcPr>
            <w:tcW w:w="3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3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434</w:t>
            </w:r>
          </w:p>
        </w:tc>
        <w:tc>
          <w:tcPr>
            <w:tcW w:w="400" w:type="dxa"/>
            <w:vAlign w:val="bottom"/>
            <w:gridSpan w:val="3"/>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4,344</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940" w:type="dxa"/>
            <w:vAlign w:val="bottom"/>
          </w:tcPr>
          <w:p>
            <w:pPr>
              <w:ind w:left="80"/>
              <w:spacing w:after="0" w:line="109" w:lineRule="exact"/>
              <w:rPr>
                <w:sz w:val="20"/>
                <w:szCs w:val="20"/>
                <w:color w:val="auto"/>
              </w:rPr>
            </w:pPr>
            <w:r>
              <w:rPr>
                <w:rFonts w:ascii="Times New Roman" w:cs="Times New Roman" w:eastAsia="Times New Roman" w:hAnsi="Times New Roman"/>
                <w:sz w:val="12"/>
                <w:szCs w:val="12"/>
                <w:b w:val="1"/>
                <w:bCs w:val="1"/>
                <w:color w:val="auto"/>
              </w:rPr>
              <w:t>Gross charge-offs</w:t>
            </w:r>
          </w:p>
        </w:tc>
        <w:tc>
          <w:tcPr>
            <w:tcW w:w="18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440" w:type="dxa"/>
            <w:vAlign w:val="bottom"/>
            <w:gridSpan w:val="3"/>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440" w:type="dxa"/>
            <w:vAlign w:val="bottom"/>
            <w:gridSpan w:val="3"/>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00" w:type="dxa"/>
            <w:vAlign w:val="bottom"/>
            <w:gridSpan w:val="3"/>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380" w:type="dxa"/>
            <w:vAlign w:val="bottom"/>
            <w:gridSpan w:val="3"/>
            <w:vMerge w:val="continue"/>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320" w:type="dxa"/>
            <w:vAlign w:val="bottom"/>
            <w:gridSpan w:val="3"/>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300" w:type="dxa"/>
            <w:vAlign w:val="bottom"/>
            <w:gridSpan w:val="3"/>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400" w:type="dxa"/>
            <w:vAlign w:val="bottom"/>
            <w:gridSpan w:val="3"/>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1744980</wp:posOffset>
            </wp:positionH>
            <wp:positionV relativeFrom="paragraph">
              <wp:posOffset>-4817110</wp:posOffset>
            </wp:positionV>
            <wp:extent cx="7683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-4817110</wp:posOffset>
            </wp:positionV>
            <wp:extent cx="7683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-4817110</wp:posOffset>
            </wp:positionV>
            <wp:extent cx="7747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-4817110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-4817110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-4817110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-4817110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-4817110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-4817110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1744980</wp:posOffset>
            </wp:positionH>
            <wp:positionV relativeFrom="paragraph">
              <wp:posOffset>-3539490</wp:posOffset>
            </wp:positionV>
            <wp:extent cx="7683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-3539490</wp:posOffset>
            </wp:positionV>
            <wp:extent cx="7683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-3539490</wp:posOffset>
            </wp:positionV>
            <wp:extent cx="7747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-3539490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-3539490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-3539490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-3539490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-3539490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-3539490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1744980</wp:posOffset>
            </wp:positionH>
            <wp:positionV relativeFrom="paragraph">
              <wp:posOffset>-2433955</wp:posOffset>
            </wp:positionV>
            <wp:extent cx="7683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-2433955</wp:posOffset>
            </wp:positionV>
            <wp:extent cx="7683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-2433955</wp:posOffset>
            </wp:positionV>
            <wp:extent cx="7747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-2433955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-2433955</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-2433955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-2433955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-2433955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-2433955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1744980</wp:posOffset>
            </wp:positionH>
            <wp:positionV relativeFrom="paragraph">
              <wp:posOffset>-1242695</wp:posOffset>
            </wp:positionV>
            <wp:extent cx="7683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-1242695</wp:posOffset>
            </wp:positionV>
            <wp:extent cx="7683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-1242695</wp:posOffset>
            </wp:positionV>
            <wp:extent cx="7747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-1242695</wp:posOffset>
            </wp:positionV>
            <wp:extent cx="685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-1242695</wp:posOffset>
            </wp:positionV>
            <wp:extent cx="685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-1242695</wp:posOffset>
            </wp:positionV>
            <wp:extent cx="685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-1242695</wp:posOffset>
            </wp:positionV>
            <wp:extent cx="685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-1242695</wp:posOffset>
            </wp:positionV>
            <wp:extent cx="685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-1242695</wp:posOffset>
            </wp:positionV>
            <wp:extent cx="685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1744980</wp:posOffset>
            </wp:positionH>
            <wp:positionV relativeFrom="paragraph">
              <wp:posOffset>-213995</wp:posOffset>
            </wp:positionV>
            <wp:extent cx="7683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1744980</wp:posOffset>
            </wp:positionH>
            <wp:positionV relativeFrom="paragraph">
              <wp:posOffset>-196215</wp:posOffset>
            </wp:positionV>
            <wp:extent cx="7683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-213995</wp:posOffset>
            </wp:positionV>
            <wp:extent cx="7683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-196215</wp:posOffset>
            </wp:positionV>
            <wp:extent cx="7683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-213995</wp:posOffset>
            </wp:positionV>
            <wp:extent cx="7747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-196215</wp:posOffset>
            </wp:positionV>
            <wp:extent cx="7747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-213995</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-196215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-213995</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-196215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-213995</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-196215</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-213995</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-196215</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-213995</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-196215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-213995</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-196215</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5"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49"/>
        </w:trPr>
        <w:tc>
          <w:tcPr>
            <w:tcW w:w="1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7"/>
              </w:rPr>
              <w:t>Revolving</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7"/>
              </w:rPr>
              <w:t>Revolving</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4"/>
            <w:vMerge w:val="restart"/>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Origination Year</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loans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loans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9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4"/>
            <w:vMerge w:val="continue"/>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5"/>
              </w:rPr>
              <w:t>amortized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5"/>
              </w:rPr>
              <w:t>converted to</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2022</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2021</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w w:val="99"/>
              </w:rPr>
              <w:t>2020</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Prior</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5"/>
              </w:rPr>
              <w:t>cost basis</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8"/>
              </w:rPr>
              <w:t>term loans</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40" w:type="dxa"/>
            <w:vAlign w:val="bottom"/>
            <w:gridSpan w:val="6"/>
          </w:tcPr>
          <w:p>
            <w:pPr>
              <w:spacing w:after="0"/>
              <w:rPr>
                <w:sz w:val="20"/>
                <w:szCs w:val="20"/>
                <w:color w:val="auto"/>
              </w:rPr>
            </w:pPr>
            <w:r>
              <w:rPr>
                <w:rFonts w:ascii="Times New Roman" w:cs="Times New Roman" w:eastAsia="Times New Roman" w:hAnsi="Times New Roman"/>
                <w:sz w:val="13"/>
                <w:szCs w:val="13"/>
                <w:i w:val="1"/>
                <w:iCs w:val="1"/>
                <w:color w:val="auto"/>
                <w:w w:val="95"/>
              </w:rPr>
              <w:t>(Dollars in thousands)</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1960" w:type="dxa"/>
            <w:vAlign w:val="bottom"/>
            <w:shd w:val="clear" w:color="auto" w:fill="CFF0FC"/>
          </w:tcPr>
          <w:p>
            <w:pPr>
              <w:ind w:left="20"/>
              <w:spacing w:after="0" w:line="128" w:lineRule="exact"/>
              <w:rPr>
                <w:sz w:val="20"/>
                <w:szCs w:val="20"/>
                <w:color w:val="auto"/>
              </w:rPr>
            </w:pPr>
            <w:r>
              <w:rPr>
                <w:rFonts w:ascii="Times New Roman" w:cs="Times New Roman" w:eastAsia="Times New Roman" w:hAnsi="Times New Roman"/>
                <w:sz w:val="13"/>
                <w:szCs w:val="13"/>
                <w:b w:val="1"/>
                <w:bCs w:val="1"/>
                <w:color w:val="auto"/>
              </w:rPr>
              <w:t>Commercial real estate</w:t>
            </w: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1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Risk Rating:</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447,991</w:t>
            </w:r>
          </w:p>
        </w:tc>
        <w:tc>
          <w:tcPr>
            <w:tcW w:w="4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1,315,563</w:t>
            </w:r>
          </w:p>
        </w:tc>
        <w:tc>
          <w:tcPr>
            <w:tcW w:w="4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1,133,331</w:t>
            </w:r>
          </w:p>
        </w:tc>
        <w:tc>
          <w:tcPr>
            <w:tcW w:w="5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885,590</w:t>
            </w:r>
          </w:p>
        </w:tc>
        <w:tc>
          <w:tcPr>
            <w:tcW w:w="3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497,541</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2,041,329</w:t>
            </w:r>
          </w:p>
        </w:tc>
        <w:tc>
          <w:tcPr>
            <w:tcW w:w="3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171,223</w:t>
            </w:r>
          </w:p>
        </w:tc>
        <w:tc>
          <w:tcPr>
            <w:tcW w:w="3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38,568</w:t>
            </w:r>
          </w:p>
        </w:tc>
        <w:tc>
          <w:tcPr>
            <w:tcW w:w="4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6,531,136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3,241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3,897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15,868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19,368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43,824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74,673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2,911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163,782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744</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8,127</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2,891</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33,401</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12,986</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30,637</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801</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89,587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Doubtful &amp; Loss</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96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Total Commercial real</w:t>
            </w:r>
          </w:p>
        </w:tc>
        <w:tc>
          <w:tcPr>
            <w:tcW w:w="18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451,976</w:t>
            </w:r>
          </w:p>
        </w:tc>
        <w:tc>
          <w:tcPr>
            <w:tcW w:w="420" w:type="dxa"/>
            <w:vAlign w:val="bottom"/>
            <w:gridSpan w:val="3"/>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1,327,587</w:t>
            </w:r>
          </w:p>
        </w:tc>
        <w:tc>
          <w:tcPr>
            <w:tcW w:w="420" w:type="dxa"/>
            <w:vAlign w:val="bottom"/>
            <w:gridSpan w:val="3"/>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1,152,090</w:t>
            </w:r>
          </w:p>
        </w:tc>
        <w:tc>
          <w:tcPr>
            <w:tcW w:w="500" w:type="dxa"/>
            <w:vAlign w:val="bottom"/>
            <w:gridSpan w:val="3"/>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938,359</w:t>
            </w:r>
          </w:p>
        </w:tc>
        <w:tc>
          <w:tcPr>
            <w:tcW w:w="380" w:type="dxa"/>
            <w:vAlign w:val="bottom"/>
            <w:gridSpan w:val="3"/>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554,351</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vMerge w:val="restart"/>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2,146,639</w:t>
            </w:r>
          </w:p>
        </w:tc>
        <w:tc>
          <w:tcPr>
            <w:tcW w:w="320" w:type="dxa"/>
            <w:vAlign w:val="bottom"/>
            <w:gridSpan w:val="3"/>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174,935</w:t>
            </w:r>
          </w:p>
        </w:tc>
        <w:tc>
          <w:tcPr>
            <w:tcW w:w="300" w:type="dxa"/>
            <w:vAlign w:val="bottom"/>
            <w:gridSpan w:val="3"/>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38,568</w:t>
            </w:r>
          </w:p>
        </w:tc>
        <w:tc>
          <w:tcPr>
            <w:tcW w:w="400" w:type="dxa"/>
            <w:vAlign w:val="bottom"/>
            <w:gridSpan w:val="3"/>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6,784,505</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estate loans:</w:t>
            </w:r>
          </w:p>
        </w:tc>
        <w:tc>
          <w:tcPr>
            <w:tcW w:w="180" w:type="dxa"/>
            <w:vAlign w:val="bottom"/>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420" w:type="dxa"/>
            <w:vAlign w:val="bottom"/>
            <w:gridSpan w:val="3"/>
            <w:vMerge w:val="continue"/>
            <w:shd w:val="clear" w:color="auto" w:fill="CFF0FC"/>
          </w:tcPr>
          <w:p>
            <w:pPr>
              <w:spacing w:after="0"/>
              <w:rPr>
                <w:sz w:val="13"/>
                <w:szCs w:val="13"/>
                <w:color w:val="auto"/>
              </w:rPr>
            </w:pPr>
          </w:p>
        </w:tc>
        <w:tc>
          <w:tcPr>
            <w:tcW w:w="660" w:type="dxa"/>
            <w:vAlign w:val="bottom"/>
            <w:vMerge w:val="continue"/>
            <w:shd w:val="clear" w:color="auto" w:fill="CFF0FC"/>
          </w:tcPr>
          <w:p>
            <w:pPr>
              <w:spacing w:after="0"/>
              <w:rPr>
                <w:sz w:val="13"/>
                <w:szCs w:val="13"/>
                <w:color w:val="auto"/>
              </w:rPr>
            </w:pPr>
          </w:p>
        </w:tc>
        <w:tc>
          <w:tcPr>
            <w:tcW w:w="420" w:type="dxa"/>
            <w:vAlign w:val="bottom"/>
            <w:gridSpan w:val="3"/>
            <w:vMerge w:val="continue"/>
            <w:shd w:val="clear" w:color="auto" w:fill="CFF0FC"/>
          </w:tcPr>
          <w:p>
            <w:pPr>
              <w:spacing w:after="0"/>
              <w:rPr>
                <w:sz w:val="13"/>
                <w:szCs w:val="13"/>
                <w:color w:val="auto"/>
              </w:rPr>
            </w:pPr>
          </w:p>
        </w:tc>
        <w:tc>
          <w:tcPr>
            <w:tcW w:w="660" w:type="dxa"/>
            <w:vAlign w:val="bottom"/>
            <w:vMerge w:val="continue"/>
            <w:shd w:val="clear" w:color="auto" w:fill="CFF0FC"/>
          </w:tcPr>
          <w:p>
            <w:pPr>
              <w:spacing w:after="0"/>
              <w:rPr>
                <w:sz w:val="13"/>
                <w:szCs w:val="13"/>
                <w:color w:val="auto"/>
              </w:rPr>
            </w:pPr>
          </w:p>
        </w:tc>
        <w:tc>
          <w:tcPr>
            <w:tcW w:w="500" w:type="dxa"/>
            <w:vAlign w:val="bottom"/>
            <w:gridSpan w:val="3"/>
            <w:vMerge w:val="continue"/>
            <w:shd w:val="clear" w:color="auto" w:fill="CFF0FC"/>
          </w:tcPr>
          <w:p>
            <w:pPr>
              <w:spacing w:after="0"/>
              <w:rPr>
                <w:sz w:val="13"/>
                <w:szCs w:val="13"/>
                <w:color w:val="auto"/>
              </w:rPr>
            </w:pPr>
          </w:p>
        </w:tc>
        <w:tc>
          <w:tcPr>
            <w:tcW w:w="560" w:type="dxa"/>
            <w:vAlign w:val="bottom"/>
            <w:vMerge w:val="continue"/>
            <w:shd w:val="clear" w:color="auto" w:fill="CFF0FC"/>
          </w:tcPr>
          <w:p>
            <w:pPr>
              <w:spacing w:after="0"/>
              <w:rPr>
                <w:sz w:val="13"/>
                <w:szCs w:val="13"/>
                <w:color w:val="auto"/>
              </w:rPr>
            </w:pPr>
          </w:p>
        </w:tc>
        <w:tc>
          <w:tcPr>
            <w:tcW w:w="380" w:type="dxa"/>
            <w:vAlign w:val="bottom"/>
            <w:gridSpan w:val="3"/>
            <w:vMerge w:val="continue"/>
            <w:shd w:val="clear" w:color="auto" w:fill="CFF0FC"/>
          </w:tcPr>
          <w:p>
            <w:pPr>
              <w:spacing w:after="0"/>
              <w:rPr>
                <w:sz w:val="13"/>
                <w:szCs w:val="13"/>
                <w:color w:val="auto"/>
              </w:rPr>
            </w:pPr>
          </w:p>
        </w:tc>
        <w:tc>
          <w:tcPr>
            <w:tcW w:w="54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320" w:type="dxa"/>
            <w:vAlign w:val="bottom"/>
            <w:gridSpan w:val="3"/>
            <w:vMerge w:val="continue"/>
            <w:shd w:val="clear" w:color="auto" w:fill="CFF0FC"/>
          </w:tcPr>
          <w:p>
            <w:pPr>
              <w:spacing w:after="0"/>
              <w:rPr>
                <w:sz w:val="13"/>
                <w:szCs w:val="13"/>
                <w:color w:val="auto"/>
              </w:rPr>
            </w:pPr>
          </w:p>
        </w:tc>
        <w:tc>
          <w:tcPr>
            <w:tcW w:w="720" w:type="dxa"/>
            <w:vAlign w:val="bottom"/>
            <w:vMerge w:val="continue"/>
            <w:shd w:val="clear" w:color="auto" w:fill="CFF0FC"/>
          </w:tcPr>
          <w:p>
            <w:pPr>
              <w:spacing w:after="0"/>
              <w:rPr>
                <w:sz w:val="13"/>
                <w:szCs w:val="13"/>
                <w:color w:val="auto"/>
              </w:rPr>
            </w:pPr>
          </w:p>
        </w:tc>
        <w:tc>
          <w:tcPr>
            <w:tcW w:w="300" w:type="dxa"/>
            <w:vAlign w:val="bottom"/>
            <w:gridSpan w:val="3"/>
            <w:vMerge w:val="continue"/>
            <w:shd w:val="clear" w:color="auto" w:fill="CFF0FC"/>
          </w:tcPr>
          <w:p>
            <w:pPr>
              <w:spacing w:after="0"/>
              <w:rPr>
                <w:sz w:val="13"/>
                <w:szCs w:val="13"/>
                <w:color w:val="auto"/>
              </w:rPr>
            </w:pPr>
          </w:p>
        </w:tc>
        <w:tc>
          <w:tcPr>
            <w:tcW w:w="760" w:type="dxa"/>
            <w:vAlign w:val="bottom"/>
            <w:vMerge w:val="continue"/>
            <w:shd w:val="clear" w:color="auto" w:fill="CFF0FC"/>
          </w:tcPr>
          <w:p>
            <w:pPr>
              <w:spacing w:after="0"/>
              <w:rPr>
                <w:sz w:val="13"/>
                <w:szCs w:val="13"/>
                <w:color w:val="auto"/>
              </w:rPr>
            </w:pPr>
          </w:p>
        </w:tc>
        <w:tc>
          <w:tcPr>
            <w:tcW w:w="400" w:type="dxa"/>
            <w:vAlign w:val="bottom"/>
            <w:gridSpan w:val="3"/>
            <w:vMerge w:val="continue"/>
            <w:shd w:val="clear" w:color="auto" w:fill="CFF0FC"/>
          </w:tcPr>
          <w:p>
            <w:pPr>
              <w:spacing w:after="0"/>
              <w:rPr>
                <w:sz w:val="13"/>
                <w:szCs w:val="13"/>
                <w:color w:val="auto"/>
              </w:rPr>
            </w:pPr>
          </w:p>
        </w:tc>
        <w:tc>
          <w:tcPr>
            <w:tcW w:w="70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960" w:type="dxa"/>
            <w:vAlign w:val="bottom"/>
            <w:tcBorders>
              <w:top w:val="single" w:sz="8" w:color="CFF0FC"/>
            </w:tcBorders>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Current YTD Period:</w:t>
            </w: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96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Gross charge-offs</w:t>
            </w:r>
          </w:p>
        </w:tc>
        <w:tc>
          <w:tcPr>
            <w:tcW w:w="18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4"/>
        </w:trPr>
        <w:tc>
          <w:tcPr>
            <w:tcW w:w="1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Construction loans:</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Risk Rating:</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1,274</w:t>
            </w:r>
          </w:p>
        </w:tc>
        <w:tc>
          <w:tcPr>
            <w:tcW w:w="4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15,046</w:t>
            </w:r>
          </w:p>
        </w:tc>
        <w:tc>
          <w:tcPr>
            <w:tcW w:w="4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22,288</w:t>
            </w:r>
          </w:p>
        </w:tc>
        <w:tc>
          <w:tcPr>
            <w:tcW w:w="5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8,058</w:t>
            </w:r>
          </w:p>
        </w:tc>
        <w:tc>
          <w:tcPr>
            <w:tcW w:w="3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17,938</w:t>
            </w:r>
          </w:p>
        </w:tc>
        <w:tc>
          <w:tcPr>
            <w:tcW w:w="3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64,604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19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Doubtful &amp; Loss</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96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Total Construction</w:t>
            </w:r>
          </w:p>
        </w:tc>
        <w:tc>
          <w:tcPr>
            <w:tcW w:w="18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1,274</w:t>
            </w:r>
          </w:p>
        </w:tc>
        <w:tc>
          <w:tcPr>
            <w:tcW w:w="420" w:type="dxa"/>
            <w:vAlign w:val="bottom"/>
            <w:gridSpan w:val="3"/>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15,046</w:t>
            </w:r>
          </w:p>
        </w:tc>
        <w:tc>
          <w:tcPr>
            <w:tcW w:w="420" w:type="dxa"/>
            <w:vAlign w:val="bottom"/>
            <w:gridSpan w:val="3"/>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24,418</w:t>
            </w:r>
          </w:p>
        </w:tc>
        <w:tc>
          <w:tcPr>
            <w:tcW w:w="500" w:type="dxa"/>
            <w:vAlign w:val="bottom"/>
            <w:gridSpan w:val="3"/>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8,058</w:t>
            </w:r>
          </w:p>
        </w:tc>
        <w:tc>
          <w:tcPr>
            <w:tcW w:w="380" w:type="dxa"/>
            <w:vAlign w:val="bottom"/>
            <w:gridSpan w:val="3"/>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vMerge w:val="restart"/>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17,938</w:t>
            </w:r>
          </w:p>
        </w:tc>
        <w:tc>
          <w:tcPr>
            <w:tcW w:w="300" w:type="dxa"/>
            <w:vAlign w:val="bottom"/>
            <w:gridSpan w:val="3"/>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66,734</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180" w:type="dxa"/>
            <w:vAlign w:val="bottom"/>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420" w:type="dxa"/>
            <w:vAlign w:val="bottom"/>
            <w:gridSpan w:val="3"/>
            <w:vMerge w:val="continue"/>
            <w:shd w:val="clear" w:color="auto" w:fill="CFF0FC"/>
          </w:tcPr>
          <w:p>
            <w:pPr>
              <w:spacing w:after="0"/>
              <w:rPr>
                <w:sz w:val="13"/>
                <w:szCs w:val="13"/>
                <w:color w:val="auto"/>
              </w:rPr>
            </w:pPr>
          </w:p>
        </w:tc>
        <w:tc>
          <w:tcPr>
            <w:tcW w:w="660" w:type="dxa"/>
            <w:vAlign w:val="bottom"/>
            <w:vMerge w:val="continue"/>
            <w:shd w:val="clear" w:color="auto" w:fill="CFF0FC"/>
          </w:tcPr>
          <w:p>
            <w:pPr>
              <w:spacing w:after="0"/>
              <w:rPr>
                <w:sz w:val="13"/>
                <w:szCs w:val="13"/>
                <w:color w:val="auto"/>
              </w:rPr>
            </w:pPr>
          </w:p>
        </w:tc>
        <w:tc>
          <w:tcPr>
            <w:tcW w:w="420" w:type="dxa"/>
            <w:vAlign w:val="bottom"/>
            <w:gridSpan w:val="3"/>
            <w:vMerge w:val="continue"/>
            <w:shd w:val="clear" w:color="auto" w:fill="CFF0FC"/>
          </w:tcPr>
          <w:p>
            <w:pPr>
              <w:spacing w:after="0"/>
              <w:rPr>
                <w:sz w:val="13"/>
                <w:szCs w:val="13"/>
                <w:color w:val="auto"/>
              </w:rPr>
            </w:pPr>
          </w:p>
        </w:tc>
        <w:tc>
          <w:tcPr>
            <w:tcW w:w="660" w:type="dxa"/>
            <w:vAlign w:val="bottom"/>
            <w:vMerge w:val="continue"/>
            <w:shd w:val="clear" w:color="auto" w:fill="CFF0FC"/>
          </w:tcPr>
          <w:p>
            <w:pPr>
              <w:spacing w:after="0"/>
              <w:rPr>
                <w:sz w:val="13"/>
                <w:szCs w:val="13"/>
                <w:color w:val="auto"/>
              </w:rPr>
            </w:pPr>
          </w:p>
        </w:tc>
        <w:tc>
          <w:tcPr>
            <w:tcW w:w="500" w:type="dxa"/>
            <w:vAlign w:val="bottom"/>
            <w:gridSpan w:val="3"/>
            <w:vMerge w:val="continue"/>
            <w:shd w:val="clear" w:color="auto" w:fill="CFF0FC"/>
          </w:tcPr>
          <w:p>
            <w:pPr>
              <w:spacing w:after="0"/>
              <w:rPr>
                <w:sz w:val="13"/>
                <w:szCs w:val="13"/>
                <w:color w:val="auto"/>
              </w:rPr>
            </w:pPr>
          </w:p>
        </w:tc>
        <w:tc>
          <w:tcPr>
            <w:tcW w:w="560" w:type="dxa"/>
            <w:vAlign w:val="bottom"/>
            <w:vMerge w:val="continue"/>
            <w:shd w:val="clear" w:color="auto" w:fill="CFF0FC"/>
          </w:tcPr>
          <w:p>
            <w:pPr>
              <w:spacing w:after="0"/>
              <w:rPr>
                <w:sz w:val="13"/>
                <w:szCs w:val="13"/>
                <w:color w:val="auto"/>
              </w:rPr>
            </w:pPr>
          </w:p>
        </w:tc>
        <w:tc>
          <w:tcPr>
            <w:tcW w:w="380" w:type="dxa"/>
            <w:vAlign w:val="bottom"/>
            <w:gridSpan w:val="3"/>
            <w:vMerge w:val="continue"/>
            <w:shd w:val="clear" w:color="auto" w:fill="CFF0FC"/>
          </w:tcPr>
          <w:p>
            <w:pPr>
              <w:spacing w:after="0"/>
              <w:rPr>
                <w:sz w:val="13"/>
                <w:szCs w:val="13"/>
                <w:color w:val="auto"/>
              </w:rPr>
            </w:pPr>
          </w:p>
        </w:tc>
        <w:tc>
          <w:tcPr>
            <w:tcW w:w="760" w:type="dxa"/>
            <w:vAlign w:val="bottom"/>
            <w:gridSpan w:val="3"/>
            <w:vMerge w:val="continue"/>
            <w:shd w:val="clear" w:color="auto" w:fill="CFF0FC"/>
          </w:tcPr>
          <w:p>
            <w:pPr>
              <w:spacing w:after="0"/>
              <w:rPr>
                <w:sz w:val="13"/>
                <w:szCs w:val="13"/>
                <w:color w:val="auto"/>
              </w:rPr>
            </w:pPr>
          </w:p>
        </w:tc>
        <w:tc>
          <w:tcPr>
            <w:tcW w:w="160" w:type="dxa"/>
            <w:vAlign w:val="bottom"/>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320" w:type="dxa"/>
            <w:vAlign w:val="bottom"/>
            <w:gridSpan w:val="3"/>
            <w:vMerge w:val="continue"/>
            <w:shd w:val="clear" w:color="auto" w:fill="CFF0FC"/>
          </w:tcPr>
          <w:p>
            <w:pPr>
              <w:spacing w:after="0"/>
              <w:rPr>
                <w:sz w:val="13"/>
                <w:szCs w:val="13"/>
                <w:color w:val="auto"/>
              </w:rPr>
            </w:pPr>
          </w:p>
        </w:tc>
        <w:tc>
          <w:tcPr>
            <w:tcW w:w="720" w:type="dxa"/>
            <w:vAlign w:val="bottom"/>
            <w:vMerge w:val="continue"/>
            <w:shd w:val="clear" w:color="auto" w:fill="CFF0FC"/>
          </w:tcPr>
          <w:p>
            <w:pPr>
              <w:spacing w:after="0"/>
              <w:rPr>
                <w:sz w:val="13"/>
                <w:szCs w:val="13"/>
                <w:color w:val="auto"/>
              </w:rPr>
            </w:pPr>
          </w:p>
        </w:tc>
        <w:tc>
          <w:tcPr>
            <w:tcW w:w="300" w:type="dxa"/>
            <w:vAlign w:val="bottom"/>
            <w:gridSpan w:val="3"/>
            <w:vMerge w:val="continue"/>
            <w:shd w:val="clear" w:color="auto" w:fill="CFF0FC"/>
          </w:tcPr>
          <w:p>
            <w:pPr>
              <w:spacing w:after="0"/>
              <w:rPr>
                <w:sz w:val="13"/>
                <w:szCs w:val="13"/>
                <w:color w:val="auto"/>
              </w:rPr>
            </w:pPr>
          </w:p>
        </w:tc>
        <w:tc>
          <w:tcPr>
            <w:tcW w:w="760" w:type="dxa"/>
            <w:vAlign w:val="bottom"/>
            <w:vMerge w:val="continue"/>
            <w:shd w:val="clear" w:color="auto" w:fill="CFF0FC"/>
          </w:tcPr>
          <w:p>
            <w:pPr>
              <w:spacing w:after="0"/>
              <w:rPr>
                <w:sz w:val="13"/>
                <w:szCs w:val="13"/>
                <w:color w:val="auto"/>
              </w:rPr>
            </w:pPr>
          </w:p>
        </w:tc>
        <w:tc>
          <w:tcPr>
            <w:tcW w:w="400" w:type="dxa"/>
            <w:vAlign w:val="bottom"/>
            <w:gridSpan w:val="3"/>
            <w:vMerge w:val="continue"/>
            <w:shd w:val="clear" w:color="auto" w:fill="CFF0FC"/>
          </w:tcPr>
          <w:p>
            <w:pPr>
              <w:spacing w:after="0"/>
              <w:rPr>
                <w:sz w:val="13"/>
                <w:szCs w:val="13"/>
                <w:color w:val="auto"/>
              </w:rPr>
            </w:pPr>
          </w:p>
        </w:tc>
        <w:tc>
          <w:tcPr>
            <w:tcW w:w="70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960" w:type="dxa"/>
            <w:vAlign w:val="bottom"/>
            <w:tcBorders>
              <w:top w:val="single" w:sz="8" w:color="CFF0FC"/>
            </w:tcBorders>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Current YTD Period:</w:t>
            </w: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96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Gross charge-offs</w:t>
            </w:r>
          </w:p>
        </w:tc>
        <w:tc>
          <w:tcPr>
            <w:tcW w:w="18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4"/>
        </w:trPr>
        <w:tc>
          <w:tcPr>
            <w:tcW w:w="1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SBA loans:</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Risk Rating:</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20,701</w:t>
            </w:r>
          </w:p>
        </w:tc>
        <w:tc>
          <w:tcPr>
            <w:tcW w:w="4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48,212</w:t>
            </w:r>
          </w:p>
        </w:tc>
        <w:tc>
          <w:tcPr>
            <w:tcW w:w="4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51,038</w:t>
            </w:r>
          </w:p>
        </w:tc>
        <w:tc>
          <w:tcPr>
            <w:tcW w:w="5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29,306</w:t>
            </w:r>
          </w:p>
        </w:tc>
        <w:tc>
          <w:tcPr>
            <w:tcW w:w="3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6,236</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101,856</w:t>
            </w:r>
          </w:p>
        </w:tc>
        <w:tc>
          <w:tcPr>
            <w:tcW w:w="3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257,349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4,784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749</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3,218</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3,967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Doubtful &amp; Loss</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SBA loans:</w:t>
            </w:r>
          </w:p>
        </w:tc>
        <w:tc>
          <w:tcPr>
            <w:tcW w:w="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20,701</w:t>
            </w:r>
          </w:p>
        </w:tc>
        <w:tc>
          <w:tcPr>
            <w:tcW w:w="4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49,839</w:t>
            </w:r>
          </w:p>
        </w:tc>
        <w:tc>
          <w:tcPr>
            <w:tcW w:w="4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51,038</w:t>
            </w:r>
          </w:p>
        </w:tc>
        <w:tc>
          <w:tcPr>
            <w:tcW w:w="5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34,090</w:t>
            </w:r>
          </w:p>
        </w:tc>
        <w:tc>
          <w:tcPr>
            <w:tcW w:w="3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8,117</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106,834</w:t>
            </w:r>
          </w:p>
        </w:tc>
        <w:tc>
          <w:tcPr>
            <w:tcW w:w="3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270,619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960" w:type="dxa"/>
            <w:vAlign w:val="bottom"/>
            <w:tcBorders>
              <w:top w:val="single" w:sz="8" w:color="CFF0FC"/>
            </w:tcBorders>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Current YTD Period:</w:t>
            </w: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96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Gross charge-offs</w:t>
            </w:r>
          </w:p>
        </w:tc>
        <w:tc>
          <w:tcPr>
            <w:tcW w:w="18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288</w:t>
            </w:r>
          </w:p>
        </w:tc>
        <w:tc>
          <w:tcPr>
            <w:tcW w:w="32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SBA - PPP loans:</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Risk Rating:</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699</w:t>
            </w:r>
          </w:p>
        </w:tc>
        <w:tc>
          <w:tcPr>
            <w:tcW w:w="5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2,037</w:t>
            </w:r>
          </w:p>
        </w:tc>
        <w:tc>
          <w:tcPr>
            <w:tcW w:w="3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2,736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19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Doubtful &amp; Loss</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SBA - PPP loans:</w:t>
            </w:r>
          </w:p>
        </w:tc>
        <w:tc>
          <w:tcPr>
            <w:tcW w:w="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699</w:t>
            </w:r>
          </w:p>
        </w:tc>
        <w:tc>
          <w:tcPr>
            <w:tcW w:w="5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2,037</w:t>
            </w:r>
          </w:p>
        </w:tc>
        <w:tc>
          <w:tcPr>
            <w:tcW w:w="3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2,736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960" w:type="dxa"/>
            <w:vAlign w:val="bottom"/>
            <w:tcBorders>
              <w:top w:val="single" w:sz="8" w:color="CFF0FC"/>
            </w:tcBorders>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Current YTD Period:</w:t>
            </w: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96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Gross charge-offs</w:t>
            </w:r>
          </w:p>
        </w:tc>
        <w:tc>
          <w:tcPr>
            <w:tcW w:w="18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5"/>
        </w:trPr>
        <w:tc>
          <w:tcPr>
            <w:tcW w:w="1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960" w:type="dxa"/>
            <w:vAlign w:val="bottom"/>
            <w:shd w:val="clear" w:color="auto" w:fill="CFF0FC"/>
          </w:tcPr>
          <w:p>
            <w:pPr>
              <w:ind w:left="20"/>
              <w:spacing w:after="0" w:line="128" w:lineRule="exact"/>
              <w:rPr>
                <w:sz w:val="20"/>
                <w:szCs w:val="20"/>
                <w:color w:val="auto"/>
              </w:rPr>
            </w:pPr>
            <w:r>
              <w:rPr>
                <w:rFonts w:ascii="Times New Roman" w:cs="Times New Roman" w:eastAsia="Times New Roman" w:hAnsi="Times New Roman"/>
                <w:sz w:val="13"/>
                <w:szCs w:val="13"/>
                <w:b w:val="1"/>
                <w:bCs w:val="1"/>
                <w:color w:val="auto"/>
              </w:rPr>
              <w:t>Commercial and</w:t>
            </w: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1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industrial loans:</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Risk Rating:</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141,080</w:t>
            </w:r>
          </w:p>
        </w:tc>
        <w:tc>
          <w:tcPr>
            <w:tcW w:w="4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143,847</w:t>
            </w:r>
          </w:p>
        </w:tc>
        <w:tc>
          <w:tcPr>
            <w:tcW w:w="4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100,059</w:t>
            </w:r>
          </w:p>
        </w:tc>
        <w:tc>
          <w:tcPr>
            <w:tcW w:w="5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88,743</w:t>
            </w:r>
          </w:p>
        </w:tc>
        <w:tc>
          <w:tcPr>
            <w:tcW w:w="3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68,352</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94,027</w:t>
            </w:r>
          </w:p>
        </w:tc>
        <w:tc>
          <w:tcPr>
            <w:tcW w:w="3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289,539</w:t>
            </w:r>
          </w:p>
        </w:tc>
        <w:tc>
          <w:tcPr>
            <w:tcW w:w="3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5,460</w:t>
            </w:r>
          </w:p>
        </w:tc>
        <w:tc>
          <w:tcPr>
            <w:tcW w:w="4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931,107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7,829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4,114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3,986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10,529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5,347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33,840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257</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1,296</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2,487</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819</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4,948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Doubtful &amp; Loss</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96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Total Commercial and</w:t>
            </w:r>
          </w:p>
        </w:tc>
        <w:tc>
          <w:tcPr>
            <w:tcW w:w="18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148,909</w:t>
            </w:r>
          </w:p>
        </w:tc>
        <w:tc>
          <w:tcPr>
            <w:tcW w:w="420" w:type="dxa"/>
            <w:vAlign w:val="bottom"/>
            <w:gridSpan w:val="3"/>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144,842</w:t>
            </w:r>
          </w:p>
        </w:tc>
        <w:tc>
          <w:tcPr>
            <w:tcW w:w="420" w:type="dxa"/>
            <w:vAlign w:val="bottom"/>
            <w:gridSpan w:val="3"/>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100,804</w:t>
            </w:r>
          </w:p>
        </w:tc>
        <w:tc>
          <w:tcPr>
            <w:tcW w:w="500" w:type="dxa"/>
            <w:vAlign w:val="bottom"/>
            <w:gridSpan w:val="3"/>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89,295</w:t>
            </w:r>
          </w:p>
        </w:tc>
        <w:tc>
          <w:tcPr>
            <w:tcW w:w="380" w:type="dxa"/>
            <w:vAlign w:val="bottom"/>
            <w:gridSpan w:val="3"/>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72,555</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vMerge w:val="restart"/>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99,309</w:t>
            </w:r>
          </w:p>
        </w:tc>
        <w:tc>
          <w:tcPr>
            <w:tcW w:w="320" w:type="dxa"/>
            <w:vAlign w:val="bottom"/>
            <w:gridSpan w:val="3"/>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302,555</w:t>
            </w:r>
          </w:p>
        </w:tc>
        <w:tc>
          <w:tcPr>
            <w:tcW w:w="300" w:type="dxa"/>
            <w:vAlign w:val="bottom"/>
            <w:gridSpan w:val="3"/>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11,626</w:t>
            </w:r>
          </w:p>
        </w:tc>
        <w:tc>
          <w:tcPr>
            <w:tcW w:w="400" w:type="dxa"/>
            <w:vAlign w:val="bottom"/>
            <w:gridSpan w:val="3"/>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969,895</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industrial loans:</w:t>
            </w:r>
          </w:p>
        </w:tc>
        <w:tc>
          <w:tcPr>
            <w:tcW w:w="180" w:type="dxa"/>
            <w:vAlign w:val="bottom"/>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420" w:type="dxa"/>
            <w:vAlign w:val="bottom"/>
            <w:gridSpan w:val="3"/>
            <w:vMerge w:val="continue"/>
            <w:shd w:val="clear" w:color="auto" w:fill="CFF0FC"/>
          </w:tcPr>
          <w:p>
            <w:pPr>
              <w:spacing w:after="0"/>
              <w:rPr>
                <w:sz w:val="13"/>
                <w:szCs w:val="13"/>
                <w:color w:val="auto"/>
              </w:rPr>
            </w:pPr>
          </w:p>
        </w:tc>
        <w:tc>
          <w:tcPr>
            <w:tcW w:w="660" w:type="dxa"/>
            <w:vAlign w:val="bottom"/>
            <w:vMerge w:val="continue"/>
            <w:shd w:val="clear" w:color="auto" w:fill="CFF0FC"/>
          </w:tcPr>
          <w:p>
            <w:pPr>
              <w:spacing w:after="0"/>
              <w:rPr>
                <w:sz w:val="13"/>
                <w:szCs w:val="13"/>
                <w:color w:val="auto"/>
              </w:rPr>
            </w:pPr>
          </w:p>
        </w:tc>
        <w:tc>
          <w:tcPr>
            <w:tcW w:w="420" w:type="dxa"/>
            <w:vAlign w:val="bottom"/>
            <w:gridSpan w:val="3"/>
            <w:vMerge w:val="continue"/>
            <w:shd w:val="clear" w:color="auto" w:fill="CFF0FC"/>
          </w:tcPr>
          <w:p>
            <w:pPr>
              <w:spacing w:after="0"/>
              <w:rPr>
                <w:sz w:val="13"/>
                <w:szCs w:val="13"/>
                <w:color w:val="auto"/>
              </w:rPr>
            </w:pPr>
          </w:p>
        </w:tc>
        <w:tc>
          <w:tcPr>
            <w:tcW w:w="660" w:type="dxa"/>
            <w:vAlign w:val="bottom"/>
            <w:vMerge w:val="continue"/>
            <w:shd w:val="clear" w:color="auto" w:fill="CFF0FC"/>
          </w:tcPr>
          <w:p>
            <w:pPr>
              <w:spacing w:after="0"/>
              <w:rPr>
                <w:sz w:val="13"/>
                <w:szCs w:val="13"/>
                <w:color w:val="auto"/>
              </w:rPr>
            </w:pPr>
          </w:p>
        </w:tc>
        <w:tc>
          <w:tcPr>
            <w:tcW w:w="500" w:type="dxa"/>
            <w:vAlign w:val="bottom"/>
            <w:gridSpan w:val="3"/>
            <w:vMerge w:val="continue"/>
            <w:shd w:val="clear" w:color="auto" w:fill="CFF0FC"/>
          </w:tcPr>
          <w:p>
            <w:pPr>
              <w:spacing w:after="0"/>
              <w:rPr>
                <w:sz w:val="13"/>
                <w:szCs w:val="13"/>
                <w:color w:val="auto"/>
              </w:rPr>
            </w:pPr>
          </w:p>
        </w:tc>
        <w:tc>
          <w:tcPr>
            <w:tcW w:w="560" w:type="dxa"/>
            <w:vAlign w:val="bottom"/>
            <w:vMerge w:val="continue"/>
            <w:shd w:val="clear" w:color="auto" w:fill="CFF0FC"/>
          </w:tcPr>
          <w:p>
            <w:pPr>
              <w:spacing w:after="0"/>
              <w:rPr>
                <w:sz w:val="13"/>
                <w:szCs w:val="13"/>
                <w:color w:val="auto"/>
              </w:rPr>
            </w:pPr>
          </w:p>
        </w:tc>
        <w:tc>
          <w:tcPr>
            <w:tcW w:w="380" w:type="dxa"/>
            <w:vAlign w:val="bottom"/>
            <w:gridSpan w:val="3"/>
            <w:vMerge w:val="continue"/>
            <w:shd w:val="clear" w:color="auto" w:fill="CFF0FC"/>
          </w:tcPr>
          <w:p>
            <w:pPr>
              <w:spacing w:after="0"/>
              <w:rPr>
                <w:sz w:val="13"/>
                <w:szCs w:val="13"/>
                <w:color w:val="auto"/>
              </w:rPr>
            </w:pPr>
          </w:p>
        </w:tc>
        <w:tc>
          <w:tcPr>
            <w:tcW w:w="54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320" w:type="dxa"/>
            <w:vAlign w:val="bottom"/>
            <w:gridSpan w:val="3"/>
            <w:vMerge w:val="continue"/>
            <w:shd w:val="clear" w:color="auto" w:fill="CFF0FC"/>
          </w:tcPr>
          <w:p>
            <w:pPr>
              <w:spacing w:after="0"/>
              <w:rPr>
                <w:sz w:val="13"/>
                <w:szCs w:val="13"/>
                <w:color w:val="auto"/>
              </w:rPr>
            </w:pPr>
          </w:p>
        </w:tc>
        <w:tc>
          <w:tcPr>
            <w:tcW w:w="720" w:type="dxa"/>
            <w:vAlign w:val="bottom"/>
            <w:vMerge w:val="continue"/>
            <w:shd w:val="clear" w:color="auto" w:fill="CFF0FC"/>
          </w:tcPr>
          <w:p>
            <w:pPr>
              <w:spacing w:after="0"/>
              <w:rPr>
                <w:sz w:val="13"/>
                <w:szCs w:val="13"/>
                <w:color w:val="auto"/>
              </w:rPr>
            </w:pPr>
          </w:p>
        </w:tc>
        <w:tc>
          <w:tcPr>
            <w:tcW w:w="300" w:type="dxa"/>
            <w:vAlign w:val="bottom"/>
            <w:gridSpan w:val="3"/>
            <w:vMerge w:val="continue"/>
            <w:shd w:val="clear" w:color="auto" w:fill="CFF0FC"/>
          </w:tcPr>
          <w:p>
            <w:pPr>
              <w:spacing w:after="0"/>
              <w:rPr>
                <w:sz w:val="13"/>
                <w:szCs w:val="13"/>
                <w:color w:val="auto"/>
              </w:rPr>
            </w:pPr>
          </w:p>
        </w:tc>
        <w:tc>
          <w:tcPr>
            <w:tcW w:w="760" w:type="dxa"/>
            <w:vAlign w:val="bottom"/>
            <w:vMerge w:val="continue"/>
            <w:shd w:val="clear" w:color="auto" w:fill="CFF0FC"/>
          </w:tcPr>
          <w:p>
            <w:pPr>
              <w:spacing w:after="0"/>
              <w:rPr>
                <w:sz w:val="13"/>
                <w:szCs w:val="13"/>
                <w:color w:val="auto"/>
              </w:rPr>
            </w:pPr>
          </w:p>
        </w:tc>
        <w:tc>
          <w:tcPr>
            <w:tcW w:w="400" w:type="dxa"/>
            <w:vAlign w:val="bottom"/>
            <w:gridSpan w:val="3"/>
            <w:vMerge w:val="continue"/>
            <w:shd w:val="clear" w:color="auto" w:fill="CFF0FC"/>
          </w:tcPr>
          <w:p>
            <w:pPr>
              <w:spacing w:after="0"/>
              <w:rPr>
                <w:sz w:val="13"/>
                <w:szCs w:val="13"/>
                <w:color w:val="auto"/>
              </w:rPr>
            </w:pPr>
          </w:p>
        </w:tc>
        <w:tc>
          <w:tcPr>
            <w:tcW w:w="70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960" w:type="dxa"/>
            <w:vAlign w:val="bottom"/>
            <w:tcBorders>
              <w:top w:val="single" w:sz="8" w:color="CFF0FC"/>
            </w:tcBorders>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Current YTD Period:</w:t>
            </w: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96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Gross charge-offs</w:t>
            </w:r>
          </w:p>
        </w:tc>
        <w:tc>
          <w:tcPr>
            <w:tcW w:w="18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4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1762125</wp:posOffset>
            </wp:positionH>
            <wp:positionV relativeFrom="paragraph">
              <wp:posOffset>-4549775</wp:posOffset>
            </wp:positionV>
            <wp:extent cx="7683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-4549775</wp:posOffset>
            </wp:positionV>
            <wp:extent cx="7683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-4549775</wp:posOffset>
            </wp:positionV>
            <wp:extent cx="7747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-4549775</wp:posOffset>
            </wp:positionV>
            <wp:extent cx="7683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-4549775</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-4549775</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-4549775</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-4549775</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-4549775</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1762125</wp:posOffset>
            </wp:positionH>
            <wp:positionV relativeFrom="paragraph">
              <wp:posOffset>-3443605</wp:posOffset>
            </wp:positionV>
            <wp:extent cx="7683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-3443605</wp:posOffset>
            </wp:positionV>
            <wp:extent cx="7683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-3443605</wp:posOffset>
            </wp:positionV>
            <wp:extent cx="7747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-3443605</wp:posOffset>
            </wp:positionV>
            <wp:extent cx="7683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-3443605</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-3443605</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-3443605</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-3443605</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-3443605</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1762125</wp:posOffset>
            </wp:positionH>
            <wp:positionV relativeFrom="paragraph">
              <wp:posOffset>-2414905</wp:posOffset>
            </wp:positionV>
            <wp:extent cx="7683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-2414905</wp:posOffset>
            </wp:positionV>
            <wp:extent cx="7683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-2414905</wp:posOffset>
            </wp:positionV>
            <wp:extent cx="7747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-2414905</wp:posOffset>
            </wp:positionV>
            <wp:extent cx="7683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-2414905</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-2414905</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-2414905</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-2414905</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-2414905</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1762125</wp:posOffset>
            </wp:positionH>
            <wp:positionV relativeFrom="paragraph">
              <wp:posOffset>-1386205</wp:posOffset>
            </wp:positionV>
            <wp:extent cx="7683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-1386205</wp:posOffset>
            </wp:positionV>
            <wp:extent cx="7683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-1386205</wp:posOffset>
            </wp:positionV>
            <wp:extent cx="7747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-1386205</wp:posOffset>
            </wp:positionV>
            <wp:extent cx="7683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-1386205</wp:posOffset>
            </wp:positionV>
            <wp:extent cx="6858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-1386205</wp:posOffset>
            </wp:positionV>
            <wp:extent cx="6858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-1386205</wp:posOffset>
            </wp:positionV>
            <wp:extent cx="6858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-1386205</wp:posOffset>
            </wp:positionV>
            <wp:extent cx="6858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-1386205</wp:posOffset>
            </wp:positionV>
            <wp:extent cx="6858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1762125</wp:posOffset>
            </wp:positionH>
            <wp:positionV relativeFrom="paragraph">
              <wp:posOffset>-194945</wp:posOffset>
            </wp:positionV>
            <wp:extent cx="7683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-194945</wp:posOffset>
            </wp:positionV>
            <wp:extent cx="7683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-194945</wp:posOffset>
            </wp:positionV>
            <wp:extent cx="7747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-194945</wp:posOffset>
            </wp:positionV>
            <wp:extent cx="7683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-194945</wp:posOffset>
            </wp:positionV>
            <wp:extent cx="6858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-194945</wp:posOffset>
            </wp:positionV>
            <wp:extent cx="6858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-194945</wp:posOffset>
            </wp:positionV>
            <wp:extent cx="6858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-194945</wp:posOffset>
            </wp:positionV>
            <wp:extent cx="6858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-194945</wp:posOffset>
            </wp:positionV>
            <wp:extent cx="6858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5"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49"/>
        </w:trPr>
        <w:tc>
          <w:tcPr>
            <w:tcW w:w="1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7"/>
              </w:rPr>
              <w:t>Revolving</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7"/>
              </w:rPr>
              <w:t>Revolving</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Origination Year</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loans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loans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9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4"/>
            <w:vMerge w:val="continue"/>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5"/>
              </w:rPr>
              <w:t>amortized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5"/>
              </w:rPr>
              <w:t>converted to</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2022</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2021</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w w:val="99"/>
              </w:rPr>
              <w:t>2020</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Prior</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5"/>
              </w:rPr>
              <w:t>cost basis</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8"/>
              </w:rPr>
              <w:t>term loans</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40" w:type="dxa"/>
            <w:vAlign w:val="bottom"/>
            <w:gridSpan w:val="6"/>
          </w:tcPr>
          <w:p>
            <w:pPr>
              <w:spacing w:after="0"/>
              <w:rPr>
                <w:sz w:val="20"/>
                <w:szCs w:val="20"/>
                <w:color w:val="auto"/>
              </w:rPr>
            </w:pPr>
            <w:r>
              <w:rPr>
                <w:rFonts w:ascii="Times New Roman" w:cs="Times New Roman" w:eastAsia="Times New Roman" w:hAnsi="Times New Roman"/>
                <w:sz w:val="13"/>
                <w:szCs w:val="13"/>
                <w:i w:val="1"/>
                <w:iCs w:val="1"/>
                <w:color w:val="auto"/>
                <w:w w:val="95"/>
              </w:rPr>
              <w:t>(Dollars in thousands)</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1960" w:type="dxa"/>
            <w:vAlign w:val="bottom"/>
            <w:shd w:val="clear" w:color="auto" w:fill="CFF0FC"/>
          </w:tcPr>
          <w:p>
            <w:pPr>
              <w:ind w:left="20"/>
              <w:spacing w:after="0" w:line="128" w:lineRule="exact"/>
              <w:rPr>
                <w:sz w:val="20"/>
                <w:szCs w:val="20"/>
                <w:color w:val="auto"/>
              </w:rPr>
            </w:pPr>
            <w:r>
              <w:rPr>
                <w:rFonts w:ascii="Times New Roman" w:cs="Times New Roman" w:eastAsia="Times New Roman" w:hAnsi="Times New Roman"/>
                <w:sz w:val="13"/>
                <w:szCs w:val="13"/>
                <w:b w:val="1"/>
                <w:bCs w:val="1"/>
                <w:color w:val="auto"/>
              </w:rPr>
              <w:t>Dairy &amp; livestock and</w:t>
            </w: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1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agribusiness loans:</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Risk Rating:</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296</w:t>
            </w:r>
          </w:p>
        </w:tc>
        <w:tc>
          <w:tcPr>
            <w:tcW w:w="42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1,586</w:t>
            </w:r>
          </w:p>
        </w:tc>
        <w:tc>
          <w:tcPr>
            <w:tcW w:w="500" w:type="dxa"/>
            <w:vAlign w:val="bottom"/>
            <w:gridSpan w:val="3"/>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931</w:t>
            </w:r>
          </w:p>
        </w:tc>
        <w:tc>
          <w:tcPr>
            <w:tcW w:w="380" w:type="dxa"/>
            <w:vAlign w:val="bottom"/>
            <w:gridSpan w:val="3"/>
            <w:shd w:val="clear" w:color="auto" w:fill="CFF0FC"/>
          </w:tcPr>
          <w:p>
            <w:pPr>
              <w:jc w:val="right"/>
              <w:ind w:right="28"/>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208</w:t>
            </w: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337,525</w:t>
            </w:r>
          </w:p>
        </w:tc>
        <w:tc>
          <w:tcPr>
            <w:tcW w:w="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340,626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69,232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69,705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2,500</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2,560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Doubtful &amp; Loss</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2"/>
        </w:trPr>
        <w:tc>
          <w:tcPr>
            <w:tcW w:w="196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Total Dairy &amp; livestock</w:t>
            </w:r>
          </w:p>
        </w:tc>
        <w:tc>
          <w:tcPr>
            <w:tcW w:w="180" w:type="dxa"/>
            <w:vAlign w:val="bottom"/>
            <w:tcBorders>
              <w:top w:val="single" w:sz="8" w:color="auto"/>
            </w:tcBorders>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60" w:type="dxa"/>
            <w:vAlign w:val="bottom"/>
            <w:tcBorders>
              <w:top w:val="single" w:sz="8" w:color="auto"/>
            </w:tcBorders>
            <w:shd w:val="clear" w:color="auto" w:fill="CFF0FC"/>
          </w:tcPr>
          <w:p>
            <w:pPr>
              <w:spacing w:after="0"/>
              <w:rPr>
                <w:sz w:val="10"/>
                <w:szCs w:val="10"/>
                <w:color w:val="auto"/>
              </w:rPr>
            </w:pPr>
          </w:p>
        </w:tc>
        <w:tc>
          <w:tcPr>
            <w:tcW w:w="56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76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spacing w:after="0"/>
              <w:rPr>
                <w:sz w:val="10"/>
                <w:szCs w:val="10"/>
                <w:color w:val="auto"/>
              </w:rPr>
            </w:pPr>
          </w:p>
        </w:tc>
        <w:tc>
          <w:tcPr>
            <w:tcW w:w="70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96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b w:val="1"/>
                <w:bCs w:val="1"/>
                <w:color w:val="auto"/>
              </w:rPr>
              <w:t>and agribusiness</w:t>
            </w:r>
          </w:p>
        </w:tc>
        <w:tc>
          <w:tcPr>
            <w:tcW w:w="18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744</w:t>
            </w:r>
          </w:p>
        </w:tc>
        <w:tc>
          <w:tcPr>
            <w:tcW w:w="420" w:type="dxa"/>
            <w:vAlign w:val="bottom"/>
            <w:gridSpan w:val="3"/>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1,586</w:t>
            </w:r>
          </w:p>
        </w:tc>
        <w:tc>
          <w:tcPr>
            <w:tcW w:w="500" w:type="dxa"/>
            <w:vAlign w:val="bottom"/>
            <w:gridSpan w:val="3"/>
            <w:vMerge w:val="restart"/>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931</w:t>
            </w:r>
          </w:p>
        </w:tc>
        <w:tc>
          <w:tcPr>
            <w:tcW w:w="380" w:type="dxa"/>
            <w:vAlign w:val="bottom"/>
            <w:gridSpan w:val="3"/>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105</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vMerge w:val="restart"/>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268</w:t>
            </w:r>
          </w:p>
        </w:tc>
        <w:tc>
          <w:tcPr>
            <w:tcW w:w="32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409,257</w:t>
            </w:r>
          </w:p>
        </w:tc>
        <w:tc>
          <w:tcPr>
            <w:tcW w:w="30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412,891</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180" w:type="dxa"/>
            <w:vAlign w:val="bottom"/>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420" w:type="dxa"/>
            <w:vAlign w:val="bottom"/>
            <w:gridSpan w:val="3"/>
            <w:vMerge w:val="continue"/>
            <w:shd w:val="clear" w:color="auto" w:fill="CFF0FC"/>
          </w:tcPr>
          <w:p>
            <w:pPr>
              <w:spacing w:after="0"/>
              <w:rPr>
                <w:sz w:val="13"/>
                <w:szCs w:val="13"/>
                <w:color w:val="auto"/>
              </w:rPr>
            </w:pPr>
          </w:p>
        </w:tc>
        <w:tc>
          <w:tcPr>
            <w:tcW w:w="660" w:type="dxa"/>
            <w:vAlign w:val="bottom"/>
            <w:vMerge w:val="continue"/>
            <w:shd w:val="clear" w:color="auto" w:fill="CFF0FC"/>
          </w:tcPr>
          <w:p>
            <w:pPr>
              <w:spacing w:after="0"/>
              <w:rPr>
                <w:sz w:val="13"/>
                <w:szCs w:val="13"/>
                <w:color w:val="auto"/>
              </w:rPr>
            </w:pPr>
          </w:p>
        </w:tc>
        <w:tc>
          <w:tcPr>
            <w:tcW w:w="420" w:type="dxa"/>
            <w:vAlign w:val="bottom"/>
            <w:gridSpan w:val="3"/>
            <w:vMerge w:val="continue"/>
            <w:shd w:val="clear" w:color="auto" w:fill="CFF0FC"/>
          </w:tcPr>
          <w:p>
            <w:pPr>
              <w:spacing w:after="0"/>
              <w:rPr>
                <w:sz w:val="13"/>
                <w:szCs w:val="13"/>
                <w:color w:val="auto"/>
              </w:rPr>
            </w:pPr>
          </w:p>
        </w:tc>
        <w:tc>
          <w:tcPr>
            <w:tcW w:w="660" w:type="dxa"/>
            <w:vAlign w:val="bottom"/>
            <w:vMerge w:val="continue"/>
            <w:shd w:val="clear" w:color="auto" w:fill="CFF0FC"/>
          </w:tcPr>
          <w:p>
            <w:pPr>
              <w:spacing w:after="0"/>
              <w:rPr>
                <w:sz w:val="13"/>
                <w:szCs w:val="13"/>
                <w:color w:val="auto"/>
              </w:rPr>
            </w:pPr>
          </w:p>
        </w:tc>
        <w:tc>
          <w:tcPr>
            <w:tcW w:w="500" w:type="dxa"/>
            <w:vAlign w:val="bottom"/>
            <w:gridSpan w:val="3"/>
            <w:vMerge w:val="continue"/>
            <w:shd w:val="clear" w:color="auto" w:fill="CFF0FC"/>
          </w:tcPr>
          <w:p>
            <w:pPr>
              <w:spacing w:after="0"/>
              <w:rPr>
                <w:sz w:val="13"/>
                <w:szCs w:val="13"/>
                <w:color w:val="auto"/>
              </w:rPr>
            </w:pPr>
          </w:p>
        </w:tc>
        <w:tc>
          <w:tcPr>
            <w:tcW w:w="560" w:type="dxa"/>
            <w:vAlign w:val="bottom"/>
            <w:vMerge w:val="continue"/>
            <w:shd w:val="clear" w:color="auto" w:fill="CFF0FC"/>
          </w:tcPr>
          <w:p>
            <w:pPr>
              <w:spacing w:after="0"/>
              <w:rPr>
                <w:sz w:val="13"/>
                <w:szCs w:val="13"/>
                <w:color w:val="auto"/>
              </w:rPr>
            </w:pPr>
          </w:p>
        </w:tc>
        <w:tc>
          <w:tcPr>
            <w:tcW w:w="380" w:type="dxa"/>
            <w:vAlign w:val="bottom"/>
            <w:gridSpan w:val="3"/>
            <w:vMerge w:val="continue"/>
            <w:shd w:val="clear" w:color="auto" w:fill="CFF0FC"/>
          </w:tcPr>
          <w:p>
            <w:pPr>
              <w:spacing w:after="0"/>
              <w:rPr>
                <w:sz w:val="13"/>
                <w:szCs w:val="13"/>
                <w:color w:val="auto"/>
              </w:rPr>
            </w:pPr>
          </w:p>
        </w:tc>
        <w:tc>
          <w:tcPr>
            <w:tcW w:w="54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320" w:type="dxa"/>
            <w:vAlign w:val="bottom"/>
            <w:gridSpan w:val="3"/>
            <w:vMerge w:val="continue"/>
            <w:shd w:val="clear" w:color="auto" w:fill="CFF0FC"/>
          </w:tcPr>
          <w:p>
            <w:pPr>
              <w:spacing w:after="0"/>
              <w:rPr>
                <w:sz w:val="13"/>
                <w:szCs w:val="13"/>
                <w:color w:val="auto"/>
              </w:rPr>
            </w:pPr>
          </w:p>
        </w:tc>
        <w:tc>
          <w:tcPr>
            <w:tcW w:w="720" w:type="dxa"/>
            <w:vAlign w:val="bottom"/>
            <w:vMerge w:val="continue"/>
            <w:shd w:val="clear" w:color="auto" w:fill="CFF0FC"/>
          </w:tcPr>
          <w:p>
            <w:pPr>
              <w:spacing w:after="0"/>
              <w:rPr>
                <w:sz w:val="13"/>
                <w:szCs w:val="13"/>
                <w:color w:val="auto"/>
              </w:rPr>
            </w:pPr>
          </w:p>
        </w:tc>
        <w:tc>
          <w:tcPr>
            <w:tcW w:w="300" w:type="dxa"/>
            <w:vAlign w:val="bottom"/>
            <w:gridSpan w:val="3"/>
            <w:vMerge w:val="continue"/>
            <w:shd w:val="clear" w:color="auto" w:fill="CFF0FC"/>
          </w:tcPr>
          <w:p>
            <w:pPr>
              <w:spacing w:after="0"/>
              <w:rPr>
                <w:sz w:val="13"/>
                <w:szCs w:val="13"/>
                <w:color w:val="auto"/>
              </w:rPr>
            </w:pPr>
          </w:p>
        </w:tc>
        <w:tc>
          <w:tcPr>
            <w:tcW w:w="760" w:type="dxa"/>
            <w:vAlign w:val="bottom"/>
            <w:vMerge w:val="continue"/>
            <w:shd w:val="clear" w:color="auto" w:fill="CFF0FC"/>
          </w:tcPr>
          <w:p>
            <w:pPr>
              <w:spacing w:after="0"/>
              <w:rPr>
                <w:sz w:val="13"/>
                <w:szCs w:val="13"/>
                <w:color w:val="auto"/>
              </w:rPr>
            </w:pPr>
          </w:p>
        </w:tc>
        <w:tc>
          <w:tcPr>
            <w:tcW w:w="400" w:type="dxa"/>
            <w:vAlign w:val="bottom"/>
            <w:gridSpan w:val="3"/>
            <w:vMerge w:val="continue"/>
            <w:shd w:val="clear" w:color="auto" w:fill="CFF0FC"/>
          </w:tcPr>
          <w:p>
            <w:pPr>
              <w:spacing w:after="0"/>
              <w:rPr>
                <w:sz w:val="13"/>
                <w:szCs w:val="13"/>
                <w:color w:val="auto"/>
              </w:rPr>
            </w:pPr>
          </w:p>
        </w:tc>
        <w:tc>
          <w:tcPr>
            <w:tcW w:w="70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960" w:type="dxa"/>
            <w:vAlign w:val="bottom"/>
            <w:tcBorders>
              <w:top w:val="single" w:sz="8" w:color="CFF0FC"/>
            </w:tcBorders>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Current YTD Period:</w:t>
            </w: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96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Gross charge-offs</w:t>
            </w:r>
          </w:p>
        </w:tc>
        <w:tc>
          <w:tcPr>
            <w:tcW w:w="18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3"/>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3"/>
          </w:tcPr>
          <w:p>
            <w:pPr>
              <w:jc w:val="right"/>
              <w:ind w:right="28"/>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4"/>
        </w:trPr>
        <w:tc>
          <w:tcPr>
            <w:tcW w:w="1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960" w:type="dxa"/>
            <w:vAlign w:val="bottom"/>
            <w:shd w:val="clear" w:color="auto" w:fill="CFF0FC"/>
          </w:tcPr>
          <w:p>
            <w:pPr>
              <w:ind w:left="20"/>
              <w:spacing w:after="0" w:line="128" w:lineRule="exact"/>
              <w:rPr>
                <w:sz w:val="20"/>
                <w:szCs w:val="20"/>
                <w:color w:val="auto"/>
              </w:rPr>
            </w:pPr>
            <w:r>
              <w:rPr>
                <w:rFonts w:ascii="Times New Roman" w:cs="Times New Roman" w:eastAsia="Times New Roman" w:hAnsi="Times New Roman"/>
                <w:sz w:val="13"/>
                <w:szCs w:val="13"/>
                <w:b w:val="1"/>
                <w:bCs w:val="1"/>
                <w:color w:val="auto"/>
              </w:rPr>
              <w:t>Municipal lease finance</w:t>
            </w: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1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receivables loans:</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Risk Rating:</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5,735</w:t>
            </w:r>
          </w:p>
        </w:tc>
        <w:tc>
          <w:tcPr>
            <w:tcW w:w="42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25,803</w:t>
            </w:r>
          </w:p>
        </w:tc>
        <w:tc>
          <w:tcPr>
            <w:tcW w:w="500" w:type="dxa"/>
            <w:vAlign w:val="bottom"/>
            <w:gridSpan w:val="3"/>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5,981</w:t>
            </w:r>
          </w:p>
        </w:tc>
        <w:tc>
          <w:tcPr>
            <w:tcW w:w="380" w:type="dxa"/>
            <w:vAlign w:val="bottom"/>
            <w:gridSpan w:val="3"/>
            <w:shd w:val="clear" w:color="auto" w:fill="CFF0FC"/>
          </w:tcPr>
          <w:p>
            <w:pPr>
              <w:jc w:val="right"/>
              <w:ind w:right="28"/>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4,267</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31,622</w:t>
            </w: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73,408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19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Doubtful &amp; Loss</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2"/>
        </w:trPr>
        <w:tc>
          <w:tcPr>
            <w:tcW w:w="196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Total Municipal lease</w:t>
            </w:r>
          </w:p>
        </w:tc>
        <w:tc>
          <w:tcPr>
            <w:tcW w:w="180" w:type="dxa"/>
            <w:vAlign w:val="bottom"/>
            <w:tcBorders>
              <w:top w:val="single" w:sz="8" w:color="auto"/>
            </w:tcBorders>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60" w:type="dxa"/>
            <w:vAlign w:val="bottom"/>
            <w:tcBorders>
              <w:top w:val="single" w:sz="8" w:color="auto"/>
            </w:tcBorders>
            <w:shd w:val="clear" w:color="auto" w:fill="CFF0FC"/>
          </w:tcPr>
          <w:p>
            <w:pPr>
              <w:spacing w:after="0"/>
              <w:rPr>
                <w:sz w:val="10"/>
                <w:szCs w:val="10"/>
                <w:color w:val="auto"/>
              </w:rPr>
            </w:pPr>
          </w:p>
        </w:tc>
        <w:tc>
          <w:tcPr>
            <w:tcW w:w="56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76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spacing w:after="0"/>
              <w:rPr>
                <w:sz w:val="10"/>
                <w:szCs w:val="10"/>
                <w:color w:val="auto"/>
              </w:rPr>
            </w:pPr>
          </w:p>
        </w:tc>
        <w:tc>
          <w:tcPr>
            <w:tcW w:w="70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96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b w:val="1"/>
                <w:bCs w:val="1"/>
                <w:color w:val="auto"/>
              </w:rPr>
              <w:t>finance receivables</w:t>
            </w:r>
          </w:p>
        </w:tc>
        <w:tc>
          <w:tcPr>
            <w:tcW w:w="18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5,735</w:t>
            </w:r>
          </w:p>
        </w:tc>
        <w:tc>
          <w:tcPr>
            <w:tcW w:w="420" w:type="dxa"/>
            <w:vAlign w:val="bottom"/>
            <w:gridSpan w:val="3"/>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25,803</w:t>
            </w:r>
          </w:p>
        </w:tc>
        <w:tc>
          <w:tcPr>
            <w:tcW w:w="500" w:type="dxa"/>
            <w:vAlign w:val="bottom"/>
            <w:gridSpan w:val="3"/>
            <w:vMerge w:val="restart"/>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5,981</w:t>
            </w:r>
          </w:p>
        </w:tc>
        <w:tc>
          <w:tcPr>
            <w:tcW w:w="380" w:type="dxa"/>
            <w:vAlign w:val="bottom"/>
            <w:gridSpan w:val="3"/>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4,267</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vMerge w:val="restart"/>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31,804</w:t>
            </w:r>
          </w:p>
        </w:tc>
        <w:tc>
          <w:tcPr>
            <w:tcW w:w="32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73,590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180" w:type="dxa"/>
            <w:vAlign w:val="bottom"/>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420" w:type="dxa"/>
            <w:vAlign w:val="bottom"/>
            <w:gridSpan w:val="3"/>
            <w:vMerge w:val="continue"/>
            <w:shd w:val="clear" w:color="auto" w:fill="CFF0FC"/>
          </w:tcPr>
          <w:p>
            <w:pPr>
              <w:spacing w:after="0"/>
              <w:rPr>
                <w:sz w:val="13"/>
                <w:szCs w:val="13"/>
                <w:color w:val="auto"/>
              </w:rPr>
            </w:pPr>
          </w:p>
        </w:tc>
        <w:tc>
          <w:tcPr>
            <w:tcW w:w="660" w:type="dxa"/>
            <w:vAlign w:val="bottom"/>
            <w:vMerge w:val="continue"/>
            <w:shd w:val="clear" w:color="auto" w:fill="CFF0FC"/>
          </w:tcPr>
          <w:p>
            <w:pPr>
              <w:spacing w:after="0"/>
              <w:rPr>
                <w:sz w:val="13"/>
                <w:szCs w:val="13"/>
                <w:color w:val="auto"/>
              </w:rPr>
            </w:pPr>
          </w:p>
        </w:tc>
        <w:tc>
          <w:tcPr>
            <w:tcW w:w="420" w:type="dxa"/>
            <w:vAlign w:val="bottom"/>
            <w:gridSpan w:val="3"/>
            <w:vMerge w:val="continue"/>
            <w:shd w:val="clear" w:color="auto" w:fill="CFF0FC"/>
          </w:tcPr>
          <w:p>
            <w:pPr>
              <w:spacing w:after="0"/>
              <w:rPr>
                <w:sz w:val="13"/>
                <w:szCs w:val="13"/>
                <w:color w:val="auto"/>
              </w:rPr>
            </w:pPr>
          </w:p>
        </w:tc>
        <w:tc>
          <w:tcPr>
            <w:tcW w:w="660" w:type="dxa"/>
            <w:vAlign w:val="bottom"/>
            <w:vMerge w:val="continue"/>
            <w:shd w:val="clear" w:color="auto" w:fill="CFF0FC"/>
          </w:tcPr>
          <w:p>
            <w:pPr>
              <w:spacing w:after="0"/>
              <w:rPr>
                <w:sz w:val="13"/>
                <w:szCs w:val="13"/>
                <w:color w:val="auto"/>
              </w:rPr>
            </w:pPr>
          </w:p>
        </w:tc>
        <w:tc>
          <w:tcPr>
            <w:tcW w:w="500" w:type="dxa"/>
            <w:vAlign w:val="bottom"/>
            <w:gridSpan w:val="3"/>
            <w:vMerge w:val="continue"/>
            <w:shd w:val="clear" w:color="auto" w:fill="CFF0FC"/>
          </w:tcPr>
          <w:p>
            <w:pPr>
              <w:spacing w:after="0"/>
              <w:rPr>
                <w:sz w:val="13"/>
                <w:szCs w:val="13"/>
                <w:color w:val="auto"/>
              </w:rPr>
            </w:pPr>
          </w:p>
        </w:tc>
        <w:tc>
          <w:tcPr>
            <w:tcW w:w="560" w:type="dxa"/>
            <w:vAlign w:val="bottom"/>
            <w:vMerge w:val="continue"/>
            <w:shd w:val="clear" w:color="auto" w:fill="CFF0FC"/>
          </w:tcPr>
          <w:p>
            <w:pPr>
              <w:spacing w:after="0"/>
              <w:rPr>
                <w:sz w:val="13"/>
                <w:szCs w:val="13"/>
                <w:color w:val="auto"/>
              </w:rPr>
            </w:pPr>
          </w:p>
        </w:tc>
        <w:tc>
          <w:tcPr>
            <w:tcW w:w="380" w:type="dxa"/>
            <w:vAlign w:val="bottom"/>
            <w:gridSpan w:val="3"/>
            <w:vMerge w:val="continue"/>
            <w:shd w:val="clear" w:color="auto" w:fill="CFF0FC"/>
          </w:tcPr>
          <w:p>
            <w:pPr>
              <w:spacing w:after="0"/>
              <w:rPr>
                <w:sz w:val="13"/>
                <w:szCs w:val="13"/>
                <w:color w:val="auto"/>
              </w:rPr>
            </w:pPr>
          </w:p>
        </w:tc>
        <w:tc>
          <w:tcPr>
            <w:tcW w:w="54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320" w:type="dxa"/>
            <w:vAlign w:val="bottom"/>
            <w:gridSpan w:val="3"/>
            <w:vMerge w:val="continue"/>
            <w:shd w:val="clear" w:color="auto" w:fill="CFF0FC"/>
          </w:tcPr>
          <w:p>
            <w:pPr>
              <w:spacing w:after="0"/>
              <w:rPr>
                <w:sz w:val="13"/>
                <w:szCs w:val="13"/>
                <w:color w:val="auto"/>
              </w:rPr>
            </w:pPr>
          </w:p>
        </w:tc>
        <w:tc>
          <w:tcPr>
            <w:tcW w:w="720" w:type="dxa"/>
            <w:vAlign w:val="bottom"/>
            <w:vMerge w:val="continue"/>
            <w:shd w:val="clear" w:color="auto" w:fill="CFF0FC"/>
          </w:tcPr>
          <w:p>
            <w:pPr>
              <w:spacing w:after="0"/>
              <w:rPr>
                <w:sz w:val="13"/>
                <w:szCs w:val="13"/>
                <w:color w:val="auto"/>
              </w:rPr>
            </w:pPr>
          </w:p>
        </w:tc>
        <w:tc>
          <w:tcPr>
            <w:tcW w:w="300" w:type="dxa"/>
            <w:vAlign w:val="bottom"/>
            <w:gridSpan w:val="3"/>
            <w:vMerge w:val="continue"/>
            <w:shd w:val="clear" w:color="auto" w:fill="CFF0FC"/>
          </w:tcPr>
          <w:p>
            <w:pPr>
              <w:spacing w:after="0"/>
              <w:rPr>
                <w:sz w:val="13"/>
                <w:szCs w:val="13"/>
                <w:color w:val="auto"/>
              </w:rPr>
            </w:pPr>
          </w:p>
        </w:tc>
        <w:tc>
          <w:tcPr>
            <w:tcW w:w="760" w:type="dxa"/>
            <w:vAlign w:val="bottom"/>
            <w:vMerge w:val="continue"/>
            <w:shd w:val="clear" w:color="auto" w:fill="CFF0FC"/>
          </w:tcPr>
          <w:p>
            <w:pPr>
              <w:spacing w:after="0"/>
              <w:rPr>
                <w:sz w:val="13"/>
                <w:szCs w:val="13"/>
                <w:color w:val="auto"/>
              </w:rPr>
            </w:pPr>
          </w:p>
        </w:tc>
        <w:tc>
          <w:tcPr>
            <w:tcW w:w="400" w:type="dxa"/>
            <w:vAlign w:val="bottom"/>
            <w:gridSpan w:val="3"/>
            <w:vMerge w:val="continue"/>
            <w:shd w:val="clear" w:color="auto" w:fill="CFF0FC"/>
          </w:tcPr>
          <w:p>
            <w:pPr>
              <w:spacing w:after="0"/>
              <w:rPr>
                <w:sz w:val="13"/>
                <w:szCs w:val="13"/>
                <w:color w:val="auto"/>
              </w:rPr>
            </w:pPr>
          </w:p>
        </w:tc>
        <w:tc>
          <w:tcPr>
            <w:tcW w:w="70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960" w:type="dxa"/>
            <w:vAlign w:val="bottom"/>
            <w:tcBorders>
              <w:top w:val="single" w:sz="8" w:color="CFF0FC"/>
            </w:tcBorders>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Current YTD Period:</w:t>
            </w: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96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Gross charge-offs</w:t>
            </w:r>
          </w:p>
        </w:tc>
        <w:tc>
          <w:tcPr>
            <w:tcW w:w="18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3"/>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3"/>
          </w:tcPr>
          <w:p>
            <w:pPr>
              <w:jc w:val="right"/>
              <w:ind w:right="28"/>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4"/>
        </w:trPr>
        <w:tc>
          <w:tcPr>
            <w:tcW w:w="1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SFR mortgage loans:</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Risk Rating:</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22,248</w:t>
            </w:r>
          </w:p>
        </w:tc>
        <w:tc>
          <w:tcPr>
            <w:tcW w:w="42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61,070</w:t>
            </w:r>
          </w:p>
        </w:tc>
        <w:tc>
          <w:tcPr>
            <w:tcW w:w="42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43,573</w:t>
            </w:r>
          </w:p>
        </w:tc>
        <w:tc>
          <w:tcPr>
            <w:tcW w:w="500" w:type="dxa"/>
            <w:vAlign w:val="bottom"/>
            <w:gridSpan w:val="3"/>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44,076</w:t>
            </w:r>
          </w:p>
        </w:tc>
        <w:tc>
          <w:tcPr>
            <w:tcW w:w="380" w:type="dxa"/>
            <w:vAlign w:val="bottom"/>
            <w:gridSpan w:val="3"/>
            <w:shd w:val="clear" w:color="auto" w:fill="CFF0FC"/>
          </w:tcPr>
          <w:p>
            <w:pPr>
              <w:jc w:val="right"/>
              <w:ind w:right="28"/>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28,049</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67,750</w:t>
            </w: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266,766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2,578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200</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324</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Doubtful &amp; Loss</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96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Total SFR mortgage</w:t>
            </w:r>
          </w:p>
        </w:tc>
        <w:tc>
          <w:tcPr>
            <w:tcW w:w="18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23,037</w:t>
            </w:r>
          </w:p>
        </w:tc>
        <w:tc>
          <w:tcPr>
            <w:tcW w:w="420" w:type="dxa"/>
            <w:vAlign w:val="bottom"/>
            <w:gridSpan w:val="3"/>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61,070</w:t>
            </w:r>
          </w:p>
        </w:tc>
        <w:tc>
          <w:tcPr>
            <w:tcW w:w="420" w:type="dxa"/>
            <w:vAlign w:val="bottom"/>
            <w:gridSpan w:val="3"/>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43,573</w:t>
            </w:r>
          </w:p>
        </w:tc>
        <w:tc>
          <w:tcPr>
            <w:tcW w:w="500" w:type="dxa"/>
            <w:vAlign w:val="bottom"/>
            <w:gridSpan w:val="3"/>
            <w:vMerge w:val="restart"/>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44,994</w:t>
            </w:r>
          </w:p>
        </w:tc>
        <w:tc>
          <w:tcPr>
            <w:tcW w:w="380" w:type="dxa"/>
            <w:vAlign w:val="bottom"/>
            <w:gridSpan w:val="3"/>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28,593</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vMerge w:val="restart"/>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68,277</w:t>
            </w:r>
          </w:p>
        </w:tc>
        <w:tc>
          <w:tcPr>
            <w:tcW w:w="32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324</w:t>
            </w:r>
          </w:p>
        </w:tc>
        <w:tc>
          <w:tcPr>
            <w:tcW w:w="400" w:type="dxa"/>
            <w:vAlign w:val="bottom"/>
            <w:gridSpan w:val="3"/>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269,868</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180" w:type="dxa"/>
            <w:vAlign w:val="bottom"/>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420" w:type="dxa"/>
            <w:vAlign w:val="bottom"/>
            <w:gridSpan w:val="3"/>
            <w:vMerge w:val="continue"/>
            <w:shd w:val="clear" w:color="auto" w:fill="CFF0FC"/>
          </w:tcPr>
          <w:p>
            <w:pPr>
              <w:spacing w:after="0"/>
              <w:rPr>
                <w:sz w:val="13"/>
                <w:szCs w:val="13"/>
                <w:color w:val="auto"/>
              </w:rPr>
            </w:pPr>
          </w:p>
        </w:tc>
        <w:tc>
          <w:tcPr>
            <w:tcW w:w="660" w:type="dxa"/>
            <w:vAlign w:val="bottom"/>
            <w:vMerge w:val="continue"/>
            <w:shd w:val="clear" w:color="auto" w:fill="CFF0FC"/>
          </w:tcPr>
          <w:p>
            <w:pPr>
              <w:spacing w:after="0"/>
              <w:rPr>
                <w:sz w:val="13"/>
                <w:szCs w:val="13"/>
                <w:color w:val="auto"/>
              </w:rPr>
            </w:pPr>
          </w:p>
        </w:tc>
        <w:tc>
          <w:tcPr>
            <w:tcW w:w="420" w:type="dxa"/>
            <w:vAlign w:val="bottom"/>
            <w:gridSpan w:val="3"/>
            <w:vMerge w:val="continue"/>
            <w:shd w:val="clear" w:color="auto" w:fill="CFF0FC"/>
          </w:tcPr>
          <w:p>
            <w:pPr>
              <w:spacing w:after="0"/>
              <w:rPr>
                <w:sz w:val="13"/>
                <w:szCs w:val="13"/>
                <w:color w:val="auto"/>
              </w:rPr>
            </w:pPr>
          </w:p>
        </w:tc>
        <w:tc>
          <w:tcPr>
            <w:tcW w:w="660" w:type="dxa"/>
            <w:vAlign w:val="bottom"/>
            <w:vMerge w:val="continue"/>
            <w:shd w:val="clear" w:color="auto" w:fill="CFF0FC"/>
          </w:tcPr>
          <w:p>
            <w:pPr>
              <w:spacing w:after="0"/>
              <w:rPr>
                <w:sz w:val="13"/>
                <w:szCs w:val="13"/>
                <w:color w:val="auto"/>
              </w:rPr>
            </w:pPr>
          </w:p>
        </w:tc>
        <w:tc>
          <w:tcPr>
            <w:tcW w:w="500" w:type="dxa"/>
            <w:vAlign w:val="bottom"/>
            <w:gridSpan w:val="3"/>
            <w:vMerge w:val="continue"/>
            <w:shd w:val="clear" w:color="auto" w:fill="CFF0FC"/>
          </w:tcPr>
          <w:p>
            <w:pPr>
              <w:spacing w:after="0"/>
              <w:rPr>
                <w:sz w:val="13"/>
                <w:szCs w:val="13"/>
                <w:color w:val="auto"/>
              </w:rPr>
            </w:pPr>
          </w:p>
        </w:tc>
        <w:tc>
          <w:tcPr>
            <w:tcW w:w="560" w:type="dxa"/>
            <w:vAlign w:val="bottom"/>
            <w:vMerge w:val="continue"/>
            <w:shd w:val="clear" w:color="auto" w:fill="CFF0FC"/>
          </w:tcPr>
          <w:p>
            <w:pPr>
              <w:spacing w:after="0"/>
              <w:rPr>
                <w:sz w:val="13"/>
                <w:szCs w:val="13"/>
                <w:color w:val="auto"/>
              </w:rPr>
            </w:pPr>
          </w:p>
        </w:tc>
        <w:tc>
          <w:tcPr>
            <w:tcW w:w="380" w:type="dxa"/>
            <w:vAlign w:val="bottom"/>
            <w:gridSpan w:val="3"/>
            <w:vMerge w:val="continue"/>
            <w:shd w:val="clear" w:color="auto" w:fill="CFF0FC"/>
          </w:tcPr>
          <w:p>
            <w:pPr>
              <w:spacing w:after="0"/>
              <w:rPr>
                <w:sz w:val="13"/>
                <w:szCs w:val="13"/>
                <w:color w:val="auto"/>
              </w:rPr>
            </w:pPr>
          </w:p>
        </w:tc>
        <w:tc>
          <w:tcPr>
            <w:tcW w:w="54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320" w:type="dxa"/>
            <w:vAlign w:val="bottom"/>
            <w:gridSpan w:val="3"/>
            <w:vMerge w:val="continue"/>
            <w:shd w:val="clear" w:color="auto" w:fill="CFF0FC"/>
          </w:tcPr>
          <w:p>
            <w:pPr>
              <w:spacing w:after="0"/>
              <w:rPr>
                <w:sz w:val="13"/>
                <w:szCs w:val="13"/>
                <w:color w:val="auto"/>
              </w:rPr>
            </w:pPr>
          </w:p>
        </w:tc>
        <w:tc>
          <w:tcPr>
            <w:tcW w:w="720" w:type="dxa"/>
            <w:vAlign w:val="bottom"/>
            <w:vMerge w:val="continue"/>
            <w:shd w:val="clear" w:color="auto" w:fill="CFF0FC"/>
          </w:tcPr>
          <w:p>
            <w:pPr>
              <w:spacing w:after="0"/>
              <w:rPr>
                <w:sz w:val="13"/>
                <w:szCs w:val="13"/>
                <w:color w:val="auto"/>
              </w:rPr>
            </w:pPr>
          </w:p>
        </w:tc>
        <w:tc>
          <w:tcPr>
            <w:tcW w:w="300" w:type="dxa"/>
            <w:vAlign w:val="bottom"/>
            <w:gridSpan w:val="3"/>
            <w:vMerge w:val="continue"/>
            <w:shd w:val="clear" w:color="auto" w:fill="CFF0FC"/>
          </w:tcPr>
          <w:p>
            <w:pPr>
              <w:spacing w:after="0"/>
              <w:rPr>
                <w:sz w:val="13"/>
                <w:szCs w:val="13"/>
                <w:color w:val="auto"/>
              </w:rPr>
            </w:pPr>
          </w:p>
        </w:tc>
        <w:tc>
          <w:tcPr>
            <w:tcW w:w="760" w:type="dxa"/>
            <w:vAlign w:val="bottom"/>
            <w:vMerge w:val="continue"/>
            <w:shd w:val="clear" w:color="auto" w:fill="CFF0FC"/>
          </w:tcPr>
          <w:p>
            <w:pPr>
              <w:spacing w:after="0"/>
              <w:rPr>
                <w:sz w:val="13"/>
                <w:szCs w:val="13"/>
                <w:color w:val="auto"/>
              </w:rPr>
            </w:pPr>
          </w:p>
        </w:tc>
        <w:tc>
          <w:tcPr>
            <w:tcW w:w="400" w:type="dxa"/>
            <w:vAlign w:val="bottom"/>
            <w:gridSpan w:val="3"/>
            <w:vMerge w:val="continue"/>
            <w:shd w:val="clear" w:color="auto" w:fill="CFF0FC"/>
          </w:tcPr>
          <w:p>
            <w:pPr>
              <w:spacing w:after="0"/>
              <w:rPr>
                <w:sz w:val="13"/>
                <w:szCs w:val="13"/>
                <w:color w:val="auto"/>
              </w:rPr>
            </w:pPr>
          </w:p>
        </w:tc>
        <w:tc>
          <w:tcPr>
            <w:tcW w:w="70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960" w:type="dxa"/>
            <w:vAlign w:val="bottom"/>
            <w:tcBorders>
              <w:top w:val="single" w:sz="8" w:color="CFF0FC"/>
            </w:tcBorders>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Current YTD Period:</w:t>
            </w: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96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Gross charge-offs</w:t>
            </w:r>
          </w:p>
        </w:tc>
        <w:tc>
          <w:tcPr>
            <w:tcW w:w="18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3"/>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3"/>
          </w:tcPr>
          <w:p>
            <w:pPr>
              <w:jc w:val="right"/>
              <w:ind w:right="28"/>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5"/>
        </w:trPr>
        <w:tc>
          <w:tcPr>
            <w:tcW w:w="1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960" w:type="dxa"/>
            <w:vAlign w:val="bottom"/>
            <w:shd w:val="clear" w:color="auto" w:fill="CFF0FC"/>
          </w:tcPr>
          <w:p>
            <w:pPr>
              <w:ind w:left="20"/>
              <w:spacing w:after="0" w:line="128" w:lineRule="exact"/>
              <w:rPr>
                <w:sz w:val="20"/>
                <w:szCs w:val="20"/>
                <w:color w:val="auto"/>
              </w:rPr>
            </w:pPr>
            <w:r>
              <w:rPr>
                <w:rFonts w:ascii="Times New Roman" w:cs="Times New Roman" w:eastAsia="Times New Roman" w:hAnsi="Times New Roman"/>
                <w:sz w:val="13"/>
                <w:szCs w:val="13"/>
                <w:b w:val="1"/>
                <w:bCs w:val="1"/>
                <w:color w:val="auto"/>
              </w:rPr>
              <w:t>Consumer and other</w:t>
            </w: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1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Risk Rating:</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4,911</w:t>
            </w:r>
          </w:p>
        </w:tc>
        <w:tc>
          <w:tcPr>
            <w:tcW w:w="42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4,122</w:t>
            </w:r>
          </w:p>
        </w:tc>
        <w:tc>
          <w:tcPr>
            <w:tcW w:w="42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2,707</w:t>
            </w:r>
          </w:p>
        </w:tc>
        <w:tc>
          <w:tcPr>
            <w:tcW w:w="500" w:type="dxa"/>
            <w:vAlign w:val="bottom"/>
            <w:gridSpan w:val="3"/>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702</w:t>
            </w:r>
          </w:p>
        </w:tc>
        <w:tc>
          <w:tcPr>
            <w:tcW w:w="380" w:type="dxa"/>
            <w:vAlign w:val="bottom"/>
            <w:gridSpan w:val="3"/>
            <w:shd w:val="clear" w:color="auto" w:fill="CFF0FC"/>
          </w:tcPr>
          <w:p>
            <w:pPr>
              <w:jc w:val="right"/>
              <w:ind w:right="28"/>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644</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486</w:t>
            </w: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38,595</w:t>
            </w:r>
          </w:p>
        </w:tc>
        <w:tc>
          <w:tcPr>
            <w:tcW w:w="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871</w:t>
            </w:r>
          </w:p>
        </w:tc>
        <w:tc>
          <w:tcPr>
            <w:tcW w:w="40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53,038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598</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611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Doubtful &amp; Loss</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96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Total Consumer and</w:t>
            </w:r>
          </w:p>
        </w:tc>
        <w:tc>
          <w:tcPr>
            <w:tcW w:w="18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4,911</w:t>
            </w:r>
          </w:p>
        </w:tc>
        <w:tc>
          <w:tcPr>
            <w:tcW w:w="420" w:type="dxa"/>
            <w:vAlign w:val="bottom"/>
            <w:gridSpan w:val="3"/>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4,122</w:t>
            </w:r>
          </w:p>
        </w:tc>
        <w:tc>
          <w:tcPr>
            <w:tcW w:w="420" w:type="dxa"/>
            <w:vAlign w:val="bottom"/>
            <w:gridSpan w:val="3"/>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2,953</w:t>
            </w:r>
          </w:p>
        </w:tc>
        <w:tc>
          <w:tcPr>
            <w:tcW w:w="500" w:type="dxa"/>
            <w:vAlign w:val="bottom"/>
            <w:gridSpan w:val="3"/>
            <w:vMerge w:val="restart"/>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702</w:t>
            </w:r>
          </w:p>
        </w:tc>
        <w:tc>
          <w:tcPr>
            <w:tcW w:w="380" w:type="dxa"/>
            <w:vAlign w:val="bottom"/>
            <w:gridSpan w:val="3"/>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644</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vMerge w:val="restart"/>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498</w:t>
            </w:r>
          </w:p>
        </w:tc>
        <w:tc>
          <w:tcPr>
            <w:tcW w:w="32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38,600</w:t>
            </w:r>
          </w:p>
        </w:tc>
        <w:tc>
          <w:tcPr>
            <w:tcW w:w="30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1,642</w:t>
            </w:r>
          </w:p>
        </w:tc>
        <w:tc>
          <w:tcPr>
            <w:tcW w:w="400" w:type="dxa"/>
            <w:vAlign w:val="bottom"/>
            <w:gridSpan w:val="3"/>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54,072</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other loans:</w:t>
            </w:r>
          </w:p>
        </w:tc>
        <w:tc>
          <w:tcPr>
            <w:tcW w:w="180" w:type="dxa"/>
            <w:vAlign w:val="bottom"/>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420" w:type="dxa"/>
            <w:vAlign w:val="bottom"/>
            <w:gridSpan w:val="3"/>
            <w:vMerge w:val="continue"/>
            <w:shd w:val="clear" w:color="auto" w:fill="CFF0FC"/>
          </w:tcPr>
          <w:p>
            <w:pPr>
              <w:spacing w:after="0"/>
              <w:rPr>
                <w:sz w:val="13"/>
                <w:szCs w:val="13"/>
                <w:color w:val="auto"/>
              </w:rPr>
            </w:pPr>
          </w:p>
        </w:tc>
        <w:tc>
          <w:tcPr>
            <w:tcW w:w="660" w:type="dxa"/>
            <w:vAlign w:val="bottom"/>
            <w:vMerge w:val="continue"/>
            <w:shd w:val="clear" w:color="auto" w:fill="CFF0FC"/>
          </w:tcPr>
          <w:p>
            <w:pPr>
              <w:spacing w:after="0"/>
              <w:rPr>
                <w:sz w:val="13"/>
                <w:szCs w:val="13"/>
                <w:color w:val="auto"/>
              </w:rPr>
            </w:pPr>
          </w:p>
        </w:tc>
        <w:tc>
          <w:tcPr>
            <w:tcW w:w="420" w:type="dxa"/>
            <w:vAlign w:val="bottom"/>
            <w:gridSpan w:val="3"/>
            <w:vMerge w:val="continue"/>
            <w:shd w:val="clear" w:color="auto" w:fill="CFF0FC"/>
          </w:tcPr>
          <w:p>
            <w:pPr>
              <w:spacing w:after="0"/>
              <w:rPr>
                <w:sz w:val="13"/>
                <w:szCs w:val="13"/>
                <w:color w:val="auto"/>
              </w:rPr>
            </w:pPr>
          </w:p>
        </w:tc>
        <w:tc>
          <w:tcPr>
            <w:tcW w:w="660" w:type="dxa"/>
            <w:vAlign w:val="bottom"/>
            <w:vMerge w:val="continue"/>
            <w:shd w:val="clear" w:color="auto" w:fill="CFF0FC"/>
          </w:tcPr>
          <w:p>
            <w:pPr>
              <w:spacing w:after="0"/>
              <w:rPr>
                <w:sz w:val="13"/>
                <w:szCs w:val="13"/>
                <w:color w:val="auto"/>
              </w:rPr>
            </w:pPr>
          </w:p>
        </w:tc>
        <w:tc>
          <w:tcPr>
            <w:tcW w:w="500" w:type="dxa"/>
            <w:vAlign w:val="bottom"/>
            <w:gridSpan w:val="3"/>
            <w:vMerge w:val="continue"/>
            <w:shd w:val="clear" w:color="auto" w:fill="CFF0FC"/>
          </w:tcPr>
          <w:p>
            <w:pPr>
              <w:spacing w:after="0"/>
              <w:rPr>
                <w:sz w:val="13"/>
                <w:szCs w:val="13"/>
                <w:color w:val="auto"/>
              </w:rPr>
            </w:pPr>
          </w:p>
        </w:tc>
        <w:tc>
          <w:tcPr>
            <w:tcW w:w="560" w:type="dxa"/>
            <w:vAlign w:val="bottom"/>
            <w:vMerge w:val="continue"/>
            <w:shd w:val="clear" w:color="auto" w:fill="CFF0FC"/>
          </w:tcPr>
          <w:p>
            <w:pPr>
              <w:spacing w:after="0"/>
              <w:rPr>
                <w:sz w:val="13"/>
                <w:szCs w:val="13"/>
                <w:color w:val="auto"/>
              </w:rPr>
            </w:pPr>
          </w:p>
        </w:tc>
        <w:tc>
          <w:tcPr>
            <w:tcW w:w="380" w:type="dxa"/>
            <w:vAlign w:val="bottom"/>
            <w:gridSpan w:val="3"/>
            <w:vMerge w:val="continue"/>
            <w:shd w:val="clear" w:color="auto" w:fill="CFF0FC"/>
          </w:tcPr>
          <w:p>
            <w:pPr>
              <w:spacing w:after="0"/>
              <w:rPr>
                <w:sz w:val="13"/>
                <w:szCs w:val="13"/>
                <w:color w:val="auto"/>
              </w:rPr>
            </w:pPr>
          </w:p>
        </w:tc>
        <w:tc>
          <w:tcPr>
            <w:tcW w:w="54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320" w:type="dxa"/>
            <w:vAlign w:val="bottom"/>
            <w:gridSpan w:val="3"/>
            <w:vMerge w:val="continue"/>
            <w:shd w:val="clear" w:color="auto" w:fill="CFF0FC"/>
          </w:tcPr>
          <w:p>
            <w:pPr>
              <w:spacing w:after="0"/>
              <w:rPr>
                <w:sz w:val="13"/>
                <w:szCs w:val="13"/>
                <w:color w:val="auto"/>
              </w:rPr>
            </w:pPr>
          </w:p>
        </w:tc>
        <w:tc>
          <w:tcPr>
            <w:tcW w:w="720" w:type="dxa"/>
            <w:vAlign w:val="bottom"/>
            <w:vMerge w:val="continue"/>
            <w:shd w:val="clear" w:color="auto" w:fill="CFF0FC"/>
          </w:tcPr>
          <w:p>
            <w:pPr>
              <w:spacing w:after="0"/>
              <w:rPr>
                <w:sz w:val="13"/>
                <w:szCs w:val="13"/>
                <w:color w:val="auto"/>
              </w:rPr>
            </w:pPr>
          </w:p>
        </w:tc>
        <w:tc>
          <w:tcPr>
            <w:tcW w:w="300" w:type="dxa"/>
            <w:vAlign w:val="bottom"/>
            <w:gridSpan w:val="3"/>
            <w:vMerge w:val="continue"/>
            <w:shd w:val="clear" w:color="auto" w:fill="CFF0FC"/>
          </w:tcPr>
          <w:p>
            <w:pPr>
              <w:spacing w:after="0"/>
              <w:rPr>
                <w:sz w:val="13"/>
                <w:szCs w:val="13"/>
                <w:color w:val="auto"/>
              </w:rPr>
            </w:pPr>
          </w:p>
        </w:tc>
        <w:tc>
          <w:tcPr>
            <w:tcW w:w="760" w:type="dxa"/>
            <w:vAlign w:val="bottom"/>
            <w:vMerge w:val="continue"/>
            <w:shd w:val="clear" w:color="auto" w:fill="CFF0FC"/>
          </w:tcPr>
          <w:p>
            <w:pPr>
              <w:spacing w:after="0"/>
              <w:rPr>
                <w:sz w:val="13"/>
                <w:szCs w:val="13"/>
                <w:color w:val="auto"/>
              </w:rPr>
            </w:pPr>
          </w:p>
        </w:tc>
        <w:tc>
          <w:tcPr>
            <w:tcW w:w="400" w:type="dxa"/>
            <w:vAlign w:val="bottom"/>
            <w:gridSpan w:val="3"/>
            <w:vMerge w:val="continue"/>
            <w:shd w:val="clear" w:color="auto" w:fill="CFF0FC"/>
          </w:tcPr>
          <w:p>
            <w:pPr>
              <w:spacing w:after="0"/>
              <w:rPr>
                <w:sz w:val="13"/>
                <w:szCs w:val="13"/>
                <w:color w:val="auto"/>
              </w:rPr>
            </w:pPr>
          </w:p>
        </w:tc>
        <w:tc>
          <w:tcPr>
            <w:tcW w:w="70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960" w:type="dxa"/>
            <w:vAlign w:val="bottom"/>
            <w:tcBorders>
              <w:top w:val="single" w:sz="8" w:color="CFF0FC"/>
            </w:tcBorders>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Current YTD Period:</w:t>
            </w: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96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Gross charge-offs</w:t>
            </w:r>
          </w:p>
        </w:tc>
        <w:tc>
          <w:tcPr>
            <w:tcW w:w="18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3"/>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3"/>
          </w:tcPr>
          <w:p>
            <w:pPr>
              <w:jc w:val="right"/>
              <w:ind w:right="28"/>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40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Loans, at amortized cost:</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Risk Rating:</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638,501</w:t>
            </w:r>
          </w:p>
        </w:tc>
        <w:tc>
          <w:tcPr>
            <w:tcW w:w="42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1,593,595</w:t>
            </w:r>
          </w:p>
        </w:tc>
        <w:tc>
          <w:tcPr>
            <w:tcW w:w="42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1,381,084</w:t>
            </w:r>
          </w:p>
        </w:tc>
        <w:tc>
          <w:tcPr>
            <w:tcW w:w="500" w:type="dxa"/>
            <w:vAlign w:val="bottom"/>
            <w:gridSpan w:val="3"/>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9"/>
              </w:rPr>
              <w:t>1,065,424</w:t>
            </w:r>
          </w:p>
        </w:tc>
        <w:tc>
          <w:tcPr>
            <w:tcW w:w="380" w:type="dxa"/>
            <w:vAlign w:val="bottom"/>
            <w:gridSpan w:val="3"/>
            <w:shd w:val="clear" w:color="auto" w:fill="CFF0FC"/>
          </w:tcPr>
          <w:p>
            <w:pPr>
              <w:jc w:val="right"/>
              <w:ind w:right="28"/>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605,169</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2,337,278</w:t>
            </w: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854,820</w:t>
            </w:r>
          </w:p>
        </w:tc>
        <w:tc>
          <w:tcPr>
            <w:tcW w:w="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44,899</w:t>
            </w:r>
          </w:p>
        </w:tc>
        <w:tc>
          <w:tcPr>
            <w:tcW w:w="40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8,520,770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12,307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6,262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18,989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25,622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49,639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80,928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82,676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5,520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281,943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744</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8,384</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2,891</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33,401</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13,824</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35,423</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5,789</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1,741</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102,197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Doubtful &amp; Loss</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960" w:type="dxa"/>
            <w:vAlign w:val="bottom"/>
            <w:tcBorders>
              <w:bottom w:val="single" w:sz="8" w:color="CFF0FC"/>
            </w:tcBorders>
            <w:shd w:val="clear" w:color="auto" w:fill="CFF0FC"/>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Total Loans at amortized cost:</w:t>
            </w:r>
          </w:p>
        </w:tc>
        <w:tc>
          <w:tcPr>
            <w:tcW w:w="18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651,552</w:t>
            </w:r>
          </w:p>
        </w:tc>
        <w:tc>
          <w:tcPr>
            <w:tcW w:w="240" w:type="dxa"/>
            <w:vAlign w:val="bottom"/>
            <w:tcBorders>
              <w:bottom w:val="single" w:sz="8" w:color="CFF0FC"/>
            </w:tcBorders>
            <w:gridSpan w:val="2"/>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ind w:right="3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1,608,241</w:t>
            </w:r>
          </w:p>
        </w:tc>
        <w:tc>
          <w:tcPr>
            <w:tcW w:w="240" w:type="dxa"/>
            <w:vAlign w:val="bottom"/>
            <w:tcBorders>
              <w:bottom w:val="single" w:sz="8" w:color="CFF0FC"/>
            </w:tcBorders>
            <w:gridSpan w:val="2"/>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ind w:right="3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1,402,964</w:t>
            </w:r>
          </w:p>
        </w:tc>
        <w:tc>
          <w:tcPr>
            <w:tcW w:w="240" w:type="dxa"/>
            <w:vAlign w:val="bottom"/>
            <w:tcBorders>
              <w:bottom w:val="single" w:sz="8" w:color="CFF0FC"/>
            </w:tcBorders>
            <w:gridSpan w:val="2"/>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jc w:val="right"/>
              <w:ind w:right="11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9"/>
              </w:rPr>
              <w:t>1,124,447</w:t>
            </w:r>
          </w:p>
        </w:tc>
        <w:tc>
          <w:tcPr>
            <w:tcW w:w="240" w:type="dxa"/>
            <w:vAlign w:val="bottom"/>
            <w:tcBorders>
              <w:bottom w:val="single" w:sz="8" w:color="CFF0FC"/>
            </w:tcBorders>
            <w:gridSpan w:val="2"/>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668,632</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ind w:right="1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2,453,629</w:t>
            </w:r>
          </w:p>
        </w:tc>
        <w:tc>
          <w:tcPr>
            <w:tcW w:w="220" w:type="dxa"/>
            <w:vAlign w:val="bottom"/>
            <w:tcBorders>
              <w:bottom w:val="single" w:sz="8" w:color="CFF0FC"/>
            </w:tcBorders>
            <w:gridSpan w:val="2"/>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943,285</w:t>
            </w:r>
          </w:p>
        </w:tc>
        <w:tc>
          <w:tcPr>
            <w:tcW w:w="200" w:type="dxa"/>
            <w:vAlign w:val="bottom"/>
            <w:tcBorders>
              <w:bottom w:val="single" w:sz="8" w:color="CFF0FC"/>
            </w:tcBorders>
            <w:gridSpan w:val="2"/>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52,160</w:t>
            </w:r>
          </w:p>
        </w:tc>
        <w:tc>
          <w:tcPr>
            <w:tcW w:w="220" w:type="dxa"/>
            <w:vAlign w:val="bottom"/>
            <w:tcBorders>
              <w:bottom w:val="single" w:sz="8" w:color="CFF0FC"/>
            </w:tcBorders>
            <w:gridSpan w:val="2"/>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ind w:right="3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8,904,910</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1960" w:type="dxa"/>
            <w:vAlign w:val="bottom"/>
          </w:tcPr>
          <w:p>
            <w:pPr>
              <w:ind w:left="20"/>
              <w:spacing w:after="0" w:line="109" w:lineRule="exact"/>
              <w:rPr>
                <w:sz w:val="20"/>
                <w:szCs w:val="20"/>
                <w:color w:val="auto"/>
              </w:rPr>
            </w:pPr>
            <w:r>
              <w:rPr>
                <w:rFonts w:ascii="Times New Roman" w:cs="Times New Roman" w:eastAsia="Times New Roman" w:hAnsi="Times New Roman"/>
                <w:sz w:val="12"/>
                <w:szCs w:val="12"/>
                <w:b w:val="1"/>
                <w:bCs w:val="1"/>
                <w:color w:val="auto"/>
              </w:rPr>
              <w:t>Current YTD Period:</w:t>
            </w:r>
          </w:p>
        </w:tc>
        <w:tc>
          <w:tcPr>
            <w:tcW w:w="180" w:type="dxa"/>
            <w:vAlign w:val="bottom"/>
            <w:vMerge w:val="restart"/>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3"/>
            <w:vMerge w:val="restart"/>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3"/>
            <w:vMerge w:val="restart"/>
          </w:tcPr>
          <w:p>
            <w:pPr>
              <w:jc w:val="right"/>
              <w:ind w:right="28"/>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292</w:t>
            </w:r>
          </w:p>
        </w:tc>
        <w:tc>
          <w:tcPr>
            <w:tcW w:w="3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113</w:t>
            </w:r>
          </w:p>
        </w:tc>
        <w:tc>
          <w:tcPr>
            <w:tcW w:w="400" w:type="dxa"/>
            <w:vAlign w:val="bottom"/>
            <w:gridSpan w:val="3"/>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405</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960" w:type="dxa"/>
            <w:vAlign w:val="bottom"/>
          </w:tcPr>
          <w:p>
            <w:pPr>
              <w:ind w:left="80"/>
              <w:spacing w:after="0" w:line="109" w:lineRule="exact"/>
              <w:rPr>
                <w:sz w:val="20"/>
                <w:szCs w:val="20"/>
                <w:color w:val="auto"/>
              </w:rPr>
            </w:pPr>
            <w:r>
              <w:rPr>
                <w:rFonts w:ascii="Times New Roman" w:cs="Times New Roman" w:eastAsia="Times New Roman" w:hAnsi="Times New Roman"/>
                <w:sz w:val="12"/>
                <w:szCs w:val="12"/>
                <w:b w:val="1"/>
                <w:bCs w:val="1"/>
                <w:color w:val="auto"/>
              </w:rPr>
              <w:t>Gross charge-offs</w:t>
            </w:r>
          </w:p>
        </w:tc>
        <w:tc>
          <w:tcPr>
            <w:tcW w:w="1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420" w:type="dxa"/>
            <w:vAlign w:val="bottom"/>
            <w:gridSpan w:val="3"/>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420" w:type="dxa"/>
            <w:vAlign w:val="bottom"/>
            <w:gridSpan w:val="3"/>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500" w:type="dxa"/>
            <w:vAlign w:val="bottom"/>
            <w:gridSpan w:val="3"/>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380" w:type="dxa"/>
            <w:vAlign w:val="bottom"/>
            <w:gridSpan w:val="3"/>
            <w:vMerge w:val="continue"/>
          </w:tcPr>
          <w:p>
            <w:pPr>
              <w:spacing w:after="0"/>
              <w:rPr>
                <w:sz w:val="11"/>
                <w:szCs w:val="11"/>
                <w:color w:val="auto"/>
              </w:rPr>
            </w:pPr>
          </w:p>
        </w:tc>
        <w:tc>
          <w:tcPr>
            <w:tcW w:w="760" w:type="dxa"/>
            <w:vAlign w:val="bottom"/>
            <w:gridSpan w:val="3"/>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320" w:type="dxa"/>
            <w:vAlign w:val="bottom"/>
            <w:gridSpan w:val="3"/>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300" w:type="dxa"/>
            <w:vAlign w:val="bottom"/>
            <w:gridSpan w:val="3"/>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400" w:type="dxa"/>
            <w:vAlign w:val="bottom"/>
            <w:gridSpan w:val="3"/>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1762125</wp:posOffset>
            </wp:positionH>
            <wp:positionV relativeFrom="paragraph">
              <wp:posOffset>-4817110</wp:posOffset>
            </wp:positionV>
            <wp:extent cx="7683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-4817110</wp:posOffset>
            </wp:positionV>
            <wp:extent cx="7683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-4817110</wp:posOffset>
            </wp:positionV>
            <wp:extent cx="7747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-4817110</wp:posOffset>
            </wp:positionV>
            <wp:extent cx="7683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-4817110</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-4817110</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-4817110</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-4817110</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-4817110</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1762125</wp:posOffset>
            </wp:positionH>
            <wp:positionV relativeFrom="paragraph">
              <wp:posOffset>-3539490</wp:posOffset>
            </wp:positionV>
            <wp:extent cx="7683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-3539490</wp:posOffset>
            </wp:positionV>
            <wp:extent cx="7683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-3539490</wp:posOffset>
            </wp:positionV>
            <wp:extent cx="7747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-3539490</wp:posOffset>
            </wp:positionV>
            <wp:extent cx="7683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-3539490</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-3539490</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-3539490</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-3539490</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-3539490</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1762125</wp:posOffset>
            </wp:positionH>
            <wp:positionV relativeFrom="paragraph">
              <wp:posOffset>-2433955</wp:posOffset>
            </wp:positionV>
            <wp:extent cx="7683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-2433955</wp:posOffset>
            </wp:positionV>
            <wp:extent cx="7683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-2433955</wp:posOffset>
            </wp:positionV>
            <wp:extent cx="7747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-2433955</wp:posOffset>
            </wp:positionV>
            <wp:extent cx="7683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-2433955</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-2433955</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-2433955</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-2433955</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-2433955</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1762125</wp:posOffset>
            </wp:positionH>
            <wp:positionV relativeFrom="paragraph">
              <wp:posOffset>-1242695</wp:posOffset>
            </wp:positionV>
            <wp:extent cx="76835"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-1242695</wp:posOffset>
            </wp:positionV>
            <wp:extent cx="7683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-1242695</wp:posOffset>
            </wp:positionV>
            <wp:extent cx="7747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-1242695</wp:posOffset>
            </wp:positionV>
            <wp:extent cx="76835"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-1242695</wp:posOffset>
            </wp:positionV>
            <wp:extent cx="6858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-1242695</wp:posOffset>
            </wp:positionV>
            <wp:extent cx="6858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-1242695</wp:posOffset>
            </wp:positionV>
            <wp:extent cx="6858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-1242695</wp:posOffset>
            </wp:positionV>
            <wp:extent cx="6858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-1242695</wp:posOffset>
            </wp:positionV>
            <wp:extent cx="6858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1762125</wp:posOffset>
            </wp:positionH>
            <wp:positionV relativeFrom="paragraph">
              <wp:posOffset>-213995</wp:posOffset>
            </wp:positionV>
            <wp:extent cx="7683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1762125</wp:posOffset>
            </wp:positionH>
            <wp:positionV relativeFrom="paragraph">
              <wp:posOffset>-196215</wp:posOffset>
            </wp:positionV>
            <wp:extent cx="7683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-213995</wp:posOffset>
            </wp:positionV>
            <wp:extent cx="7683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-196215</wp:posOffset>
            </wp:positionV>
            <wp:extent cx="7683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-213995</wp:posOffset>
            </wp:positionV>
            <wp:extent cx="7747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-196215</wp:posOffset>
            </wp:positionV>
            <wp:extent cx="7747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-213995</wp:posOffset>
            </wp:positionV>
            <wp:extent cx="7683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-196215</wp:posOffset>
            </wp:positionV>
            <wp:extent cx="7683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-213995</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-196215</wp:posOffset>
            </wp:positionV>
            <wp:extent cx="685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-213995</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-196215</wp:posOffset>
            </wp:positionV>
            <wp:extent cx="685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-213995</wp:posOffset>
            </wp:positionV>
            <wp:extent cx="685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-196215</wp:posOffset>
            </wp:positionV>
            <wp:extent cx="685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-213995</wp:posOffset>
            </wp:positionV>
            <wp:extent cx="685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-196215</wp:posOffset>
            </wp:positionV>
            <wp:extent cx="685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-213995</wp:posOffset>
            </wp:positionV>
            <wp:extent cx="685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-196215</wp:posOffset>
            </wp:positionV>
            <wp:extent cx="685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 ("ACL")</w:t>
      </w:r>
    </w:p>
    <w:p>
      <w:pPr>
        <w:spacing w:after="0" w:line="229" w:lineRule="exact"/>
        <w:rPr>
          <w:sz w:val="20"/>
          <w:szCs w:val="20"/>
          <w:color w:val="auto"/>
        </w:rPr>
      </w:pPr>
    </w:p>
    <w:p>
      <w:pPr>
        <w:ind w:right="20" w:firstLine="469"/>
        <w:spacing w:after="0" w:line="253" w:lineRule="auto"/>
        <w:rPr>
          <w:sz w:val="20"/>
          <w:szCs w:val="20"/>
          <w:color w:val="auto"/>
        </w:rPr>
      </w:pPr>
      <w:r>
        <w:rPr>
          <w:rFonts w:ascii="Times New Roman" w:cs="Times New Roman" w:eastAsia="Times New Roman" w:hAnsi="Times New Roman"/>
          <w:sz w:val="18"/>
          <w:szCs w:val="18"/>
          <w:color w:val="auto"/>
        </w:rPr>
        <w:t>The Company's allowance models calculate reserves over the average life of the loan, which includes the remaining time to maturity, adjusted for estimated prepayments applied as an adjustment to our commercial real estate and commercial and industrial loans. Our allowance for credit losses is based upon lifetime loss rate models developed from an estimation framework that uses historical lifetime loss experiences to derive loss rates at a collective pool level. We measure the expected credit losses on a collective (pooled) basis for those loans that share similar risk characteristics. We have three collective loan pools: Commercial Real Estate, Commercial and Industrial, and Consumer. A substantial portion of the ACL relates to loans within the Commercial Real Estate and Commercial and Industrial methodologies, each evaluated on a collective basis. Our ACL amounts are largely driven by portfolio characteristics, including loss history, internal risk grading, various risk attributes, and the economic outlook for certain macroeconomic variables. Risk attributes for commercial real estate loans include Original Loan to Value ratios ("OLTV"), origination year, loan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5" w:right="339" w:bottom="1440" w:gutter="0" w:footer="0" w:header="0"/>
        </w:sectPr>
      </w:pPr>
    </w:p>
    <w:bookmarkStart w:id="18" w:name="page19"/>
    <w:bookmarkEnd w:id="18"/>
    <w:p>
      <w:pPr>
        <w:ind w:right="40"/>
        <w:spacing w:after="0" w:line="252" w:lineRule="auto"/>
        <w:rPr>
          <w:sz w:val="20"/>
          <w:szCs w:val="20"/>
          <w:color w:val="auto"/>
        </w:rPr>
      </w:pPr>
      <w:r>
        <w:rPr>
          <w:rFonts w:ascii="Times New Roman" w:cs="Times New Roman" w:eastAsia="Times New Roman" w:hAnsi="Times New Roman"/>
          <w:sz w:val="18"/>
          <w:szCs w:val="18"/>
          <w:color w:val="auto"/>
        </w:rPr>
        <w:t xml:space="preserve">seasoning, and macroeconomic variables that include Real GDP growth, commercial real estate price index and unemployment rate. Risk attributes for commercial and industrial loans include internal risk ratings, borrower industry sector, loan credit spreads and macroeconomic variables that include unemployment rate and BBB spread. The macroeconomic variables for Consumer include unemployment rate and GDP. The Commercial Real Estate methodology is applied over commercial real estate loans, a portion of construction loans, and a portion of SBA loans. The Commercial and Industrial methodology is applied over a substantial portion of the Company’s commercial and industrial loans, all dairy &amp; livestock and agribusiness loans, municipal lease receivables, as well as the remaining portion of SBA loans (excluding Paycheck Protection Program loans). The Consumer methodology is applied to SFR mortgage loans, consumer loans, as well as the remaining construction loans. In addition to determining the quantitative life of loan loss rate to be applied against the amortized cost basis of the portfolio segments, management reviews current conditions and forecasts to determine whether adjustments are needed to ensure that the life of loan loss rates reflect both the current state of the portfolio, and expectations for macroeconomic changes. The Company’s ACL estimate incorporates a reasonable and supportable forecast of various macroeconomic variables over the remaining average life of our loans. This forecast incorporates an assumption that each macroeconomic variable will revert to a long-term expectation, starting in years two through three, of the reasonable and supportable forecast period, with the reversion largely completed within the first five years of the forecast. The economic forecast is based on probability weighted scenarios to address macroeconomic uncertainty. Our methodology for assessing the appropriateness of the allowance is reviewed on a regular basis and considers overall risks in the Bank’s loan portfolio. Refer to Note 3 – </w:t>
      </w:r>
      <w:r>
        <w:rPr>
          <w:rFonts w:ascii="Times New Roman" w:cs="Times New Roman" w:eastAsia="Times New Roman" w:hAnsi="Times New Roman"/>
          <w:sz w:val="18"/>
          <w:szCs w:val="18"/>
          <w:i w:val="1"/>
          <w:iCs w:val="1"/>
          <w:color w:val="auto"/>
        </w:rPr>
        <w:t>Summary of Significant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Policies </w:t>
      </w:r>
      <w:r>
        <w:rPr>
          <w:rFonts w:ascii="Times New Roman" w:cs="Times New Roman" w:eastAsia="Times New Roman" w:hAnsi="Times New Roman"/>
          <w:sz w:val="18"/>
          <w:szCs w:val="18"/>
          <w:color w:val="auto"/>
        </w:rPr>
        <w:t>included in our Annual Report on Form 10-K for the year ended December 31, 2023 for a more detailed discussion concerning the allowance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 losses.</w:t>
      </w:r>
    </w:p>
    <w:p>
      <w:pPr>
        <w:spacing w:after="0" w:line="195" w:lineRule="exact"/>
        <w:rPr>
          <w:sz w:val="20"/>
          <w:szCs w:val="20"/>
          <w:color w:val="auto"/>
        </w:rPr>
      </w:pPr>
    </w:p>
    <w:p>
      <w:pPr>
        <w:ind w:right="20" w:firstLine="469"/>
        <w:spacing w:after="0" w:line="254" w:lineRule="auto"/>
        <w:rPr>
          <w:sz w:val="20"/>
          <w:szCs w:val="20"/>
          <w:color w:val="auto"/>
        </w:rPr>
      </w:pPr>
      <w:r>
        <w:rPr>
          <w:rFonts w:ascii="Times New Roman" w:cs="Times New Roman" w:eastAsia="Times New Roman" w:hAnsi="Times New Roman"/>
          <w:sz w:val="18"/>
          <w:szCs w:val="18"/>
          <w:color w:val="auto"/>
        </w:rPr>
        <w:t>The ACL totaled $82.9 million at September 30, 2024, compared to $86.8 million at December 31, 2023. The $3.9 million decrease in the ACL from December 31, 2023 to September 30, 2024 was comprised of $3.9 million in net charge-offs. At September 30, 2024, the ACL as a percentage of total loans and leases, at amortized cost, was 0.97%. This compares to 0.98% at December 31, 2023.The majority of the net charge-offs in 2024 were related to loans in which specific loan loss reserves had been established prior to December 31, 2023. Our economic forecast continues to be a blend of multiple forecasts produced by Moody’s. These U.S. economic forecasts include a baseline forecast, as well as downside forecasts. The baseline forecast continues to represent the largest weighting in our multi-weighted forecast scenario, with downside risks weighted among multiple forecasts. As of September 30, 2024, the resulting weighted forecast resulted in Real GDP declining slightly in the fourth quarter of 2024 and continuing to be negative in the first quarter of 2025. GDP growth is forecasted to be less than 1% for all of 2025, before increasing to 1.4% in 2026, and then growth of 1.9% in 2027. Unemployment is forecasted to increase, with unemployment averaging 5.5% for all of 2025. The unemployment rate is forecasted to stay higher than 5.5% until late 2027.</w:t>
      </w:r>
    </w:p>
    <w:p>
      <w:pPr>
        <w:spacing w:after="0" w:line="188" w:lineRule="exact"/>
        <w:rPr>
          <w:sz w:val="20"/>
          <w:szCs w:val="20"/>
          <w:color w:val="auto"/>
        </w:rPr>
      </w:pPr>
    </w:p>
    <w:p>
      <w:pPr>
        <w:ind w:firstLine="469"/>
        <w:spacing w:after="0" w:line="266" w:lineRule="auto"/>
        <w:rPr>
          <w:sz w:val="20"/>
          <w:szCs w:val="20"/>
          <w:color w:val="auto"/>
        </w:rPr>
      </w:pPr>
      <w:r>
        <w:rPr>
          <w:rFonts w:ascii="Times New Roman" w:cs="Times New Roman" w:eastAsia="Times New Roman" w:hAnsi="Times New Roman"/>
          <w:sz w:val="18"/>
          <w:szCs w:val="18"/>
          <w:color w:val="auto"/>
        </w:rPr>
        <w:t>Management believes that the ACL was appropriate at September 30, 2024 and December 31, 2023. Due to inflationary pressures, high interest rates, lower commercial real estate values, and geopolitical events, no assurance can be given that economic conditions that adversely affect the Company’s service areas or other circumstances will not be reflected in increased provisions for credit losses in the future.</w:t>
      </w:r>
    </w:p>
    <w:p>
      <w:pPr>
        <w:spacing w:after="0" w:line="135" w:lineRule="exact"/>
        <w:rPr>
          <w:sz w:val="20"/>
          <w:szCs w:val="20"/>
          <w:color w:val="auto"/>
        </w:rPr>
      </w:pPr>
    </w:p>
    <w:p>
      <w:pPr>
        <w:ind w:right="200" w:firstLine="464"/>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balance and activity related to the allowance for credit losses for held-for-investment loans by type for the periods presented.</w:t>
      </w:r>
    </w:p>
    <w:p>
      <w:pPr>
        <w:sectPr>
          <w:pgSz w:w="11900" w:h="16838" w:orient="portrait"/>
          <w:cols w:equalWidth="0" w:num="1">
            <w:col w:w="11240"/>
          </w:cols>
          <w:pgMar w:left="320" w:top="109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Commercial real estate</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Construction</w:t>
      </w:r>
    </w:p>
    <w:p>
      <w:pPr>
        <w:spacing w:after="0" w:line="1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SBA</w:t>
      </w:r>
    </w:p>
    <w:p>
      <w:pPr>
        <w:spacing w:after="0" w:line="1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Commercial and industrial</w:t>
      </w:r>
    </w:p>
    <w:p>
      <w:pPr>
        <w:spacing w:after="0" w:line="1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Dairy &amp; livestock and agribusiness</w:t>
      </w:r>
    </w:p>
    <w:p>
      <w:pPr>
        <w:spacing w:after="0" w:line="1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Municipal lease finance receivables</w:t>
      </w:r>
    </w:p>
    <w:p>
      <w:pPr>
        <w:spacing w:after="0" w:line="1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SFR mortgage</w:t>
      </w:r>
    </w:p>
    <w:p>
      <w:pPr>
        <w:spacing w:after="0" w:line="1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Consumer and other loans</w:t>
      </w:r>
    </w:p>
    <w:p>
      <w:pPr>
        <w:spacing w:after="0" w:line="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Total allowance for credit losses</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1500" w:type="dxa"/>
            <w:vAlign w:val="bottom"/>
            <w:tcBorders>
              <w:top w:val="single" w:sz="8" w:color="auto"/>
            </w:tcBorders>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Ending Balance June</w:t>
            </w:r>
          </w:p>
        </w:tc>
        <w:tc>
          <w:tcPr>
            <w:tcW w:w="2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gridSpan w:val="2"/>
          </w:tcPr>
          <w:p>
            <w:pPr>
              <w:jc w:val="center"/>
              <w:ind w:right="500"/>
              <w:spacing w:after="0" w:line="131" w:lineRule="exact"/>
              <w:rPr>
                <w:sz w:val="20"/>
                <w:szCs w:val="20"/>
                <w:color w:val="auto"/>
              </w:rPr>
            </w:pPr>
            <w:r>
              <w:rPr>
                <w:rFonts w:ascii="Times New Roman" w:cs="Times New Roman" w:eastAsia="Times New Roman" w:hAnsi="Times New Roman"/>
                <w:sz w:val="14"/>
                <w:szCs w:val="14"/>
                <w:b w:val="1"/>
                <w:bCs w:val="1"/>
                <w:color w:val="auto"/>
              </w:rPr>
              <w:t>Provision for</w:t>
            </w:r>
          </w:p>
        </w:tc>
        <w:tc>
          <w:tcPr>
            <w:tcW w:w="10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Ending Balance</w:t>
            </w:r>
          </w:p>
        </w:tc>
        <w:tc>
          <w:tcPr>
            <w:tcW w:w="0" w:type="dxa"/>
            <w:vAlign w:val="bottom"/>
          </w:tcPr>
          <w:p>
            <w:pPr>
              <w:spacing w:after="0"/>
              <w:rPr>
                <w:sz w:val="1"/>
                <w:szCs w:val="1"/>
                <w:color w:val="auto"/>
              </w:rPr>
            </w:pPr>
          </w:p>
        </w:tc>
      </w:tr>
      <w:tr>
        <w:trPr>
          <w:trHeight w:val="148"/>
        </w:trPr>
        <w:tc>
          <w:tcPr>
            <w:tcW w:w="15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vMerge w:val="restart"/>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Charge-offs</w:t>
            </w:r>
          </w:p>
        </w:tc>
        <w:tc>
          <w:tcPr>
            <w:tcW w:w="200" w:type="dxa"/>
            <w:vAlign w:val="bottom"/>
          </w:tcPr>
          <w:p>
            <w:pPr>
              <w:spacing w:after="0"/>
              <w:rPr>
                <w:sz w:val="12"/>
                <w:szCs w:val="12"/>
                <w:color w:val="auto"/>
              </w:rPr>
            </w:pPr>
          </w:p>
        </w:tc>
        <w:tc>
          <w:tcPr>
            <w:tcW w:w="14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Recoveries</w:t>
            </w:r>
          </w:p>
        </w:tc>
        <w:tc>
          <w:tcPr>
            <w:tcW w:w="172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(Recapture of) Credit</w:t>
            </w:r>
          </w:p>
        </w:tc>
        <w:tc>
          <w:tcPr>
            <w:tcW w:w="10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80" w:type="dxa"/>
            <w:vAlign w:val="bottom"/>
          </w:tcPr>
          <w:p>
            <w:pPr>
              <w:spacing w:after="0"/>
              <w:rPr>
                <w:sz w:val="16"/>
                <w:szCs w:val="16"/>
                <w:color w:val="auto"/>
              </w:rPr>
            </w:pPr>
          </w:p>
        </w:tc>
        <w:tc>
          <w:tcPr>
            <w:tcW w:w="122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30, 2024</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6"/>
                <w:szCs w:val="16"/>
                <w:color w:val="auto"/>
              </w:rPr>
            </w:pPr>
          </w:p>
        </w:tc>
        <w:tc>
          <w:tcPr>
            <w:tcW w:w="13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0" w:type="dxa"/>
            <w:vAlign w:val="bottom"/>
          </w:tcPr>
          <w:p>
            <w:pPr>
              <w:spacing w:after="0"/>
              <w:rPr>
                <w:sz w:val="1"/>
                <w:szCs w:val="1"/>
                <w:color w:val="auto"/>
              </w:rPr>
            </w:pPr>
          </w:p>
        </w:tc>
      </w:tr>
      <w:tr>
        <w:trPr>
          <w:trHeight w:val="160"/>
        </w:trPr>
        <w:tc>
          <w:tcPr>
            <w:tcW w:w="28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Borders>
              <w:top w:val="single" w:sz="8" w:color="auto"/>
            </w:tcBorders>
            <w:gridSpan w:val="2"/>
          </w:tcPr>
          <w:p>
            <w:pPr>
              <w:jc w:val="right"/>
              <w:spacing w:after="0" w:line="160" w:lineRule="exact"/>
              <w:rPr>
                <w:sz w:val="20"/>
                <w:szCs w:val="20"/>
                <w:color w:val="auto"/>
              </w:rPr>
            </w:pPr>
            <w:r>
              <w:rPr>
                <w:rFonts w:ascii="Times New Roman" w:cs="Times New Roman" w:eastAsia="Times New Roman" w:hAnsi="Times New Roman"/>
                <w:sz w:val="14"/>
                <w:szCs w:val="14"/>
                <w:i w:val="1"/>
                <w:iCs w:val="1"/>
                <w:color w:val="auto"/>
              </w:rPr>
              <w:t>(Dollars in thousands)</w:t>
            </w:r>
          </w:p>
        </w:tc>
        <w:tc>
          <w:tcPr>
            <w:tcW w:w="2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69,405</w:t>
            </w:r>
          </w:p>
        </w:tc>
        <w:tc>
          <w:tcPr>
            <w:tcW w:w="48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2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69,741</w:t>
            </w:r>
          </w:p>
        </w:tc>
        <w:tc>
          <w:tcPr>
            <w:tcW w:w="0" w:type="dxa"/>
            <w:vAlign w:val="bottom"/>
          </w:tcPr>
          <w:p>
            <w:pPr>
              <w:spacing w:after="0"/>
              <w:rPr>
                <w:sz w:val="1"/>
                <w:szCs w:val="1"/>
                <w:color w:val="auto"/>
              </w:rPr>
            </w:pPr>
          </w:p>
        </w:tc>
      </w:tr>
      <w:tr>
        <w:trPr>
          <w:trHeight w:val="175"/>
        </w:trPr>
        <w:tc>
          <w:tcPr>
            <w:tcW w:w="2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788</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(391 )</w:t>
            </w: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w:t>
            </w:r>
          </w:p>
        </w:tc>
        <w:tc>
          <w:tcPr>
            <w:tcW w:w="0" w:type="dxa"/>
            <w:vAlign w:val="bottom"/>
          </w:tcPr>
          <w:p>
            <w:pPr>
              <w:spacing w:after="0"/>
              <w:rPr>
                <w:sz w:val="1"/>
                <w:szCs w:val="1"/>
                <w:color w:val="auto"/>
              </w:rPr>
            </w:pPr>
          </w:p>
        </w:tc>
      </w:tr>
      <w:tr>
        <w:trPr>
          <w:trHeight w:val="176"/>
        </w:trPr>
        <w:tc>
          <w:tcPr>
            <w:tcW w:w="2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2,496</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(26 )</w:t>
            </w:r>
          </w:p>
        </w:tc>
        <w:tc>
          <w:tcPr>
            <w:tcW w:w="2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2,508</w:t>
            </w:r>
          </w:p>
        </w:tc>
        <w:tc>
          <w:tcPr>
            <w:tcW w:w="0" w:type="dxa"/>
            <w:vAlign w:val="bottom"/>
          </w:tcPr>
          <w:p>
            <w:pPr>
              <w:spacing w:after="0"/>
              <w:rPr>
                <w:sz w:val="1"/>
                <w:szCs w:val="1"/>
                <w:color w:val="auto"/>
              </w:rPr>
            </w:pPr>
          </w:p>
        </w:tc>
      </w:tr>
      <w:tr>
        <w:trPr>
          <w:trHeight w:val="175"/>
        </w:trPr>
        <w:tc>
          <w:tcPr>
            <w:tcW w:w="2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5,103</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5,271</w:t>
            </w:r>
          </w:p>
        </w:tc>
        <w:tc>
          <w:tcPr>
            <w:tcW w:w="0" w:type="dxa"/>
            <w:vAlign w:val="bottom"/>
          </w:tcPr>
          <w:p>
            <w:pPr>
              <w:spacing w:after="0"/>
              <w:rPr>
                <w:sz w:val="1"/>
                <w:szCs w:val="1"/>
                <w:color w:val="auto"/>
              </w:rPr>
            </w:pPr>
          </w:p>
        </w:tc>
      </w:tr>
      <w:tr>
        <w:trPr>
          <w:trHeight w:val="175"/>
        </w:trPr>
        <w:tc>
          <w:tcPr>
            <w:tcW w:w="2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3,775</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3,826</w:t>
            </w:r>
          </w:p>
        </w:tc>
        <w:tc>
          <w:tcPr>
            <w:tcW w:w="0" w:type="dxa"/>
            <w:vAlign w:val="bottom"/>
          </w:tcPr>
          <w:p>
            <w:pPr>
              <w:spacing w:after="0"/>
              <w:rPr>
                <w:sz w:val="1"/>
                <w:szCs w:val="1"/>
                <w:color w:val="auto"/>
              </w:rPr>
            </w:pPr>
          </w:p>
        </w:tc>
      </w:tr>
      <w:tr>
        <w:trPr>
          <w:trHeight w:val="175"/>
        </w:trPr>
        <w:tc>
          <w:tcPr>
            <w:tcW w:w="2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0" w:type="dxa"/>
            <w:vAlign w:val="bottom"/>
          </w:tcPr>
          <w:p>
            <w:pPr>
              <w:spacing w:after="0"/>
              <w:rPr>
                <w:sz w:val="1"/>
                <w:szCs w:val="1"/>
                <w:color w:val="auto"/>
              </w:rPr>
            </w:pPr>
          </w:p>
        </w:tc>
      </w:tr>
      <w:tr>
        <w:trPr>
          <w:trHeight w:val="175"/>
        </w:trPr>
        <w:tc>
          <w:tcPr>
            <w:tcW w:w="2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(59 )</w:t>
            </w: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0" w:type="dxa"/>
            <w:vAlign w:val="bottom"/>
          </w:tcPr>
          <w:p>
            <w:pPr>
              <w:spacing w:after="0"/>
              <w:rPr>
                <w:sz w:val="1"/>
                <w:szCs w:val="1"/>
                <w:color w:val="auto"/>
              </w:rPr>
            </w:pPr>
          </w:p>
        </w:tc>
      </w:tr>
      <w:tr>
        <w:trPr>
          <w:trHeight w:val="185"/>
        </w:trPr>
        <w:tc>
          <w:tcPr>
            <w:tcW w:w="2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(17 )</w:t>
            </w: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w:t>
            </w:r>
          </w:p>
        </w:tc>
        <w:tc>
          <w:tcPr>
            <w:tcW w:w="0" w:type="dxa"/>
            <w:vAlign w:val="bottom"/>
          </w:tcPr>
          <w:p>
            <w:pPr>
              <w:spacing w:after="0"/>
              <w:rPr>
                <w:sz w:val="1"/>
                <w:szCs w:val="1"/>
                <w:color w:val="auto"/>
              </w:rPr>
            </w:pPr>
          </w:p>
        </w:tc>
      </w:tr>
      <w:tr>
        <w:trPr>
          <w:trHeight w:val="169"/>
        </w:trPr>
        <w:tc>
          <w:tcPr>
            <w:tcW w:w="28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82,786</w:t>
            </w:r>
          </w:p>
        </w:tc>
        <w:tc>
          <w:tcPr>
            <w:tcW w:w="2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2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4"/>
              </w:rPr>
              <w:t>)</w:t>
            </w: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26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82,942</w:t>
            </w:r>
          </w:p>
        </w:tc>
        <w:tc>
          <w:tcPr>
            <w:tcW w:w="0" w:type="dxa"/>
            <w:vAlign w:val="bottom"/>
          </w:tcPr>
          <w:p>
            <w:pPr>
              <w:spacing w:after="0"/>
              <w:rPr>
                <w:sz w:val="1"/>
                <w:szCs w:val="1"/>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-1780540</wp:posOffset>
            </wp:positionH>
            <wp:positionV relativeFrom="paragraph">
              <wp:posOffset>-1036320</wp:posOffset>
            </wp:positionV>
            <wp:extent cx="7054850" cy="11112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054850" cy="111125"/>
                    </a:xfrm>
                    <a:prstGeom prst="rect">
                      <a:avLst/>
                    </a:prstGeom>
                    <a:noFill/>
                  </pic:spPr>
                </pic:pic>
              </a:graphicData>
            </a:graphic>
          </wp:anchor>
        </w:drawing>
        <w:drawing>
          <wp:anchor simplePos="0" relativeHeight="251657728" behindDoc="1" locked="0" layoutInCell="0" allowOverlap="1">
            <wp:simplePos x="0" y="0"/>
            <wp:positionH relativeFrom="column">
              <wp:posOffset>-1780540</wp:posOffset>
            </wp:positionH>
            <wp:positionV relativeFrom="paragraph">
              <wp:posOffset>-814070</wp:posOffset>
            </wp:positionV>
            <wp:extent cx="7054850" cy="11112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054850" cy="111125"/>
                    </a:xfrm>
                    <a:prstGeom prst="rect">
                      <a:avLst/>
                    </a:prstGeom>
                    <a:noFill/>
                  </pic:spPr>
                </pic:pic>
              </a:graphicData>
            </a:graphic>
          </wp:anchor>
        </w:drawing>
        <w:drawing>
          <wp:anchor simplePos="0" relativeHeight="251657728" behindDoc="1" locked="0" layoutInCell="0" allowOverlap="1">
            <wp:simplePos x="0" y="0"/>
            <wp:positionH relativeFrom="column">
              <wp:posOffset>-1780540</wp:posOffset>
            </wp:positionH>
            <wp:positionV relativeFrom="paragraph">
              <wp:posOffset>-590550</wp:posOffset>
            </wp:positionV>
            <wp:extent cx="7054850" cy="11112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054850" cy="111125"/>
                    </a:xfrm>
                    <a:prstGeom prst="rect">
                      <a:avLst/>
                    </a:prstGeom>
                    <a:noFill/>
                  </pic:spPr>
                </pic:pic>
              </a:graphicData>
            </a:graphic>
          </wp:anchor>
        </w:drawing>
        <w:drawing>
          <wp:anchor simplePos="0" relativeHeight="251657728" behindDoc="1" locked="0" layoutInCell="0" allowOverlap="1">
            <wp:simplePos x="0" y="0"/>
            <wp:positionH relativeFrom="column">
              <wp:posOffset>-1780540</wp:posOffset>
            </wp:positionH>
            <wp:positionV relativeFrom="paragraph">
              <wp:posOffset>-367665</wp:posOffset>
            </wp:positionV>
            <wp:extent cx="7054850" cy="11112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054850" cy="111125"/>
                    </a:xfrm>
                    <a:prstGeom prst="rect">
                      <a:avLst/>
                    </a:prstGeom>
                    <a:noFill/>
                  </pic:spPr>
                </pic:pic>
              </a:graphicData>
            </a:graphic>
          </wp:anchor>
        </w:drawing>
        <w:drawing>
          <wp:anchor simplePos="0" relativeHeight="251657728" behindDoc="1" locked="0" layoutInCell="0" allowOverlap="1">
            <wp:simplePos x="0" y="0"/>
            <wp:positionH relativeFrom="column">
              <wp:posOffset>-1780540</wp:posOffset>
            </wp:positionH>
            <wp:positionV relativeFrom="paragraph">
              <wp:posOffset>-136525</wp:posOffset>
            </wp:positionV>
            <wp:extent cx="7054850" cy="13716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054850" cy="13716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2160" w:space="720"/>
            <w:col w:w="8360"/>
          </w:cols>
          <w:pgMar w:left="320" w:top="1093"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19" w:name="page20"/>
    <w:bookmarkEnd w:id="1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Commercial real estate</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Construction</w:t>
      </w:r>
    </w:p>
    <w:p>
      <w:pPr>
        <w:spacing w:after="0" w:line="1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SBA</w:t>
      </w:r>
    </w:p>
    <w:p>
      <w:pPr>
        <w:spacing w:after="0" w:line="1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Commercial and industrial</w:t>
      </w:r>
    </w:p>
    <w:p>
      <w:pPr>
        <w:spacing w:after="0" w:line="1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Dairy &amp; livestock and agribusiness</w:t>
      </w:r>
    </w:p>
    <w:p>
      <w:pPr>
        <w:spacing w:after="0" w:line="1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Municipal lease finance receivables</w:t>
      </w:r>
    </w:p>
    <w:p>
      <w:pPr>
        <w:spacing w:after="0" w:line="1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SFR mortgage</w:t>
      </w:r>
    </w:p>
    <w:p>
      <w:pPr>
        <w:spacing w:after="0" w:line="1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Consumer and other loans</w:t>
      </w:r>
    </w:p>
    <w:p>
      <w:pPr>
        <w:spacing w:after="0" w:line="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Total allowance for credit losses</w:t>
      </w:r>
    </w:p>
    <w:p>
      <w:pPr>
        <w:spacing w:after="0" w:line="20" w:lineRule="exact"/>
        <w:rPr>
          <w:sz w:val="20"/>
          <w:szCs w:val="20"/>
          <w:color w:val="auto"/>
        </w:rPr>
      </w:pPr>
      <w:r>
        <w:rPr>
          <w:sz w:val="20"/>
          <w:szCs w:val="20"/>
          <w:color w:val="auto"/>
        </w:rPr>
        <w:br w:type="column"/>
      </w:r>
    </w:p>
    <w:p>
      <w:pPr>
        <w:ind w:left="28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2023</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1500" w:type="dxa"/>
            <w:vAlign w:val="bottom"/>
            <w:tcBorders>
              <w:top w:val="single" w:sz="8" w:color="auto"/>
            </w:tcBorders>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Ending Balance June</w:t>
            </w:r>
          </w:p>
        </w:tc>
        <w:tc>
          <w:tcPr>
            <w:tcW w:w="2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gridSpan w:val="2"/>
          </w:tcPr>
          <w:p>
            <w:pPr>
              <w:jc w:val="center"/>
              <w:ind w:right="500"/>
              <w:spacing w:after="0" w:line="131" w:lineRule="exact"/>
              <w:rPr>
                <w:sz w:val="20"/>
                <w:szCs w:val="20"/>
                <w:color w:val="auto"/>
              </w:rPr>
            </w:pPr>
            <w:r>
              <w:rPr>
                <w:rFonts w:ascii="Times New Roman" w:cs="Times New Roman" w:eastAsia="Times New Roman" w:hAnsi="Times New Roman"/>
                <w:sz w:val="14"/>
                <w:szCs w:val="14"/>
                <w:b w:val="1"/>
                <w:bCs w:val="1"/>
                <w:color w:val="auto"/>
              </w:rPr>
              <w:t>Provision for</w:t>
            </w:r>
          </w:p>
        </w:tc>
        <w:tc>
          <w:tcPr>
            <w:tcW w:w="10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Ending Balance</w:t>
            </w:r>
          </w:p>
        </w:tc>
        <w:tc>
          <w:tcPr>
            <w:tcW w:w="0" w:type="dxa"/>
            <w:vAlign w:val="bottom"/>
          </w:tcPr>
          <w:p>
            <w:pPr>
              <w:spacing w:after="0"/>
              <w:rPr>
                <w:sz w:val="1"/>
                <w:szCs w:val="1"/>
                <w:color w:val="auto"/>
              </w:rPr>
            </w:pPr>
          </w:p>
        </w:tc>
      </w:tr>
      <w:tr>
        <w:trPr>
          <w:trHeight w:val="148"/>
        </w:trPr>
        <w:tc>
          <w:tcPr>
            <w:tcW w:w="15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vMerge w:val="restart"/>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Charge-offs</w:t>
            </w:r>
          </w:p>
        </w:tc>
        <w:tc>
          <w:tcPr>
            <w:tcW w:w="200" w:type="dxa"/>
            <w:vAlign w:val="bottom"/>
          </w:tcPr>
          <w:p>
            <w:pPr>
              <w:spacing w:after="0"/>
              <w:rPr>
                <w:sz w:val="12"/>
                <w:szCs w:val="12"/>
                <w:color w:val="auto"/>
              </w:rPr>
            </w:pPr>
          </w:p>
        </w:tc>
        <w:tc>
          <w:tcPr>
            <w:tcW w:w="14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Recoveries</w:t>
            </w:r>
          </w:p>
        </w:tc>
        <w:tc>
          <w:tcPr>
            <w:tcW w:w="172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(Recapture of) Credit</w:t>
            </w:r>
          </w:p>
        </w:tc>
        <w:tc>
          <w:tcPr>
            <w:tcW w:w="10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80" w:type="dxa"/>
            <w:vAlign w:val="bottom"/>
          </w:tcPr>
          <w:p>
            <w:pPr>
              <w:spacing w:after="0"/>
              <w:rPr>
                <w:sz w:val="16"/>
                <w:szCs w:val="16"/>
                <w:color w:val="auto"/>
              </w:rPr>
            </w:pPr>
          </w:p>
        </w:tc>
        <w:tc>
          <w:tcPr>
            <w:tcW w:w="122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30, 2023</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6"/>
                <w:szCs w:val="16"/>
                <w:color w:val="auto"/>
              </w:rPr>
            </w:pPr>
          </w:p>
        </w:tc>
        <w:tc>
          <w:tcPr>
            <w:tcW w:w="13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0" w:type="dxa"/>
            <w:vAlign w:val="bottom"/>
          </w:tcPr>
          <w:p>
            <w:pPr>
              <w:spacing w:after="0"/>
              <w:rPr>
                <w:sz w:val="1"/>
                <w:szCs w:val="1"/>
                <w:color w:val="auto"/>
              </w:rPr>
            </w:pPr>
          </w:p>
        </w:tc>
      </w:tr>
      <w:tr>
        <w:trPr>
          <w:trHeight w:val="160"/>
        </w:trPr>
        <w:tc>
          <w:tcPr>
            <w:tcW w:w="28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Borders>
              <w:top w:val="single" w:sz="8" w:color="auto"/>
            </w:tcBorders>
            <w:gridSpan w:val="2"/>
          </w:tcPr>
          <w:p>
            <w:pPr>
              <w:jc w:val="right"/>
              <w:spacing w:after="0" w:line="160" w:lineRule="exact"/>
              <w:rPr>
                <w:sz w:val="20"/>
                <w:szCs w:val="20"/>
                <w:color w:val="auto"/>
              </w:rPr>
            </w:pPr>
            <w:r>
              <w:rPr>
                <w:rFonts w:ascii="Times New Roman" w:cs="Times New Roman" w:eastAsia="Times New Roman" w:hAnsi="Times New Roman"/>
                <w:sz w:val="14"/>
                <w:szCs w:val="14"/>
                <w:i w:val="1"/>
                <w:iCs w:val="1"/>
                <w:color w:val="auto"/>
              </w:rPr>
              <w:t>(Dollars in thousands)</w:t>
            </w:r>
          </w:p>
        </w:tc>
        <w:tc>
          <w:tcPr>
            <w:tcW w:w="2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67,943</w:t>
            </w:r>
          </w:p>
        </w:tc>
        <w:tc>
          <w:tcPr>
            <w:tcW w:w="48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2,957</w:t>
            </w:r>
          </w:p>
        </w:tc>
        <w:tc>
          <w:tcPr>
            <w:tcW w:w="2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70,900</w:t>
            </w:r>
          </w:p>
        </w:tc>
        <w:tc>
          <w:tcPr>
            <w:tcW w:w="0" w:type="dxa"/>
            <w:vAlign w:val="bottom"/>
          </w:tcPr>
          <w:p>
            <w:pPr>
              <w:spacing w:after="0"/>
              <w:rPr>
                <w:sz w:val="1"/>
                <w:szCs w:val="1"/>
                <w:color w:val="auto"/>
              </w:rPr>
            </w:pPr>
          </w:p>
        </w:tc>
      </w:tr>
      <w:tr>
        <w:trPr>
          <w:trHeight w:val="176"/>
        </w:trPr>
        <w:tc>
          <w:tcPr>
            <w:tcW w:w="2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1,162</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(166 )</w:t>
            </w: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999</w:t>
            </w:r>
          </w:p>
        </w:tc>
        <w:tc>
          <w:tcPr>
            <w:tcW w:w="0" w:type="dxa"/>
            <w:vAlign w:val="bottom"/>
          </w:tcPr>
          <w:p>
            <w:pPr>
              <w:spacing w:after="0"/>
              <w:rPr>
                <w:sz w:val="1"/>
                <w:szCs w:val="1"/>
                <w:color w:val="auto"/>
              </w:rPr>
            </w:pPr>
          </w:p>
        </w:tc>
      </w:tr>
      <w:tr>
        <w:trPr>
          <w:trHeight w:val="175"/>
        </w:trPr>
        <w:tc>
          <w:tcPr>
            <w:tcW w:w="2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2,656</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(26 )</w:t>
            </w:r>
          </w:p>
        </w:tc>
        <w:tc>
          <w:tcPr>
            <w:tcW w:w="2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3,049</w:t>
            </w:r>
          </w:p>
        </w:tc>
        <w:tc>
          <w:tcPr>
            <w:tcW w:w="0" w:type="dxa"/>
            <w:vAlign w:val="bottom"/>
          </w:tcPr>
          <w:p>
            <w:pPr>
              <w:spacing w:after="0"/>
              <w:rPr>
                <w:sz w:val="1"/>
                <w:szCs w:val="1"/>
                <w:color w:val="auto"/>
              </w:rPr>
            </w:pPr>
          </w:p>
        </w:tc>
      </w:tr>
      <w:tr>
        <w:trPr>
          <w:trHeight w:val="176"/>
        </w:trPr>
        <w:tc>
          <w:tcPr>
            <w:tcW w:w="2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9,121</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9,282</w:t>
            </w:r>
          </w:p>
        </w:tc>
        <w:tc>
          <w:tcPr>
            <w:tcW w:w="0" w:type="dxa"/>
            <w:vAlign w:val="bottom"/>
          </w:tcPr>
          <w:p>
            <w:pPr>
              <w:spacing w:after="0"/>
              <w:rPr>
                <w:sz w:val="1"/>
                <w:szCs w:val="1"/>
                <w:color w:val="auto"/>
              </w:rPr>
            </w:pPr>
          </w:p>
        </w:tc>
      </w:tr>
      <w:tr>
        <w:trPr>
          <w:trHeight w:val="176"/>
        </w:trPr>
        <w:tc>
          <w:tcPr>
            <w:tcW w:w="2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4,960</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(1,396 )</w:t>
            </w: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3,567</w:t>
            </w:r>
          </w:p>
        </w:tc>
        <w:tc>
          <w:tcPr>
            <w:tcW w:w="0" w:type="dxa"/>
            <w:vAlign w:val="bottom"/>
          </w:tcPr>
          <w:p>
            <w:pPr>
              <w:spacing w:after="0"/>
              <w:rPr>
                <w:sz w:val="1"/>
                <w:szCs w:val="1"/>
                <w:color w:val="auto"/>
              </w:rPr>
            </w:pPr>
          </w:p>
        </w:tc>
      </w:tr>
      <w:tr>
        <w:trPr>
          <w:trHeight w:val="175"/>
        </w:trPr>
        <w:tc>
          <w:tcPr>
            <w:tcW w:w="2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(27 )</w:t>
            </w: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0" w:type="dxa"/>
            <w:vAlign w:val="bottom"/>
          </w:tcPr>
          <w:p>
            <w:pPr>
              <w:spacing w:after="0"/>
              <w:rPr>
                <w:sz w:val="1"/>
                <w:szCs w:val="1"/>
                <w:color w:val="auto"/>
              </w:rPr>
            </w:pPr>
          </w:p>
        </w:tc>
      </w:tr>
      <w:tr>
        <w:trPr>
          <w:trHeight w:val="176"/>
        </w:trPr>
        <w:tc>
          <w:tcPr>
            <w:tcW w:w="2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w:t>
            </w:r>
          </w:p>
        </w:tc>
        <w:tc>
          <w:tcPr>
            <w:tcW w:w="0" w:type="dxa"/>
            <w:vAlign w:val="bottom"/>
          </w:tcPr>
          <w:p>
            <w:pPr>
              <w:spacing w:after="0"/>
              <w:rPr>
                <w:sz w:val="1"/>
                <w:szCs w:val="1"/>
                <w:color w:val="auto"/>
              </w:rPr>
            </w:pPr>
          </w:p>
        </w:tc>
      </w:tr>
      <w:tr>
        <w:trPr>
          <w:trHeight w:val="185"/>
        </w:trPr>
        <w:tc>
          <w:tcPr>
            <w:tcW w:w="2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w:t>
            </w:r>
          </w:p>
        </w:tc>
        <w:tc>
          <w:tcPr>
            <w:tcW w:w="0" w:type="dxa"/>
            <w:vAlign w:val="bottom"/>
          </w:tcPr>
          <w:p>
            <w:pPr>
              <w:spacing w:after="0"/>
              <w:rPr>
                <w:sz w:val="1"/>
                <w:szCs w:val="1"/>
                <w:color w:val="auto"/>
              </w:rPr>
            </w:pPr>
          </w:p>
        </w:tc>
      </w:tr>
      <w:tr>
        <w:trPr>
          <w:trHeight w:val="169"/>
        </w:trPr>
        <w:tc>
          <w:tcPr>
            <w:tcW w:w="28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86,967</w:t>
            </w:r>
          </w:p>
        </w:tc>
        <w:tc>
          <w:tcPr>
            <w:tcW w:w="2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2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4"/>
              </w:rPr>
              <w:t>)</w:t>
            </w: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26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26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88,995</w:t>
            </w:r>
          </w:p>
        </w:tc>
        <w:tc>
          <w:tcPr>
            <w:tcW w:w="0" w:type="dxa"/>
            <w:vAlign w:val="bottom"/>
          </w:tcPr>
          <w:p>
            <w:pPr>
              <w:spacing w:after="0"/>
              <w:rPr>
                <w:sz w:val="1"/>
                <w:szCs w:val="1"/>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-1780540</wp:posOffset>
            </wp:positionH>
            <wp:positionV relativeFrom="paragraph">
              <wp:posOffset>-1036320</wp:posOffset>
            </wp:positionV>
            <wp:extent cx="7054850" cy="11112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054850" cy="111125"/>
                    </a:xfrm>
                    <a:prstGeom prst="rect">
                      <a:avLst/>
                    </a:prstGeom>
                    <a:noFill/>
                  </pic:spPr>
                </pic:pic>
              </a:graphicData>
            </a:graphic>
          </wp:anchor>
        </w:drawing>
        <w:drawing>
          <wp:anchor simplePos="0" relativeHeight="251657728" behindDoc="1" locked="0" layoutInCell="0" allowOverlap="1">
            <wp:simplePos x="0" y="0"/>
            <wp:positionH relativeFrom="column">
              <wp:posOffset>-1780540</wp:posOffset>
            </wp:positionH>
            <wp:positionV relativeFrom="paragraph">
              <wp:posOffset>-814070</wp:posOffset>
            </wp:positionV>
            <wp:extent cx="7054850" cy="11112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054850" cy="111125"/>
                    </a:xfrm>
                    <a:prstGeom prst="rect">
                      <a:avLst/>
                    </a:prstGeom>
                    <a:noFill/>
                  </pic:spPr>
                </pic:pic>
              </a:graphicData>
            </a:graphic>
          </wp:anchor>
        </w:drawing>
        <w:drawing>
          <wp:anchor simplePos="0" relativeHeight="251657728" behindDoc="1" locked="0" layoutInCell="0" allowOverlap="1">
            <wp:simplePos x="0" y="0"/>
            <wp:positionH relativeFrom="column">
              <wp:posOffset>-1780540</wp:posOffset>
            </wp:positionH>
            <wp:positionV relativeFrom="paragraph">
              <wp:posOffset>-591185</wp:posOffset>
            </wp:positionV>
            <wp:extent cx="7054850" cy="11176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054850" cy="111760"/>
                    </a:xfrm>
                    <a:prstGeom prst="rect">
                      <a:avLst/>
                    </a:prstGeom>
                    <a:noFill/>
                  </pic:spPr>
                </pic:pic>
              </a:graphicData>
            </a:graphic>
          </wp:anchor>
        </w:drawing>
        <w:drawing>
          <wp:anchor simplePos="0" relativeHeight="251657728" behindDoc="1" locked="0" layoutInCell="0" allowOverlap="1">
            <wp:simplePos x="0" y="0"/>
            <wp:positionH relativeFrom="column">
              <wp:posOffset>-1780540</wp:posOffset>
            </wp:positionH>
            <wp:positionV relativeFrom="paragraph">
              <wp:posOffset>-368300</wp:posOffset>
            </wp:positionV>
            <wp:extent cx="7054850" cy="11176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054850" cy="111760"/>
                    </a:xfrm>
                    <a:prstGeom prst="rect">
                      <a:avLst/>
                    </a:prstGeom>
                    <a:noFill/>
                  </pic:spPr>
                </pic:pic>
              </a:graphicData>
            </a:graphic>
          </wp:anchor>
        </w:drawing>
        <w:drawing>
          <wp:anchor simplePos="0" relativeHeight="251657728" behindDoc="1" locked="0" layoutInCell="0" allowOverlap="1">
            <wp:simplePos x="0" y="0"/>
            <wp:positionH relativeFrom="column">
              <wp:posOffset>-1780540</wp:posOffset>
            </wp:positionH>
            <wp:positionV relativeFrom="paragraph">
              <wp:posOffset>-136525</wp:posOffset>
            </wp:positionV>
            <wp:extent cx="7054850" cy="13716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054850" cy="137160"/>
                    </a:xfrm>
                    <a:prstGeom prst="rect">
                      <a:avLst/>
                    </a:prstGeom>
                    <a:noFill/>
                  </pic:spPr>
                </pic:pic>
              </a:graphicData>
            </a:graphic>
          </wp:anchor>
        </w:drawing>
      </w:r>
    </w:p>
    <w:p>
      <w:pPr>
        <w:spacing w:after="0" w:line="158"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p>
      <w:pPr>
        <w:spacing w:after="0" w:line="26" w:lineRule="exact"/>
        <w:rPr>
          <w:sz w:val="20"/>
          <w:szCs w:val="20"/>
          <w:color w:val="auto"/>
        </w:rPr>
      </w:pPr>
    </w:p>
    <w:p>
      <w:pPr>
        <w:sectPr>
          <w:pgSz w:w="11900" w:h="16838" w:orient="portrait"/>
          <w:cols w:equalWidth="0" w:num="2">
            <w:col w:w="2160" w:space="720"/>
            <w:col w:w="8300"/>
          </w:cols>
          <w:pgMar w:left="320" w:top="1316" w:right="399" w:bottom="1440" w:gutter="0" w:footer="0" w:header="0"/>
        </w:sectPr>
      </w:pPr>
    </w:p>
    <w:tbl>
      <w:tblPr>
        <w:tblLayout w:type="fixed"/>
        <w:tblInd w:w="80" w:type="dxa"/>
        <w:tblCellMar>
          <w:top w:w="0" w:type="dxa"/>
          <w:left w:w="0" w:type="dxa"/>
          <w:bottom w:w="0" w:type="dxa"/>
          <w:right w:w="0" w:type="dxa"/>
        </w:tblCellMar>
      </w:tblPr>
      <w:tr>
        <w:trPr>
          <w:trHeight w:val="131"/>
        </w:trPr>
        <w:tc>
          <w:tcPr>
            <w:tcW w:w="28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vMerge w:val="restart"/>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Ending Balance</w:t>
            </w:r>
          </w:p>
        </w:tc>
        <w:tc>
          <w:tcPr>
            <w:tcW w:w="2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gridSpan w:val="2"/>
          </w:tcPr>
          <w:p>
            <w:pPr>
              <w:jc w:val="center"/>
              <w:ind w:right="500"/>
              <w:spacing w:after="0" w:line="131" w:lineRule="exact"/>
              <w:rPr>
                <w:sz w:val="20"/>
                <w:szCs w:val="20"/>
                <w:color w:val="auto"/>
              </w:rPr>
            </w:pPr>
            <w:r>
              <w:rPr>
                <w:rFonts w:ascii="Times New Roman" w:cs="Times New Roman" w:eastAsia="Times New Roman" w:hAnsi="Times New Roman"/>
                <w:sz w:val="14"/>
                <w:szCs w:val="14"/>
                <w:b w:val="1"/>
                <w:bCs w:val="1"/>
                <w:color w:val="auto"/>
              </w:rPr>
              <w:t>Provision for</w:t>
            </w:r>
          </w:p>
        </w:tc>
        <w:tc>
          <w:tcPr>
            <w:tcW w:w="10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Ending Balance</w:t>
            </w:r>
          </w:p>
        </w:tc>
        <w:tc>
          <w:tcPr>
            <w:tcW w:w="10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Charge-offs</w:t>
            </w:r>
          </w:p>
        </w:tc>
        <w:tc>
          <w:tcPr>
            <w:tcW w:w="200" w:type="dxa"/>
            <w:vAlign w:val="bottom"/>
          </w:tcPr>
          <w:p>
            <w:pPr>
              <w:spacing w:after="0"/>
              <w:rPr>
                <w:sz w:val="12"/>
                <w:szCs w:val="12"/>
                <w:color w:val="auto"/>
              </w:rPr>
            </w:pPr>
          </w:p>
        </w:tc>
        <w:tc>
          <w:tcPr>
            <w:tcW w:w="14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Recoveries</w:t>
            </w:r>
          </w:p>
        </w:tc>
        <w:tc>
          <w:tcPr>
            <w:tcW w:w="172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(Recapture of) Credit</w:t>
            </w:r>
          </w:p>
        </w:tc>
        <w:tc>
          <w:tcPr>
            <w:tcW w:w="10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6"/>
                <w:szCs w:val="16"/>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0" w:type="dxa"/>
            <w:vAlign w:val="bottom"/>
          </w:tcPr>
          <w:p>
            <w:pPr>
              <w:spacing w:after="0"/>
              <w:rPr>
                <w:sz w:val="1"/>
                <w:szCs w:val="1"/>
                <w:color w:val="auto"/>
              </w:rPr>
            </w:pPr>
          </w:p>
        </w:tc>
      </w:tr>
      <w:tr>
        <w:trPr>
          <w:trHeight w:val="169"/>
        </w:trPr>
        <w:tc>
          <w:tcPr>
            <w:tcW w:w="28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8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Commercial real estate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69,466</w:t>
            </w:r>
          </w:p>
        </w:tc>
        <w:tc>
          <w:tcPr>
            <w:tcW w:w="4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(2,258 )</w:t>
            </w: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2,533</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69,741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Construction</w:t>
            </w:r>
          </w:p>
        </w:tc>
        <w:tc>
          <w:tcPr>
            <w:tcW w:w="1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1,277</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(885 )</w:t>
            </w: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SBA</w:t>
            </w:r>
          </w:p>
        </w:tc>
        <w:tc>
          <w:tcPr>
            <w:tcW w:w="12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2,679</w:t>
            </w: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(165 )</w:t>
            </w:r>
          </w:p>
        </w:tc>
        <w:tc>
          <w:tcPr>
            <w:tcW w:w="20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2,508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Commercial and industrial</w:t>
            </w:r>
          </w:p>
        </w:tc>
        <w:tc>
          <w:tcPr>
            <w:tcW w:w="1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9,116</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(1,917 )</w:t>
            </w:r>
          </w:p>
        </w:tc>
        <w:tc>
          <w:tcPr>
            <w:tcW w:w="2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(2,217 )</w:t>
            </w: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Dairy &amp; livestock and agribusiness</w:t>
            </w:r>
          </w:p>
        </w:tc>
        <w:tc>
          <w:tcPr>
            <w:tcW w:w="12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3,098</w:t>
            </w: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728</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3,826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Municipal lease finance receivables</w:t>
            </w:r>
          </w:p>
        </w:tc>
        <w:tc>
          <w:tcPr>
            <w:tcW w:w="1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(24 )</w:t>
            </w: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SFR mortgage</w:t>
            </w:r>
          </w:p>
        </w:tc>
        <w:tc>
          <w:tcPr>
            <w:tcW w:w="12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535</w:t>
            </w: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(96 )</w:t>
            </w:r>
          </w:p>
        </w:tc>
        <w:tc>
          <w:tcPr>
            <w:tcW w:w="10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Consumer and other loans</w:t>
            </w:r>
          </w:p>
        </w:tc>
        <w:tc>
          <w:tcPr>
            <w:tcW w:w="1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(4 )</w:t>
            </w:r>
          </w:p>
        </w:tc>
        <w:tc>
          <w:tcPr>
            <w:tcW w:w="200" w:type="dxa"/>
            <w:vAlign w:val="bottom"/>
          </w:tcPr>
          <w:p>
            <w:pPr>
              <w:spacing w:after="0"/>
              <w:rPr>
                <w:sz w:val="15"/>
                <w:szCs w:val="15"/>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800" w:type="dxa"/>
            <w:vAlign w:val="bottom"/>
            <w:shd w:val="clear" w:color="auto" w:fill="CFF0FC"/>
          </w:tcPr>
          <w:p>
            <w:pPr>
              <w:ind w:left="180"/>
              <w:spacing w:after="0" w:line="155" w:lineRule="exact"/>
              <w:rPr>
                <w:sz w:val="20"/>
                <w:szCs w:val="20"/>
                <w:color w:val="auto"/>
              </w:rPr>
            </w:pPr>
            <w:r>
              <w:rPr>
                <w:rFonts w:ascii="Times New Roman" w:cs="Times New Roman" w:eastAsia="Times New Roman" w:hAnsi="Times New Roman"/>
                <w:sz w:val="14"/>
                <w:szCs w:val="14"/>
                <w:color w:val="auto"/>
              </w:rPr>
              <w:t>Total allowance for credit losses</w:t>
            </w:r>
          </w:p>
        </w:tc>
        <w:tc>
          <w:tcPr>
            <w:tcW w:w="12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86,842</w:t>
            </w:r>
          </w:p>
        </w:tc>
        <w:tc>
          <w:tcPr>
            <w:tcW w:w="280" w:type="dxa"/>
            <w:vAlign w:val="bottom"/>
            <w:shd w:val="clear" w:color="auto" w:fill="CFF0FC"/>
          </w:tcPr>
          <w:p>
            <w:pPr>
              <w:spacing w:after="0"/>
              <w:rPr>
                <w:sz w:val="16"/>
                <w:szCs w:val="16"/>
                <w:color w:val="auto"/>
              </w:rPr>
            </w:pPr>
          </w:p>
        </w:tc>
        <w:tc>
          <w:tcPr>
            <w:tcW w:w="200" w:type="dxa"/>
            <w:vAlign w:val="bottom"/>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gridSpan w:val="2"/>
            <w:shd w:val="clear" w:color="auto" w:fill="CFF0FC"/>
          </w:tcPr>
          <w:p>
            <w:pPr>
              <w:jc w:val="right"/>
              <w:ind w:right="200"/>
              <w:spacing w:after="0" w:line="155" w:lineRule="exact"/>
              <w:rPr>
                <w:sz w:val="20"/>
                <w:szCs w:val="20"/>
                <w:color w:val="auto"/>
              </w:rPr>
            </w:pPr>
            <w:r>
              <w:rPr>
                <w:rFonts w:ascii="Times New Roman" w:cs="Times New Roman" w:eastAsia="Times New Roman" w:hAnsi="Times New Roman"/>
                <w:sz w:val="14"/>
                <w:szCs w:val="14"/>
                <w:color w:val="auto"/>
              </w:rPr>
              <w:t>(4,344 )</w:t>
            </w:r>
          </w:p>
        </w:tc>
        <w:tc>
          <w:tcPr>
            <w:tcW w:w="200" w:type="dxa"/>
            <w:vAlign w:val="bottom"/>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444</w:t>
            </w:r>
          </w:p>
        </w:tc>
        <w:tc>
          <w:tcPr>
            <w:tcW w:w="260" w:type="dxa"/>
            <w:vAlign w:val="bottom"/>
            <w:shd w:val="clear" w:color="auto" w:fill="CFF0FC"/>
          </w:tcPr>
          <w:p>
            <w:pPr>
              <w:spacing w:after="0"/>
              <w:rPr>
                <w:sz w:val="16"/>
                <w:szCs w:val="16"/>
                <w:color w:val="auto"/>
              </w:rPr>
            </w:pPr>
          </w:p>
        </w:tc>
        <w:tc>
          <w:tcPr>
            <w:tcW w:w="200" w:type="dxa"/>
            <w:vAlign w:val="bottom"/>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gridSpan w:val="2"/>
            <w:shd w:val="clear" w:color="auto" w:fill="CFF0FC"/>
          </w:tcPr>
          <w:p>
            <w:pPr>
              <w:jc w:val="right"/>
              <w:ind w:right="28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82,942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8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8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4740" w:type="dxa"/>
            <w:vAlign w:val="bottom"/>
            <w:tcBorders>
              <w:bottom w:val="single" w:sz="8" w:color="auto"/>
            </w:tcBorders>
            <w:gridSpan w:val="8"/>
          </w:tcPr>
          <w:p>
            <w:pPr>
              <w:jc w:val="right"/>
              <w:ind w:right="1400"/>
              <w:spacing w:after="0"/>
              <w:rPr>
                <w:sz w:val="20"/>
                <w:szCs w:val="20"/>
                <w:color w:val="auto"/>
              </w:rPr>
            </w:pPr>
            <w:r>
              <w:rPr>
                <w:rFonts w:ascii="Times New Roman" w:cs="Times New Roman" w:eastAsia="Times New Roman" w:hAnsi="Times New Roman"/>
                <w:sz w:val="14"/>
                <w:szCs w:val="14"/>
                <w:b w:val="1"/>
                <w:bCs w:val="1"/>
                <w:color w:val="auto"/>
              </w:rPr>
              <w:t>Nine Months Ended September 30, 2023</w:t>
            </w:r>
          </w:p>
        </w:tc>
        <w:tc>
          <w:tcPr>
            <w:tcW w:w="1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1"/>
        </w:trPr>
        <w:tc>
          <w:tcPr>
            <w:tcW w:w="2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vMerge w:val="restart"/>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Ending Balance</w:t>
            </w: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20" w:type="dxa"/>
            <w:vAlign w:val="bottom"/>
            <w:gridSpan w:val="2"/>
          </w:tcPr>
          <w:p>
            <w:pPr>
              <w:jc w:val="center"/>
              <w:ind w:right="500"/>
              <w:spacing w:after="0" w:line="131" w:lineRule="exact"/>
              <w:rPr>
                <w:sz w:val="20"/>
                <w:szCs w:val="20"/>
                <w:color w:val="auto"/>
              </w:rPr>
            </w:pPr>
            <w:r>
              <w:rPr>
                <w:rFonts w:ascii="Times New Roman" w:cs="Times New Roman" w:eastAsia="Times New Roman" w:hAnsi="Times New Roman"/>
                <w:sz w:val="14"/>
                <w:szCs w:val="14"/>
                <w:b w:val="1"/>
                <w:bCs w:val="1"/>
                <w:color w:val="auto"/>
              </w:rPr>
              <w:t>Provision for</w:t>
            </w:r>
          </w:p>
        </w:tc>
        <w:tc>
          <w:tcPr>
            <w:tcW w:w="100" w:type="dxa"/>
            <w:vAlign w:val="bottom"/>
          </w:tcPr>
          <w:p>
            <w:pPr>
              <w:spacing w:after="0"/>
              <w:rPr>
                <w:sz w:val="11"/>
                <w:szCs w:val="11"/>
                <w:color w:val="auto"/>
              </w:rPr>
            </w:pPr>
          </w:p>
        </w:tc>
        <w:tc>
          <w:tcPr>
            <w:tcW w:w="14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Ending Balance</w:t>
            </w:r>
          </w:p>
        </w:tc>
        <w:tc>
          <w:tcPr>
            <w:tcW w:w="0" w:type="dxa"/>
            <w:vAlign w:val="bottom"/>
          </w:tcPr>
          <w:p>
            <w:pPr>
              <w:spacing w:after="0"/>
              <w:rPr>
                <w:sz w:val="1"/>
                <w:szCs w:val="1"/>
                <w:color w:val="auto"/>
              </w:rPr>
            </w:pPr>
          </w:p>
        </w:tc>
      </w:tr>
      <w:tr>
        <w:trPr>
          <w:trHeight w:val="148"/>
        </w:trPr>
        <w:tc>
          <w:tcPr>
            <w:tcW w:w="2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Charge-offs</w:t>
            </w:r>
          </w:p>
        </w:tc>
        <w:tc>
          <w:tcPr>
            <w:tcW w:w="200" w:type="dxa"/>
            <w:vAlign w:val="bottom"/>
          </w:tcPr>
          <w:p>
            <w:pPr>
              <w:spacing w:after="0"/>
              <w:rPr>
                <w:sz w:val="12"/>
                <w:szCs w:val="12"/>
                <w:color w:val="auto"/>
              </w:rPr>
            </w:pPr>
          </w:p>
        </w:tc>
        <w:tc>
          <w:tcPr>
            <w:tcW w:w="14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Recoveries</w:t>
            </w:r>
          </w:p>
        </w:tc>
        <w:tc>
          <w:tcPr>
            <w:tcW w:w="172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(Recapture of) Credit</w:t>
            </w:r>
          </w:p>
        </w:tc>
        <w:tc>
          <w:tcPr>
            <w:tcW w:w="1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6"/>
                <w:szCs w:val="16"/>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0" w:type="dxa"/>
            <w:vAlign w:val="bottom"/>
          </w:tcPr>
          <w:p>
            <w:pPr>
              <w:spacing w:after="0"/>
              <w:rPr>
                <w:sz w:val="1"/>
                <w:szCs w:val="1"/>
                <w:color w:val="auto"/>
              </w:rPr>
            </w:pPr>
          </w:p>
        </w:tc>
      </w:tr>
      <w:tr>
        <w:trPr>
          <w:trHeight w:val="169"/>
        </w:trPr>
        <w:tc>
          <w:tcPr>
            <w:tcW w:w="28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8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Commercial real estate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64,806</w:t>
            </w:r>
          </w:p>
        </w:tc>
        <w:tc>
          <w:tcPr>
            <w:tcW w:w="4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6,094</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70,900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Construction</w:t>
            </w:r>
          </w:p>
        </w:tc>
        <w:tc>
          <w:tcPr>
            <w:tcW w:w="1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1,702</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(712 )</w:t>
            </w: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SBA</w:t>
            </w:r>
          </w:p>
        </w:tc>
        <w:tc>
          <w:tcPr>
            <w:tcW w:w="12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2,809</w:t>
            </w: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(207 )</w:t>
            </w:r>
          </w:p>
        </w:tc>
        <w:tc>
          <w:tcPr>
            <w:tcW w:w="20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378</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3,049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Commercial and industrial</w:t>
            </w:r>
          </w:p>
        </w:tc>
        <w:tc>
          <w:tcPr>
            <w:tcW w:w="1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10,206</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(16 )</w:t>
            </w:r>
          </w:p>
        </w:tc>
        <w:tc>
          <w:tcPr>
            <w:tcW w:w="2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(922 )</w:t>
            </w: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9,282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Dairy &amp; livestock and agribusiness</w:t>
            </w:r>
          </w:p>
        </w:tc>
        <w:tc>
          <w:tcPr>
            <w:tcW w:w="12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4,400</w:t>
            </w: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(843 )</w:t>
            </w:r>
          </w:p>
        </w:tc>
        <w:tc>
          <w:tcPr>
            <w:tcW w:w="10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3,567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Municipal lease finance receivables</w:t>
            </w:r>
          </w:p>
        </w:tc>
        <w:tc>
          <w:tcPr>
            <w:tcW w:w="1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(50 )</w:t>
            </w: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SFR mortgage</w:t>
            </w:r>
          </w:p>
        </w:tc>
        <w:tc>
          <w:tcPr>
            <w:tcW w:w="12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Consumer and other loans</w:t>
            </w:r>
          </w:p>
        </w:tc>
        <w:tc>
          <w:tcPr>
            <w:tcW w:w="1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(1 )</w:t>
            </w:r>
          </w:p>
        </w:tc>
        <w:tc>
          <w:tcPr>
            <w:tcW w:w="200" w:type="dxa"/>
            <w:vAlign w:val="bottom"/>
          </w:tcPr>
          <w:p>
            <w:pPr>
              <w:spacing w:after="0"/>
              <w:rPr>
                <w:sz w:val="15"/>
                <w:szCs w:val="15"/>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(104 )</w:t>
            </w: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800" w:type="dxa"/>
            <w:vAlign w:val="bottom"/>
            <w:shd w:val="clear" w:color="auto" w:fill="CFF0FC"/>
          </w:tcPr>
          <w:p>
            <w:pPr>
              <w:ind w:left="180"/>
              <w:spacing w:after="0" w:line="155" w:lineRule="exact"/>
              <w:rPr>
                <w:sz w:val="20"/>
                <w:szCs w:val="20"/>
                <w:color w:val="auto"/>
              </w:rPr>
            </w:pPr>
            <w:r>
              <w:rPr>
                <w:rFonts w:ascii="Times New Roman" w:cs="Times New Roman" w:eastAsia="Times New Roman" w:hAnsi="Times New Roman"/>
                <w:sz w:val="14"/>
                <w:szCs w:val="14"/>
                <w:color w:val="auto"/>
              </w:rPr>
              <w:t>Total allowance for credit losses</w:t>
            </w:r>
          </w:p>
        </w:tc>
        <w:tc>
          <w:tcPr>
            <w:tcW w:w="12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85,117</w:t>
            </w:r>
          </w:p>
        </w:tc>
        <w:tc>
          <w:tcPr>
            <w:tcW w:w="280" w:type="dxa"/>
            <w:vAlign w:val="bottom"/>
            <w:shd w:val="clear" w:color="auto" w:fill="CFF0FC"/>
          </w:tcPr>
          <w:p>
            <w:pPr>
              <w:spacing w:after="0"/>
              <w:rPr>
                <w:sz w:val="16"/>
                <w:szCs w:val="16"/>
                <w:color w:val="auto"/>
              </w:rPr>
            </w:pPr>
          </w:p>
        </w:tc>
        <w:tc>
          <w:tcPr>
            <w:tcW w:w="200" w:type="dxa"/>
            <w:vAlign w:val="bottom"/>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gridSpan w:val="2"/>
            <w:shd w:val="clear" w:color="auto" w:fill="CFF0FC"/>
          </w:tcPr>
          <w:p>
            <w:pPr>
              <w:jc w:val="right"/>
              <w:ind w:right="200"/>
              <w:spacing w:after="0" w:line="155" w:lineRule="exact"/>
              <w:rPr>
                <w:sz w:val="20"/>
                <w:szCs w:val="20"/>
                <w:color w:val="auto"/>
              </w:rPr>
            </w:pPr>
            <w:r>
              <w:rPr>
                <w:rFonts w:ascii="Times New Roman" w:cs="Times New Roman" w:eastAsia="Times New Roman" w:hAnsi="Times New Roman"/>
                <w:sz w:val="14"/>
                <w:szCs w:val="14"/>
                <w:color w:val="auto"/>
              </w:rPr>
              <w:t>(224 )</w:t>
            </w:r>
          </w:p>
        </w:tc>
        <w:tc>
          <w:tcPr>
            <w:tcW w:w="200" w:type="dxa"/>
            <w:vAlign w:val="bottom"/>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102</w:t>
            </w:r>
          </w:p>
        </w:tc>
        <w:tc>
          <w:tcPr>
            <w:tcW w:w="260" w:type="dxa"/>
            <w:vAlign w:val="bottom"/>
            <w:shd w:val="clear" w:color="auto" w:fill="CFF0FC"/>
          </w:tcPr>
          <w:p>
            <w:pPr>
              <w:spacing w:after="0"/>
              <w:rPr>
                <w:sz w:val="16"/>
                <w:szCs w:val="16"/>
                <w:color w:val="auto"/>
              </w:rPr>
            </w:pPr>
          </w:p>
        </w:tc>
        <w:tc>
          <w:tcPr>
            <w:tcW w:w="200" w:type="dxa"/>
            <w:vAlign w:val="bottom"/>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4,000</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88,995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8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-1662430</wp:posOffset>
            </wp:positionV>
            <wp:extent cx="76835"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-1645285</wp:posOffset>
            </wp:positionV>
            <wp:extent cx="7683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-1662430</wp:posOffset>
            </wp:positionV>
            <wp:extent cx="6858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-1645285</wp:posOffset>
            </wp:positionV>
            <wp:extent cx="685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-1662430</wp:posOffset>
            </wp:positionV>
            <wp:extent cx="6858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-1645285</wp:posOffset>
            </wp:positionV>
            <wp:extent cx="6858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-1662430</wp:posOffset>
            </wp:positionV>
            <wp:extent cx="6858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-1645285</wp:posOffset>
            </wp:positionV>
            <wp:extent cx="6858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-1662430</wp:posOffset>
            </wp:positionV>
            <wp:extent cx="6858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-1645285</wp:posOffset>
            </wp:positionV>
            <wp:extent cx="6858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-24765</wp:posOffset>
            </wp:positionV>
            <wp:extent cx="7683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-7620</wp:posOffset>
            </wp:positionV>
            <wp:extent cx="7683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-24765</wp:posOffset>
            </wp:positionV>
            <wp:extent cx="6858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-7620</wp:posOffset>
            </wp:positionV>
            <wp:extent cx="6858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-24765</wp:posOffset>
            </wp:positionV>
            <wp:extent cx="6858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-7620</wp:posOffset>
            </wp:positionV>
            <wp:extent cx="6858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-24765</wp:posOffset>
            </wp:positionV>
            <wp:extent cx="6858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-7620</wp:posOffset>
            </wp:positionV>
            <wp:extent cx="6858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-24765</wp:posOffset>
            </wp:positionV>
            <wp:extent cx="6858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-7620</wp:posOffset>
            </wp:positionV>
            <wp:extent cx="6858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Past Due and Nonperforming Loans</w:t>
      </w:r>
    </w:p>
    <w:p>
      <w:pPr>
        <w:spacing w:after="0" w:line="216" w:lineRule="exact"/>
        <w:rPr>
          <w:sz w:val="20"/>
          <w:szCs w:val="20"/>
          <w:color w:val="auto"/>
        </w:rPr>
      </w:pPr>
    </w:p>
    <w:p>
      <w:pPr>
        <w:ind w:right="20" w:firstLine="469"/>
        <w:spacing w:after="0" w:line="254" w:lineRule="auto"/>
        <w:rPr>
          <w:sz w:val="20"/>
          <w:szCs w:val="20"/>
          <w:color w:val="auto"/>
        </w:rPr>
      </w:pPr>
      <w:r>
        <w:rPr>
          <w:rFonts w:ascii="Times New Roman" w:cs="Times New Roman" w:eastAsia="Times New Roman" w:hAnsi="Times New Roman"/>
          <w:sz w:val="17"/>
          <w:szCs w:val="17"/>
          <w:color w:val="auto"/>
        </w:rPr>
        <w:t>We seek to manage asset quality and control credit risk through diversification of the loan portfolio and the application of policies designed to promote sound underwriting and loan monitoring practices. The Bank’s Credit Management Division is responsible for monitoring asset quality, establishing credit policies and procedures and enforcing the consistent application of these policies and procedures across the Bank. Reviews of nonperforming, past due loans and larger credits, designed to identify potential charges to the allowance for credit losses, are conducted on an ongoing basis. These reviews consider such factors as the financial strength of borrowers and any guarantors, the value of the applicable collateral, loan loss experience, estimated credit losses, growth in the loan portfolio, prevailing economic conditions and other factors. Refer to Note 3 – Summary of Significant Accounting Policies, included in our Annual Report on Form 10-K for the year ended December 31, 2023, for additional discussion concerning the Bank’s policy for past due and nonperforming loans.</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16" w:right="399" w:bottom="1440" w:gutter="0" w:footer="0" w:header="0"/>
          <w:type w:val="continuous"/>
        </w:sectPr>
      </w:pPr>
    </w:p>
    <w:bookmarkStart w:id="20" w:name="page21"/>
    <w:bookmarkEnd w:id="20"/>
    <w:p>
      <w:pPr>
        <w:ind w:right="520" w:firstLine="464"/>
        <w:spacing w:after="0" w:line="281" w:lineRule="auto"/>
        <w:rPr>
          <w:sz w:val="20"/>
          <w:szCs w:val="20"/>
          <w:color w:val="auto"/>
        </w:rPr>
      </w:pPr>
      <w:r>
        <w:rPr>
          <w:rFonts w:ascii="Times New Roman" w:cs="Times New Roman" w:eastAsia="Times New Roman" w:hAnsi="Times New Roman"/>
          <w:sz w:val="17"/>
          <w:szCs w:val="17"/>
          <w:color w:val="auto"/>
        </w:rPr>
        <w:t>The following table presents the recorded investment in, and the aging of, past due loans (including nonaccrual loans), by type of loans as of the dates presented.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0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080" w:type="dxa"/>
            <w:vAlign w:val="bottom"/>
          </w:tcPr>
          <w:p>
            <w:pPr>
              <w:spacing w:after="0"/>
              <w:rPr>
                <w:sz w:val="11"/>
                <w:szCs w:val="11"/>
                <w:color w:val="auto"/>
              </w:rPr>
            </w:pPr>
          </w:p>
        </w:tc>
        <w:tc>
          <w:tcPr>
            <w:tcW w:w="118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30-59 Days Past</w:t>
            </w:r>
          </w:p>
        </w:tc>
        <w:tc>
          <w:tcPr>
            <w:tcW w:w="240" w:type="dxa"/>
            <w:vAlign w:val="bottom"/>
          </w:tcPr>
          <w:p>
            <w:pPr>
              <w:spacing w:after="0"/>
              <w:rPr>
                <w:sz w:val="11"/>
                <w:szCs w:val="11"/>
                <w:color w:val="auto"/>
              </w:rPr>
            </w:pPr>
          </w:p>
        </w:tc>
        <w:tc>
          <w:tcPr>
            <w:tcW w:w="116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60-89 Days Past</w:t>
            </w:r>
          </w:p>
        </w:tc>
        <w:tc>
          <w:tcPr>
            <w:tcW w:w="220" w:type="dxa"/>
            <w:vAlign w:val="bottom"/>
          </w:tcPr>
          <w:p>
            <w:pPr>
              <w:spacing w:after="0"/>
              <w:rPr>
                <w:sz w:val="11"/>
                <w:szCs w:val="11"/>
                <w:color w:val="auto"/>
              </w:rPr>
            </w:pPr>
          </w:p>
        </w:tc>
        <w:tc>
          <w:tcPr>
            <w:tcW w:w="114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Greater than 89</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Loans Not Past</w:t>
            </w:r>
          </w:p>
        </w:tc>
        <w:tc>
          <w:tcPr>
            <w:tcW w:w="220" w:type="dxa"/>
            <w:vAlign w:val="bottom"/>
          </w:tcPr>
          <w:p>
            <w:pPr>
              <w:spacing w:after="0"/>
              <w:rPr>
                <w:sz w:val="11"/>
                <w:szCs w:val="11"/>
                <w:color w:val="auto"/>
              </w:rPr>
            </w:pPr>
          </w:p>
        </w:tc>
        <w:tc>
          <w:tcPr>
            <w:tcW w:w="116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Total Loans and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Days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Total Past Due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Financing</w:t>
            </w:r>
          </w:p>
        </w:tc>
        <w:tc>
          <w:tcPr>
            <w:tcW w:w="0" w:type="dxa"/>
            <w:vAlign w:val="bottom"/>
          </w:tcPr>
          <w:p>
            <w:pPr>
              <w:spacing w:after="0"/>
              <w:rPr>
                <w:sz w:val="1"/>
                <w:szCs w:val="1"/>
                <w:color w:val="auto"/>
              </w:rPr>
            </w:pPr>
          </w:p>
        </w:tc>
      </w:tr>
      <w:tr>
        <w:trPr>
          <w:trHeight w:val="187"/>
        </w:trPr>
        <w:tc>
          <w:tcPr>
            <w:tcW w:w="30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Due</w:t>
            </w: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Due</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Due</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Receivables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20" w:type="dxa"/>
            <w:vAlign w:val="bottom"/>
            <w:gridSpan w:val="4"/>
          </w:tcPr>
          <w:p>
            <w:pPr>
              <w:jc w:val="right"/>
              <w:ind w:right="568"/>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Commercial real estate</w:t>
            </w:r>
          </w:p>
        </w:tc>
        <w:tc>
          <w:tcPr>
            <w:tcW w:w="28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Owner occupied</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1,051</w:t>
            </w:r>
          </w:p>
        </w:tc>
        <w:tc>
          <w:tcPr>
            <w:tcW w:w="5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736</w:t>
            </w:r>
          </w:p>
        </w:tc>
        <w:tc>
          <w:tcPr>
            <w:tcW w:w="4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2,361,999</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2,364,384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Non-owner occupied</w:t>
            </w:r>
          </w:p>
        </w:tc>
        <w:tc>
          <w:tcPr>
            <w:tcW w:w="2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12,899</w:t>
            </w: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23,928</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10,283</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47,110</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4,207,143</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4,254,253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Construction</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Speculative (1)</w:t>
            </w:r>
          </w:p>
        </w:tc>
        <w:tc>
          <w:tcPr>
            <w:tcW w:w="2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7,892</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7,892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Non-speculative</w:t>
            </w: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6,863</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6,863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SBA</w:t>
            </w:r>
          </w:p>
        </w:tc>
        <w:tc>
          <w:tcPr>
            <w:tcW w:w="2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271,849</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272,001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SBA - PPP</w:t>
            </w: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1,255</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2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2,619</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2,683</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933,806</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936,489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Dairy &amp; livestock and agribusiness</w:t>
            </w: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342,303</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342,445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Municipal lease finance receivables</w:t>
            </w:r>
          </w:p>
        </w:tc>
        <w:tc>
          <w:tcPr>
            <w:tcW w:w="2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67,585</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67,585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SFR mortgage</w:t>
            </w: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267,181</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267,181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8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Consumer and other loans</w:t>
            </w:r>
          </w:p>
        </w:tc>
        <w:tc>
          <w:tcPr>
            <w:tcW w:w="28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52,217</w:t>
            </w:r>
          </w:p>
        </w:tc>
        <w:tc>
          <w:tcPr>
            <w:tcW w:w="2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52,217</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0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Total loans</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14,059</w:t>
            </w:r>
          </w:p>
        </w:tc>
        <w:tc>
          <w:tcPr>
            <w:tcW w:w="5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24,788</w:t>
            </w:r>
          </w:p>
        </w:tc>
        <w:tc>
          <w:tcPr>
            <w:tcW w:w="4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13,625</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52,472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8,520,093</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8,572,565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-145415</wp:posOffset>
            </wp:positionV>
            <wp:extent cx="7683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-145415</wp:posOffset>
            </wp:positionV>
            <wp:extent cx="6858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-145415</wp:posOffset>
            </wp:positionV>
            <wp:extent cx="6858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-145415</wp:posOffset>
            </wp:positionV>
            <wp:extent cx="6858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-145415</wp:posOffset>
            </wp:positionV>
            <wp:extent cx="6858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9" w:lineRule="exact"/>
        <w:rPr>
          <w:sz w:val="20"/>
          <w:szCs w:val="20"/>
          <w:color w:val="auto"/>
        </w:rPr>
      </w:pPr>
    </w:p>
    <w:p>
      <w:pPr>
        <w:ind w:left="760" w:hanging="378"/>
        <w:spacing w:after="0"/>
        <w:tabs>
          <w:tab w:leader="none" w:pos="7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Speculative construction loans are generally for properties where there is no identified buyer or renter.</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100" w:type="dxa"/>
            <w:vAlign w:val="bottom"/>
          </w:tcPr>
          <w:p>
            <w:pPr>
              <w:spacing w:after="0"/>
              <w:rPr>
                <w:sz w:val="11"/>
                <w:szCs w:val="11"/>
                <w:color w:val="auto"/>
              </w:rPr>
            </w:pPr>
          </w:p>
        </w:tc>
        <w:tc>
          <w:tcPr>
            <w:tcW w:w="118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30-59 Days Past</w:t>
            </w:r>
          </w:p>
        </w:tc>
        <w:tc>
          <w:tcPr>
            <w:tcW w:w="240" w:type="dxa"/>
            <w:vAlign w:val="bottom"/>
          </w:tcPr>
          <w:p>
            <w:pPr>
              <w:spacing w:after="0"/>
              <w:rPr>
                <w:sz w:val="11"/>
                <w:szCs w:val="11"/>
                <w:color w:val="auto"/>
              </w:rPr>
            </w:pPr>
          </w:p>
        </w:tc>
        <w:tc>
          <w:tcPr>
            <w:tcW w:w="116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60-89 Days Past</w:t>
            </w:r>
          </w:p>
        </w:tc>
        <w:tc>
          <w:tcPr>
            <w:tcW w:w="220" w:type="dxa"/>
            <w:vAlign w:val="bottom"/>
          </w:tcPr>
          <w:p>
            <w:pPr>
              <w:spacing w:after="0"/>
              <w:rPr>
                <w:sz w:val="11"/>
                <w:szCs w:val="11"/>
                <w:color w:val="auto"/>
              </w:rPr>
            </w:pPr>
          </w:p>
        </w:tc>
        <w:tc>
          <w:tcPr>
            <w:tcW w:w="114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Greater than 89</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Loans Not Past</w:t>
            </w:r>
          </w:p>
        </w:tc>
        <w:tc>
          <w:tcPr>
            <w:tcW w:w="220" w:type="dxa"/>
            <w:vAlign w:val="bottom"/>
          </w:tcPr>
          <w:p>
            <w:pPr>
              <w:spacing w:after="0"/>
              <w:rPr>
                <w:sz w:val="11"/>
                <w:szCs w:val="11"/>
                <w:color w:val="auto"/>
              </w:rPr>
            </w:pPr>
          </w:p>
        </w:tc>
        <w:tc>
          <w:tcPr>
            <w:tcW w:w="116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Total Loans and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Days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Total Past Due</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Financing</w:t>
            </w:r>
          </w:p>
        </w:tc>
        <w:tc>
          <w:tcPr>
            <w:tcW w:w="0" w:type="dxa"/>
            <w:vAlign w:val="bottom"/>
          </w:tcPr>
          <w:p>
            <w:pPr>
              <w:spacing w:after="0"/>
              <w:rPr>
                <w:sz w:val="1"/>
                <w:szCs w:val="1"/>
                <w:color w:val="auto"/>
              </w:rPr>
            </w:pPr>
          </w:p>
        </w:tc>
      </w:tr>
      <w:tr>
        <w:trPr>
          <w:trHeight w:val="187"/>
        </w:trPr>
        <w:tc>
          <w:tcPr>
            <w:tcW w:w="3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Due</w:t>
            </w: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Due</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Due</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Receivables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20" w:type="dxa"/>
            <w:vAlign w:val="bottom"/>
            <w:gridSpan w:val="4"/>
          </w:tcPr>
          <w:p>
            <w:pPr>
              <w:jc w:val="right"/>
              <w:ind w:right="568"/>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Commercial real estate</w:t>
            </w:r>
          </w:p>
        </w:tc>
        <w:tc>
          <w:tcPr>
            <w:tcW w:w="28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Owner occupied</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5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2,505</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2,430,447</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2,433,252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Non-owner occupied</w:t>
            </w:r>
          </w:p>
        </w:tc>
        <w:tc>
          <w:tcPr>
            <w:tcW w:w="2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531</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547</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4,350,706</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4,351,253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Construction</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Speculative (1)</w:t>
            </w:r>
          </w:p>
        </w:tc>
        <w:tc>
          <w:tcPr>
            <w:tcW w:w="2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57,921</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57,921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Non-speculative</w:t>
            </w: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8,813</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SBA</w:t>
            </w:r>
          </w:p>
        </w:tc>
        <w:tc>
          <w:tcPr>
            <w:tcW w:w="2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969</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1,077</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269,542</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270,619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SBA - PPP</w:t>
            </w: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2,736</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2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4,253</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4,265</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965,630</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969,895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Dairy &amp; livestock and agribusiness</w:t>
            </w: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412,891</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412,891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Municipal lease finance receivables</w:t>
            </w:r>
          </w:p>
        </w:tc>
        <w:tc>
          <w:tcPr>
            <w:tcW w:w="2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73,590</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73,590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SFR mortgage</w:t>
            </w: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269,667</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269,868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0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Consumer and other loans</w:t>
            </w:r>
          </w:p>
        </w:tc>
        <w:tc>
          <w:tcPr>
            <w:tcW w:w="28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4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54,054</w:t>
            </w:r>
          </w:p>
        </w:tc>
        <w:tc>
          <w:tcPr>
            <w:tcW w:w="2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54,072</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1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Total loans</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w:t>
            </w:r>
          </w:p>
        </w:tc>
        <w:tc>
          <w:tcPr>
            <w:tcW w:w="5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40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8,258</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8,913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8,895,997</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8,904,910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-145415</wp:posOffset>
            </wp:positionV>
            <wp:extent cx="7683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-145415</wp:posOffset>
            </wp:positionV>
            <wp:extent cx="6858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-145415</wp:posOffset>
            </wp:positionV>
            <wp:extent cx="6858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-145415</wp:posOffset>
            </wp:positionV>
            <wp:extent cx="6858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-145415</wp:posOffset>
            </wp:positionV>
            <wp:extent cx="6858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left="760" w:hanging="378"/>
        <w:spacing w:after="0"/>
        <w:tabs>
          <w:tab w:leader="none" w:pos="7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Speculative construction loans are generally for properties where there is no identified buyer or renter.</w:t>
      </w:r>
    </w:p>
    <w:p>
      <w:pPr>
        <w:spacing w:after="0" w:line="230"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sectPr>
      </w:pPr>
    </w:p>
    <w:bookmarkStart w:id="21" w:name="page22"/>
    <w:bookmarkEnd w:id="21"/>
    <w:p>
      <w:pPr>
        <w:ind w:right="160" w:firstLine="469"/>
        <w:spacing w:after="0" w:line="282" w:lineRule="auto"/>
        <w:rPr>
          <w:sz w:val="20"/>
          <w:szCs w:val="20"/>
          <w:color w:val="auto"/>
        </w:rPr>
      </w:pPr>
      <w:r>
        <w:rPr>
          <w:rFonts w:ascii="Times New Roman" w:cs="Times New Roman" w:eastAsia="Times New Roman" w:hAnsi="Times New Roman"/>
          <w:sz w:val="18"/>
          <w:szCs w:val="18"/>
          <w:color w:val="auto"/>
        </w:rPr>
        <w:t>Amortized cost of our finance receivables and loans that are on nonaccrual status, including loans with no allowance are presented as of September 30, 2024 and December 31, 2023 by type of loan.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1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07"/>
        </w:trPr>
        <w:tc>
          <w:tcPr>
            <w:tcW w:w="6160" w:type="dxa"/>
            <w:vAlign w:val="bottom"/>
          </w:tcPr>
          <w:p>
            <w:pPr>
              <w:spacing w:after="0"/>
              <w:rPr>
                <w:sz w:val="18"/>
                <w:szCs w:val="18"/>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Nonaccrual with</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Loans Past Due</w:t>
            </w:r>
          </w:p>
        </w:tc>
        <w:tc>
          <w:tcPr>
            <w:tcW w:w="100" w:type="dxa"/>
            <w:vAlign w:val="bottom"/>
          </w:tcPr>
          <w:p>
            <w:pPr>
              <w:spacing w:after="0"/>
              <w:rPr>
                <w:sz w:val="18"/>
                <w:szCs w:val="18"/>
                <w:color w:val="auto"/>
              </w:rPr>
            </w:pPr>
          </w:p>
        </w:tc>
      </w:tr>
      <w:tr>
        <w:trPr>
          <w:trHeight w:val="216"/>
        </w:trPr>
        <w:tc>
          <w:tcPr>
            <w:tcW w:w="616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 Allowance for</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Total Nonaccrual</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Over 89 Days</w:t>
            </w:r>
          </w:p>
        </w:tc>
      </w:tr>
      <w:tr>
        <w:trPr>
          <w:trHeight w:val="245"/>
        </w:trPr>
        <w:tc>
          <w:tcPr>
            <w:tcW w:w="6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Credit Losses</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(1) (3)</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Still Accruing</w:t>
            </w:r>
          </w:p>
        </w:tc>
      </w:tr>
      <w:tr>
        <w:trPr>
          <w:trHeight w:val="233"/>
        </w:trPr>
        <w:tc>
          <w:tcPr>
            <w:tcW w:w="61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53"/>
        </w:trPr>
        <w:tc>
          <w:tcPr>
            <w:tcW w:w="6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5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Owner occupied</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Non-owner occupied</w:t>
            </w:r>
          </w:p>
        </w:tc>
        <w:tc>
          <w:tcPr>
            <w:tcW w:w="1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18,196</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18,196</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Speculative (2)</w:t>
            </w:r>
          </w:p>
        </w:tc>
        <w:tc>
          <w:tcPr>
            <w:tcW w:w="1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Non-speculative</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1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SBA</w:t>
            </w:r>
          </w:p>
        </w:tc>
        <w:tc>
          <w:tcPr>
            <w:tcW w:w="1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SBA - PPP</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1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2,686</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2,825</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Dairy &amp; livestock and agribusiness</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1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Municipal lease finance receivables</w:t>
            </w:r>
          </w:p>
        </w:tc>
        <w:tc>
          <w:tcPr>
            <w:tcW w:w="1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SFR mortgage</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16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Consumer and other loans</w:t>
            </w:r>
          </w:p>
        </w:tc>
        <w:tc>
          <w:tcPr>
            <w:tcW w:w="12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loans</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21,774</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21,913</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-187960</wp:posOffset>
            </wp:positionV>
            <wp:extent cx="7747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6858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9" w:lineRule="exact"/>
        <w:rPr>
          <w:sz w:val="20"/>
          <w:szCs w:val="20"/>
          <w:color w:val="auto"/>
        </w:rPr>
      </w:pPr>
    </w:p>
    <w:p>
      <w:pPr>
        <w:ind w:left="760" w:right="280" w:hanging="378"/>
        <w:spacing w:after="0" w:line="269" w:lineRule="auto"/>
        <w:tabs>
          <w:tab w:leader="none" w:pos="7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September 30, 2024, $206,000 of nonaccruing loans were current, $8.0 million were 30-59 days past due, $60,000 were 60-89 days past due, and $13.6 million were 90+ days past due.</w:t>
      </w:r>
    </w:p>
    <w:p>
      <w:pPr>
        <w:ind w:left="760" w:hanging="378"/>
        <w:spacing w:after="0"/>
        <w:tabs>
          <w:tab w:leader="none" w:pos="7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Speculative construction loans are generally for properties where there is no identified buyer or renter.</w:t>
      </w:r>
    </w:p>
    <w:p>
      <w:pPr>
        <w:spacing w:after="0" w:line="18"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$165,000 of guaranteed portion of nonaccrual SBA loans that are in process of collection.</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3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07"/>
        </w:trPr>
        <w:tc>
          <w:tcPr>
            <w:tcW w:w="632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Nonaccrual with</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Loans Past Due</w:t>
            </w:r>
          </w:p>
        </w:tc>
        <w:tc>
          <w:tcPr>
            <w:tcW w:w="100" w:type="dxa"/>
            <w:vAlign w:val="bottom"/>
          </w:tcPr>
          <w:p>
            <w:pPr>
              <w:spacing w:after="0"/>
              <w:rPr>
                <w:sz w:val="18"/>
                <w:szCs w:val="18"/>
                <w:color w:val="auto"/>
              </w:rPr>
            </w:pPr>
          </w:p>
        </w:tc>
      </w:tr>
      <w:tr>
        <w:trPr>
          <w:trHeight w:val="216"/>
        </w:trPr>
        <w:tc>
          <w:tcPr>
            <w:tcW w:w="632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 Allowance for</w:t>
            </w:r>
          </w:p>
        </w:tc>
        <w:tc>
          <w:tcPr>
            <w:tcW w:w="300" w:type="dxa"/>
            <w:vAlign w:val="bottom"/>
          </w:tcPr>
          <w:p>
            <w:pPr>
              <w:spacing w:after="0"/>
              <w:rPr>
                <w:sz w:val="18"/>
                <w:szCs w:val="18"/>
                <w:color w:val="auto"/>
              </w:rPr>
            </w:pPr>
          </w:p>
        </w:tc>
        <w:tc>
          <w:tcPr>
            <w:tcW w:w="170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Total Nonaccrual</w:t>
            </w:r>
          </w:p>
        </w:tc>
        <w:tc>
          <w:tcPr>
            <w:tcW w:w="14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Over 89 Days</w:t>
            </w:r>
          </w:p>
        </w:tc>
      </w:tr>
      <w:tr>
        <w:trPr>
          <w:trHeight w:val="245"/>
        </w:trPr>
        <w:tc>
          <w:tcPr>
            <w:tcW w:w="63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Credit Losses</w:t>
            </w:r>
          </w:p>
        </w:tc>
        <w:tc>
          <w:tcPr>
            <w:tcW w:w="3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(1)</w:t>
            </w:r>
          </w:p>
        </w:tc>
        <w:tc>
          <w:tcPr>
            <w:tcW w:w="2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Still Accruing</w:t>
            </w:r>
          </w:p>
        </w:tc>
        <w:tc>
          <w:tcPr>
            <w:tcW w:w="100" w:type="dxa"/>
            <w:vAlign w:val="bottom"/>
          </w:tcPr>
          <w:p>
            <w:pPr>
              <w:spacing w:after="0"/>
              <w:rPr>
                <w:sz w:val="21"/>
                <w:szCs w:val="21"/>
                <w:color w:val="auto"/>
              </w:rPr>
            </w:pPr>
          </w:p>
        </w:tc>
      </w:tr>
      <w:tr>
        <w:trPr>
          <w:trHeight w:val="233"/>
        </w:trPr>
        <w:tc>
          <w:tcPr>
            <w:tcW w:w="6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0" w:type="dxa"/>
            <w:vAlign w:val="bottom"/>
            <w:gridSpan w:val="4"/>
          </w:tcPr>
          <w:p>
            <w:pPr>
              <w:jc w:val="cente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3"/>
        </w:trPr>
        <w:tc>
          <w:tcPr>
            <w:tcW w:w="6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4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Owner occupied</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2,505</w:t>
            </w:r>
          </w:p>
        </w:tc>
        <w:tc>
          <w:tcPr>
            <w:tcW w:w="6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2,505</w:t>
            </w:r>
          </w:p>
        </w:tc>
        <w:tc>
          <w:tcPr>
            <w:tcW w:w="2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Non-owner occupied</w:t>
            </w:r>
          </w:p>
        </w:tc>
        <w:tc>
          <w:tcPr>
            <w:tcW w:w="14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12,935</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Speculative (2)</w:t>
            </w:r>
          </w:p>
        </w:tc>
        <w:tc>
          <w:tcPr>
            <w:tcW w:w="14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Non-speculative</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38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3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SBA</w:t>
            </w:r>
          </w:p>
        </w:tc>
        <w:tc>
          <w:tcPr>
            <w:tcW w:w="14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SBA - PPP</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38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3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4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4,509</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Dairy &amp; livestock and agribusiness</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3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Municipal lease finance receivables</w:t>
            </w:r>
          </w:p>
        </w:tc>
        <w:tc>
          <w:tcPr>
            <w:tcW w:w="14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SFR mortgage</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32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Consumer and other loans</w:t>
            </w:r>
          </w:p>
        </w:tc>
        <w:tc>
          <w:tcPr>
            <w:tcW w:w="14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ind w:left="10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loans</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5,131</w:t>
            </w:r>
          </w:p>
        </w:tc>
        <w:tc>
          <w:tcPr>
            <w:tcW w:w="6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21,302</w:t>
            </w:r>
          </w:p>
        </w:tc>
        <w:tc>
          <w:tcPr>
            <w:tcW w:w="2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-187960</wp:posOffset>
            </wp:positionV>
            <wp:extent cx="6858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-187960</wp:posOffset>
            </wp:positionV>
            <wp:extent cx="6858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ind w:left="760" w:hanging="378"/>
        <w:spacing w:after="0"/>
        <w:tabs>
          <w:tab w:leader="none" w:pos="7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2023, $13.0 million of nonaccruing loans were current, $16,000 were 30-59 days past due, and $8.3 million were 90+ days past due.</w:t>
      </w:r>
    </w:p>
    <w:p>
      <w:pPr>
        <w:spacing w:after="0" w:line="2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Speculative construction loans are generally for properties where there is no identified buyer or renter.</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Collateral Dependent Loans</w:t>
      </w:r>
    </w:p>
    <w:p>
      <w:pPr>
        <w:spacing w:after="0" w:line="229" w:lineRule="exact"/>
        <w:rPr>
          <w:sz w:val="20"/>
          <w:szCs w:val="20"/>
          <w:color w:val="auto"/>
        </w:rPr>
      </w:pPr>
    </w:p>
    <w:p>
      <w:pPr>
        <w:ind w:right="220" w:firstLine="464"/>
        <w:spacing w:after="0" w:line="266" w:lineRule="auto"/>
        <w:rPr>
          <w:sz w:val="20"/>
          <w:szCs w:val="20"/>
          <w:color w:val="auto"/>
        </w:rPr>
      </w:pPr>
      <w:r>
        <w:rPr>
          <w:rFonts w:ascii="Times New Roman" w:cs="Times New Roman" w:eastAsia="Times New Roman" w:hAnsi="Times New Roman"/>
          <w:sz w:val="18"/>
          <w:szCs w:val="18"/>
          <w:color w:val="auto"/>
        </w:rPr>
        <w:t>A loan is considered collateral-dependent when the borrower is experiencing financial difficulty and repayment is expected to be provided substantially through the operation or sale of the collateral. The following table presents the recorded investment in collateral-dependent loans by type of loans as of the dates presented.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0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3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Number of Loans</w:t>
            </w:r>
          </w:p>
        </w:tc>
      </w:tr>
      <w:tr>
        <w:trPr>
          <w:trHeight w:val="200"/>
        </w:trPr>
        <w:tc>
          <w:tcPr>
            <w:tcW w:w="4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Dependent on</w:t>
            </w:r>
          </w:p>
        </w:tc>
      </w:tr>
      <w:tr>
        <w:trPr>
          <w:trHeight w:val="225"/>
        </w:trPr>
        <w:tc>
          <w:tcPr>
            <w:tcW w:w="4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Real Estate</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Business Assets</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80" w:type="dxa"/>
            <w:vAlign w:val="bottom"/>
          </w:tcPr>
          <w:p>
            <w:pPr>
              <w:spacing w:after="0"/>
              <w:rPr>
                <w:sz w:val="19"/>
                <w:szCs w:val="19"/>
                <w:color w:val="auto"/>
              </w:rPr>
            </w:pP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Collateral</w:t>
            </w:r>
          </w:p>
        </w:tc>
      </w:tr>
      <w:tr>
        <w:trPr>
          <w:trHeight w:val="221"/>
        </w:trPr>
        <w:tc>
          <w:tcPr>
            <w:tcW w:w="40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(Dollars</w:t>
            </w:r>
          </w:p>
        </w:tc>
        <w:tc>
          <w:tcPr>
            <w:tcW w:w="3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w:t>
            </w:r>
          </w:p>
        </w:tc>
        <w:tc>
          <w:tcPr>
            <w:tcW w:w="15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i w:val="1"/>
                <w:iCs w:val="1"/>
                <w:color w:val="auto"/>
              </w:rPr>
              <w:t>thousands)</w:t>
            </w:r>
          </w:p>
        </w:tc>
        <w:tc>
          <w:tcPr>
            <w:tcW w:w="280" w:type="dxa"/>
            <w:vAlign w:val="bottom"/>
          </w:tcPr>
          <w:p>
            <w:pPr>
              <w:spacing w:after="0"/>
              <w:rPr>
                <w:sz w:val="19"/>
                <w:szCs w:val="19"/>
                <w:color w:val="auto"/>
              </w:rPr>
            </w:pPr>
          </w:p>
        </w:tc>
        <w:tc>
          <w:tcPr>
            <w:tcW w:w="1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Commercial real estate</w:t>
            </w: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18,794</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FF0FC"/>
          </w:tcPr>
          <w:p>
            <w:pPr>
              <w:spacing w:after="0"/>
              <w:rPr>
                <w:sz w:val="20"/>
                <w:szCs w:val="20"/>
                <w:color w:val="auto"/>
              </w:rPr>
            </w:pPr>
          </w:p>
        </w:tc>
      </w:tr>
      <w:tr>
        <w:trPr>
          <w:trHeight w:val="220"/>
        </w:trPr>
        <w:tc>
          <w:tcPr>
            <w:tcW w:w="4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Construction</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ind w:left="1000"/>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Pr>
          <w:p>
            <w:pPr>
              <w:spacing w:after="0"/>
              <w:rPr>
                <w:sz w:val="19"/>
                <w:szCs w:val="19"/>
                <w:color w:val="auto"/>
              </w:rPr>
            </w:pP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SBA</w:t>
            </w:r>
          </w:p>
        </w:tc>
        <w:tc>
          <w:tcPr>
            <w:tcW w:w="24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3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3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8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FF0FC"/>
          </w:tcPr>
          <w:p>
            <w:pPr>
              <w:spacing w:after="0"/>
              <w:rPr>
                <w:sz w:val="20"/>
                <w:szCs w:val="20"/>
                <w:color w:val="auto"/>
              </w:rPr>
            </w:pPr>
          </w:p>
        </w:tc>
      </w:tr>
      <w:tr>
        <w:trPr>
          <w:trHeight w:val="220"/>
        </w:trPr>
        <w:tc>
          <w:tcPr>
            <w:tcW w:w="4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SBA - PPP</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ind w:left="1000"/>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Pr>
          <w:p>
            <w:pPr>
              <w:spacing w:after="0"/>
              <w:rPr>
                <w:sz w:val="19"/>
                <w:szCs w:val="19"/>
                <w:color w:val="auto"/>
              </w:rPr>
            </w:pP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24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3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2,744</w:t>
            </w:r>
          </w:p>
        </w:tc>
        <w:tc>
          <w:tcPr>
            <w:tcW w:w="3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8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FF0FC"/>
          </w:tcPr>
          <w:p>
            <w:pPr>
              <w:spacing w:after="0"/>
              <w:rPr>
                <w:sz w:val="20"/>
                <w:szCs w:val="20"/>
                <w:color w:val="auto"/>
              </w:rPr>
            </w:pPr>
          </w:p>
        </w:tc>
      </w:tr>
      <w:tr>
        <w:trPr>
          <w:trHeight w:val="220"/>
        </w:trPr>
        <w:tc>
          <w:tcPr>
            <w:tcW w:w="4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Dairy &amp; livestock and agribusiness</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ind w:left="1000"/>
              <w:spacing w:after="0"/>
              <w:rPr>
                <w:sz w:val="20"/>
                <w:szCs w:val="20"/>
                <w:color w:val="auto"/>
              </w:rPr>
            </w:pPr>
            <w:r>
              <w:rPr>
                <w:rFonts w:ascii="Times New Roman" w:cs="Times New Roman" w:eastAsia="Times New Roman" w:hAnsi="Times New Roman"/>
                <w:sz w:val="16"/>
                <w:szCs w:val="16"/>
                <w:color w:val="auto"/>
                <w:w w:val="99"/>
              </w:rPr>
              <w:t>82</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9"/>
                <w:szCs w:val="19"/>
                <w:color w:val="auto"/>
              </w:rPr>
            </w:pPr>
          </w:p>
        </w:tc>
      </w:tr>
      <w:tr>
        <w:trPr>
          <w:trHeight w:val="239"/>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Municipal lease finance receivables</w:t>
            </w:r>
          </w:p>
        </w:tc>
        <w:tc>
          <w:tcPr>
            <w:tcW w:w="24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8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shd w:val="clear" w:color="auto" w:fill="CFF0FC"/>
          </w:tcPr>
          <w:p>
            <w:pPr>
              <w:spacing w:after="0"/>
              <w:rPr>
                <w:sz w:val="20"/>
                <w:szCs w:val="20"/>
                <w:color w:val="auto"/>
              </w:rPr>
            </w:pP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4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SFR mortgage</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ind w:left="1000"/>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Pr>
          <w:p>
            <w:pPr>
              <w:spacing w:after="0"/>
              <w:rPr>
                <w:sz w:val="19"/>
                <w:szCs w:val="19"/>
                <w:color w:val="auto"/>
              </w:rPr>
            </w:pP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4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Consumer and other loans</w:t>
            </w:r>
          </w:p>
        </w:tc>
        <w:tc>
          <w:tcPr>
            <w:tcW w:w="24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ind w:left="1000"/>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bottom w:val="single" w:sz="8" w:color="CFF0FC"/>
            </w:tcBorders>
            <w:shd w:val="clear" w:color="auto" w:fill="CFF0FC"/>
          </w:tcPr>
          <w:p>
            <w:pPr>
              <w:spacing w:after="0"/>
              <w:rPr>
                <w:sz w:val="20"/>
                <w:szCs w:val="20"/>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0"/>
        </w:trPr>
        <w:tc>
          <w:tcPr>
            <w:tcW w:w="4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collateral-dependent loans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19,080</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2,749</w:t>
            </w:r>
          </w:p>
        </w:tc>
        <w:tc>
          <w:tcPr>
            <w:tcW w:w="6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ind w:left="1000"/>
              <w:spacing w:after="0"/>
              <w:rPr>
                <w:sz w:val="20"/>
                <w:szCs w:val="20"/>
                <w:color w:val="auto"/>
              </w:rPr>
            </w:pPr>
            <w:r>
              <w:rPr>
                <w:rFonts w:ascii="Times New Roman" w:cs="Times New Roman" w:eastAsia="Times New Roman" w:hAnsi="Times New Roman"/>
                <w:sz w:val="16"/>
                <w:szCs w:val="16"/>
                <w:color w:val="auto"/>
                <w:w w:val="99"/>
              </w:rPr>
              <w:t>82</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9"/>
                <w:szCs w:val="19"/>
                <w:color w:val="auto"/>
              </w:rPr>
            </w:pPr>
          </w:p>
        </w:tc>
      </w:tr>
      <w:tr>
        <w:trPr>
          <w:trHeight w:val="20"/>
        </w:trPr>
        <w:tc>
          <w:tcPr>
            <w:tcW w:w="4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-179070</wp:posOffset>
            </wp:positionV>
            <wp:extent cx="7747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-179070</wp:posOffset>
            </wp:positionV>
            <wp:extent cx="6858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-179070</wp:posOffset>
            </wp:positionV>
            <wp:extent cx="6858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3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Number of Loans</w:t>
            </w:r>
          </w:p>
        </w:tc>
      </w:tr>
      <w:tr>
        <w:trPr>
          <w:trHeight w:val="200"/>
        </w:trPr>
        <w:tc>
          <w:tcPr>
            <w:tcW w:w="4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Dependent on</w:t>
            </w:r>
          </w:p>
        </w:tc>
      </w:tr>
      <w:tr>
        <w:trPr>
          <w:trHeight w:val="225"/>
        </w:trPr>
        <w:tc>
          <w:tcPr>
            <w:tcW w:w="4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Real Estate</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Business Assets</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Other</w:t>
            </w:r>
          </w:p>
        </w:tc>
        <w:tc>
          <w:tcPr>
            <w:tcW w:w="320" w:type="dxa"/>
            <w:vAlign w:val="bottom"/>
          </w:tcPr>
          <w:p>
            <w:pPr>
              <w:spacing w:after="0"/>
              <w:rPr>
                <w:sz w:val="19"/>
                <w:szCs w:val="19"/>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Collateral</w:t>
            </w:r>
          </w:p>
        </w:tc>
      </w:tr>
      <w:tr>
        <w:trPr>
          <w:trHeight w:val="221"/>
        </w:trPr>
        <w:tc>
          <w:tcPr>
            <w:tcW w:w="4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(Dollars</w:t>
            </w:r>
          </w:p>
        </w:tc>
        <w:tc>
          <w:tcPr>
            <w:tcW w:w="32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in</w:t>
            </w:r>
          </w:p>
        </w:tc>
        <w:tc>
          <w:tcPr>
            <w:tcW w:w="14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i w:val="1"/>
                <w:iCs w:val="1"/>
                <w:color w:val="auto"/>
              </w:rPr>
              <w:t>thousands)</w:t>
            </w:r>
          </w:p>
        </w:tc>
        <w:tc>
          <w:tcPr>
            <w:tcW w:w="320" w:type="dxa"/>
            <w:vAlign w:val="bottom"/>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4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Commercial real estate</w:t>
            </w: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15,440</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FF0FC"/>
          </w:tcPr>
          <w:p>
            <w:pPr>
              <w:spacing w:after="0"/>
              <w:rPr>
                <w:sz w:val="20"/>
                <w:szCs w:val="20"/>
                <w:color w:val="auto"/>
              </w:rPr>
            </w:pPr>
          </w:p>
        </w:tc>
      </w:tr>
      <w:tr>
        <w:trPr>
          <w:trHeight w:val="220"/>
        </w:trPr>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Construction</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4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SBA</w:t>
            </w:r>
          </w:p>
        </w:tc>
        <w:tc>
          <w:tcPr>
            <w:tcW w:w="22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749</w:t>
            </w:r>
          </w:p>
        </w:tc>
        <w:tc>
          <w:tcPr>
            <w:tcW w:w="3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3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FF0FC"/>
          </w:tcPr>
          <w:p>
            <w:pPr>
              <w:spacing w:after="0"/>
              <w:rPr>
                <w:sz w:val="20"/>
                <w:szCs w:val="20"/>
                <w:color w:val="auto"/>
              </w:rPr>
            </w:pPr>
          </w:p>
        </w:tc>
      </w:tr>
      <w:tr>
        <w:trPr>
          <w:trHeight w:val="220"/>
        </w:trPr>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SBA - PPP</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4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22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3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2,950</w:t>
            </w:r>
          </w:p>
        </w:tc>
        <w:tc>
          <w:tcPr>
            <w:tcW w:w="3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1,167</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FF0FC"/>
          </w:tcPr>
          <w:p>
            <w:pPr>
              <w:spacing w:after="0"/>
              <w:rPr>
                <w:sz w:val="20"/>
                <w:szCs w:val="20"/>
                <w:color w:val="auto"/>
              </w:rPr>
            </w:pPr>
          </w:p>
        </w:tc>
      </w:tr>
      <w:tr>
        <w:trPr>
          <w:trHeight w:val="220"/>
        </w:trPr>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Dairy &amp; livestock and agribusiness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r>
      <w:tr>
        <w:trPr>
          <w:trHeight w:val="239"/>
        </w:trPr>
        <w:tc>
          <w:tcPr>
            <w:tcW w:w="4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Municipal lease finance receivables</w:t>
            </w:r>
          </w:p>
        </w:tc>
        <w:tc>
          <w:tcPr>
            <w:tcW w:w="22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20"/>
                <w:szCs w:val="20"/>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SFR mortgage</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r>
      <w:tr>
        <w:trPr>
          <w:trHeight w:val="233"/>
        </w:trPr>
        <w:tc>
          <w:tcPr>
            <w:tcW w:w="4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Consumer and other loans</w:t>
            </w:r>
          </w:p>
        </w:tc>
        <w:tc>
          <w:tcPr>
            <w:tcW w:w="22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FF0FC"/>
            </w:tcBorders>
            <w:shd w:val="clear" w:color="auto" w:fill="CFF0FC"/>
          </w:tcPr>
          <w:p>
            <w:pPr>
              <w:spacing w:after="0"/>
              <w:rPr>
                <w:sz w:val="20"/>
                <w:szCs w:val="20"/>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0"/>
        </w:trPr>
        <w:tc>
          <w:tcPr>
            <w:tcW w:w="41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collateral-dependent loans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16,965</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3,170</w:t>
            </w: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1,167</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9"/>
                <w:szCs w:val="19"/>
                <w:color w:val="auto"/>
              </w:rPr>
            </w:pPr>
          </w:p>
        </w:tc>
      </w:tr>
      <w:tr>
        <w:trPr>
          <w:trHeight w:val="20"/>
        </w:trPr>
        <w:tc>
          <w:tcPr>
            <w:tcW w:w="4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-179070</wp:posOffset>
            </wp:positionV>
            <wp:extent cx="7747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-179070</wp:posOffset>
            </wp:positionV>
            <wp:extent cx="7747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-179070</wp:posOffset>
            </wp:positionV>
            <wp:extent cx="6858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Reserve for Unfunded Loan Commitments</w:t>
      </w:r>
    </w:p>
    <w:p>
      <w:pPr>
        <w:spacing w:after="0" w:line="229" w:lineRule="exact"/>
        <w:rPr>
          <w:sz w:val="20"/>
          <w:szCs w:val="20"/>
          <w:color w:val="auto"/>
        </w:rPr>
      </w:pPr>
    </w:p>
    <w:p>
      <w:pPr>
        <w:ind w:right="100" w:firstLine="469"/>
        <w:spacing w:after="0" w:line="256" w:lineRule="auto"/>
        <w:rPr>
          <w:sz w:val="20"/>
          <w:szCs w:val="20"/>
          <w:color w:val="auto"/>
        </w:rPr>
      </w:pPr>
      <w:r>
        <w:rPr>
          <w:rFonts w:ascii="Times New Roman" w:cs="Times New Roman" w:eastAsia="Times New Roman" w:hAnsi="Times New Roman"/>
          <w:sz w:val="18"/>
          <w:szCs w:val="18"/>
          <w:color w:val="auto"/>
        </w:rPr>
        <w:t>The allowance for off-balance sheet credit exposure relates to commitments to extend credit, letters of credit and undisbursed funds on lines of credit. The Company evaluates credit risk associated with the off-balance sheet loan commitments in the same manner as it evaluates credit risk associated with the loan and lease portfolio. The Bank's ACL methodology produced an allowance of $6.3 million for the off-balance sheet credit exposures as of September 30, 2024. There was a $1.3 million recapture of provision for unfunded loan commitments for the nine months ended September 30, 2024, compared to no recapture or provision for the nine months ended September 30, 2023. As of September 30, 2024 and December 31, 2023, the balance in this reserve was $6.3 million and $7.5 million, respectively, and was included in other liabilities.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Modifications of Loans to Borrowers Experiencing Financial Difficulty</w:t>
      </w:r>
    </w:p>
    <w:p>
      <w:pPr>
        <w:spacing w:after="0" w:line="229" w:lineRule="exact"/>
        <w:rPr>
          <w:sz w:val="20"/>
          <w:szCs w:val="20"/>
          <w:color w:val="auto"/>
        </w:rPr>
      </w:pPr>
    </w:p>
    <w:p>
      <w:pPr>
        <w:ind w:right="400" w:firstLine="469"/>
        <w:spacing w:after="0" w:line="266" w:lineRule="auto"/>
        <w:rPr>
          <w:sz w:val="20"/>
          <w:szCs w:val="20"/>
          <w:color w:val="auto"/>
        </w:rPr>
      </w:pPr>
      <w:r>
        <w:rPr>
          <w:rFonts w:ascii="Times New Roman" w:cs="Times New Roman" w:eastAsia="Times New Roman" w:hAnsi="Times New Roman"/>
          <w:sz w:val="18"/>
          <w:szCs w:val="18"/>
          <w:color w:val="auto"/>
        </w:rPr>
        <w:t>The Company adopted Accounting Standards Update (“ASU”) 2022-02, Financial Instruments - Credit Losses (Topic 326) Troubled Debt Restructurings and Vintage Disclosures (“ASU 2022-02”) effective January 1, 2024. The amendments in ASU 2022-02 eliminated the recognition and measurement of TDRs and enhanced disclosures for loan modifications to borrowers experiencing financial difficulty.</w:t>
      </w:r>
    </w:p>
    <w:p>
      <w:pPr>
        <w:spacing w:after="0" w:line="176" w:lineRule="exact"/>
        <w:rPr>
          <w:sz w:val="20"/>
          <w:szCs w:val="20"/>
          <w:color w:val="auto"/>
        </w:rPr>
      </w:pPr>
    </w:p>
    <w:p>
      <w:pPr>
        <w:ind w:right="160" w:firstLine="469"/>
        <w:spacing w:after="0" w:line="266" w:lineRule="auto"/>
        <w:rPr>
          <w:sz w:val="20"/>
          <w:szCs w:val="20"/>
          <w:color w:val="auto"/>
        </w:rPr>
      </w:pPr>
      <w:r>
        <w:rPr>
          <w:rFonts w:ascii="Times New Roman" w:cs="Times New Roman" w:eastAsia="Times New Roman" w:hAnsi="Times New Roman"/>
          <w:sz w:val="18"/>
          <w:szCs w:val="18"/>
          <w:color w:val="auto"/>
        </w:rPr>
        <w:t>As of September 30, 2024, total modified loans to borrowers experiencing financial difficulty of $15.8 million included 10 loans with an amortized cost totaling $8.0 million modified during the nine months ended September 30, 2024, including two dairy &amp; livestock and agribusiness loans of $5.2 million, and eight commercial and industrial loans totaling $2.8 million.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3" w:name="page24"/>
    <w:bookmarkEnd w:id="23"/>
    <w:p>
      <w:pPr>
        <w:ind w:right="40" w:firstLine="464"/>
        <w:spacing w:after="0" w:line="282" w:lineRule="auto"/>
        <w:rPr>
          <w:sz w:val="20"/>
          <w:szCs w:val="20"/>
          <w:color w:val="auto"/>
        </w:rPr>
      </w:pPr>
      <w:r>
        <w:rPr>
          <w:rFonts w:ascii="Times New Roman" w:cs="Times New Roman" w:eastAsia="Times New Roman" w:hAnsi="Times New Roman"/>
          <w:sz w:val="18"/>
          <w:szCs w:val="18"/>
          <w:color w:val="auto"/>
        </w:rPr>
        <w:t>The tables below reflect the amortized cost of loans by type made to borrowers experiencing financial difficulty that were modified as of September 30, 2024 and September 30, 2023.</w:t>
      </w:r>
    </w:p>
    <w:p>
      <w:pPr>
        <w:spacing w:after="0" w:line="171" w:lineRule="exact"/>
        <w:rPr>
          <w:sz w:val="20"/>
          <w:szCs w:val="20"/>
          <w:color w:val="auto"/>
        </w:rPr>
      </w:pPr>
    </w:p>
    <w:tbl>
      <w:tblPr>
        <w:tblLayout w:type="fixed"/>
        <w:tblInd w:w="8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40" w:type="dxa"/>
            <w:vAlign w:val="bottom"/>
            <w:gridSpan w:val="5"/>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w w:val="99"/>
              </w:rPr>
              <w:t>Combination-Term Extension and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20" w:type="dxa"/>
            <w:vAlign w:val="bottom"/>
            <w:gridSpan w:val="4"/>
          </w:tcPr>
          <w:p>
            <w:pPr>
              <w:jc w:val="right"/>
              <w:ind w:right="1060"/>
              <w:spacing w:after="0"/>
              <w:rPr>
                <w:sz w:val="20"/>
                <w:szCs w:val="20"/>
                <w:color w:val="auto"/>
              </w:rPr>
            </w:pPr>
            <w:r>
              <w:rPr>
                <w:rFonts w:ascii="Times New Roman" w:cs="Times New Roman" w:eastAsia="Times New Roman" w:hAnsi="Times New Roman"/>
                <w:sz w:val="18"/>
                <w:szCs w:val="18"/>
                <w:b w:val="1"/>
                <w:bCs w:val="1"/>
                <w:color w:val="auto"/>
              </w:rPr>
              <w:t>Term Extension</w:t>
            </w:r>
          </w:p>
        </w:tc>
        <w:tc>
          <w:tcPr>
            <w:tcW w:w="100" w:type="dxa"/>
            <w:vAlign w:val="bottom"/>
          </w:tcPr>
          <w:p>
            <w:pPr>
              <w:spacing w:after="0"/>
              <w:rPr>
                <w:sz w:val="21"/>
                <w:szCs w:val="21"/>
                <w:color w:val="auto"/>
              </w:rPr>
            </w:pPr>
          </w:p>
        </w:tc>
        <w:tc>
          <w:tcPr>
            <w:tcW w:w="3340" w:type="dxa"/>
            <w:vAlign w:val="bottom"/>
            <w:gridSpan w:val="5"/>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Interest Rate Reduction</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33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 of Total</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 of Total</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Class of</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3"/>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Class of</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24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Financing</w:t>
            </w:r>
          </w:p>
        </w:tc>
        <w:tc>
          <w:tcPr>
            <w:tcW w:w="14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220" w:type="dxa"/>
            <w:vAlign w:val="bottom"/>
          </w:tcPr>
          <w:p>
            <w:pPr>
              <w:spacing w:after="0"/>
              <w:rPr>
                <w:sz w:val="18"/>
                <w:szCs w:val="18"/>
                <w:color w:val="auto"/>
              </w:rPr>
            </w:pPr>
          </w:p>
        </w:tc>
        <w:tc>
          <w:tcPr>
            <w:tcW w:w="1780" w:type="dxa"/>
            <w:vAlign w:val="bottom"/>
            <w:gridSpan w:val="3"/>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8"/>
              </w:rPr>
              <w:t>Financing</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Basis</w:t>
            </w:r>
          </w:p>
        </w:tc>
        <w:tc>
          <w:tcPr>
            <w:tcW w:w="240" w:type="dxa"/>
            <w:vAlign w:val="bottom"/>
          </w:tcPr>
          <w:p>
            <w:pPr>
              <w:spacing w:after="0"/>
              <w:rPr>
                <w:sz w:val="21"/>
                <w:szCs w:val="21"/>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Receivables</w:t>
            </w:r>
          </w:p>
        </w:tc>
        <w:tc>
          <w:tcPr>
            <w:tcW w:w="100" w:type="dxa"/>
            <w:vAlign w:val="bottom"/>
          </w:tcPr>
          <w:p>
            <w:pPr>
              <w:spacing w:after="0"/>
              <w:rPr>
                <w:sz w:val="21"/>
                <w:szCs w:val="21"/>
                <w:color w:val="auto"/>
              </w:rPr>
            </w:pPr>
          </w:p>
        </w:tc>
        <w:tc>
          <w:tcPr>
            <w:tcW w:w="13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Basis</w:t>
            </w:r>
          </w:p>
        </w:tc>
        <w:tc>
          <w:tcPr>
            <w:tcW w:w="220" w:type="dxa"/>
            <w:vAlign w:val="bottom"/>
          </w:tcPr>
          <w:p>
            <w:pPr>
              <w:spacing w:after="0"/>
              <w:rPr>
                <w:sz w:val="21"/>
                <w:szCs w:val="21"/>
                <w:color w:val="auto"/>
              </w:rPr>
            </w:pPr>
          </w:p>
        </w:tc>
        <w:tc>
          <w:tcPr>
            <w:tcW w:w="1780" w:type="dxa"/>
            <w:vAlign w:val="bottom"/>
            <w:gridSpan w:val="3"/>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Receivables</w:t>
            </w: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6"/>
        </w:trPr>
        <w:tc>
          <w:tcPr>
            <w:tcW w:w="3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real estate loans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184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0.02 % $</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2000" w:type="dxa"/>
            <w:vAlign w:val="bottom"/>
            <w:gridSpan w:val="4"/>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0.01 % $</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2,785</w:t>
            </w:r>
          </w:p>
        </w:tc>
        <w:tc>
          <w:tcPr>
            <w:tcW w:w="17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0.03 %</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0.00 %</w:t>
            </w: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Dairy &amp; livestock and agribusiness</w:t>
            </w:r>
          </w:p>
        </w:tc>
        <w:tc>
          <w:tcPr>
            <w:tcW w:w="28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10,350</w:t>
            </w:r>
          </w:p>
        </w:tc>
        <w:tc>
          <w:tcPr>
            <w:tcW w:w="17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0.12 %</w:t>
            </w:r>
          </w:p>
        </w:tc>
        <w:tc>
          <w:tcPr>
            <w:tcW w:w="10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0.00 %</w:t>
            </w: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10,350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14,916</w:t>
            </w: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700" w:type="dxa"/>
            <w:vAlign w:val="bottom"/>
            <w:gridSpan w:val="3"/>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September 30, 2023</w:t>
            </w: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33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real estate loans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17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0.02 %</w:t>
            </w:r>
          </w:p>
        </w:tc>
        <w:tc>
          <w:tcPr>
            <w:tcW w:w="10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2000" w:type="dxa"/>
            <w:vAlign w:val="bottom"/>
            <w:gridSpan w:val="4"/>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0.01 % $</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0.00 %</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0.00 %</w:t>
            </w:r>
          </w:p>
        </w:tc>
        <w:tc>
          <w:tcPr>
            <w:tcW w:w="30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Dairy &amp; livestock and agribusiness</w:t>
            </w:r>
          </w:p>
        </w:tc>
        <w:tc>
          <w:tcPr>
            <w:tcW w:w="28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4,799</w:t>
            </w:r>
          </w:p>
        </w:tc>
        <w:tc>
          <w:tcPr>
            <w:tcW w:w="17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0.05 %</w:t>
            </w:r>
          </w:p>
        </w:tc>
        <w:tc>
          <w:tcPr>
            <w:tcW w:w="10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0.00 %</w:t>
            </w: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6,614</w:t>
            </w: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700" w:type="dxa"/>
            <w:vAlign w:val="bottom"/>
            <w:gridSpan w:val="3"/>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400" w:firstLine="464"/>
        <w:spacing w:after="0" w:line="282" w:lineRule="auto"/>
        <w:rPr>
          <w:sz w:val="20"/>
          <w:szCs w:val="20"/>
          <w:color w:val="auto"/>
        </w:rPr>
      </w:pPr>
      <w:r>
        <w:rPr>
          <w:rFonts w:ascii="Times New Roman" w:cs="Times New Roman" w:eastAsia="Times New Roman" w:hAnsi="Times New Roman"/>
          <w:sz w:val="18"/>
          <w:szCs w:val="18"/>
          <w:color w:val="auto"/>
        </w:rPr>
        <w:t>The following table describes the financial effect of the loan modifications made to borrowers experiencing financial difficulty during the three months ended September 30, 2024 and September 30, 2023.</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24" w:name="page25"/>
    <w:bookmarkEnd w:id="24"/>
    <w:p>
      <w:pPr>
        <w:ind w:left="1120"/>
        <w:spacing w:after="0"/>
        <w:rPr>
          <w:sz w:val="20"/>
          <w:szCs w:val="20"/>
          <w:color w:val="auto"/>
        </w:rPr>
      </w:pPr>
      <w:r>
        <w:rPr>
          <w:rFonts w:ascii="Times New Roman" w:cs="Times New Roman" w:eastAsia="Times New Roman" w:hAnsi="Times New Roman"/>
          <w:sz w:val="18"/>
          <w:szCs w:val="18"/>
          <w:b w:val="1"/>
          <w:bCs w:val="1"/>
          <w:color w:val="auto"/>
        </w:rPr>
        <w:t>Loan 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28575</wp:posOffset>
            </wp:positionV>
            <wp:extent cx="186880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2900" w:type="dxa"/>
            <w:vAlign w:val="bottom"/>
            <w:tcBorders>
              <w:bottom w:val="single" w:sz="8" w:color="auto"/>
            </w:tcBorders>
          </w:tcPr>
          <w:p>
            <w:pPr>
              <w:spacing w:after="0"/>
              <w:rPr>
                <w:sz w:val="21"/>
                <w:szCs w:val="21"/>
                <w:color w:val="auto"/>
              </w:rPr>
            </w:pPr>
          </w:p>
        </w:tc>
        <w:tc>
          <w:tcPr>
            <w:tcW w:w="49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Financial Effect</w:t>
            </w:r>
          </w:p>
        </w:tc>
      </w:tr>
      <w:tr>
        <w:trPr>
          <w:trHeight w:val="207"/>
        </w:trPr>
        <w:tc>
          <w:tcPr>
            <w:tcW w:w="2900" w:type="dxa"/>
            <w:vAlign w:val="bottom"/>
          </w:tcPr>
          <w:p>
            <w:pPr>
              <w:spacing w:after="0"/>
              <w:rPr>
                <w:sz w:val="18"/>
                <w:szCs w:val="18"/>
                <w:color w:val="auto"/>
              </w:rPr>
            </w:pPr>
          </w:p>
        </w:tc>
        <w:tc>
          <w:tcPr>
            <w:tcW w:w="4960" w:type="dxa"/>
            <w:vAlign w:val="bottom"/>
          </w:tcPr>
          <w:p>
            <w:pPr>
              <w:jc w:val="center"/>
              <w:ind w:left="1050"/>
              <w:spacing w:after="0"/>
              <w:rPr>
                <w:sz w:val="20"/>
                <w:szCs w:val="20"/>
                <w:color w:val="auto"/>
              </w:rPr>
            </w:pPr>
            <w:r>
              <w:rPr>
                <w:rFonts w:ascii="Times New Roman" w:cs="Times New Roman" w:eastAsia="Times New Roman" w:hAnsi="Times New Roman"/>
                <w:sz w:val="18"/>
                <w:szCs w:val="18"/>
                <w:b w:val="1"/>
                <w:bCs w:val="1"/>
                <w:color w:val="auto"/>
                <w:w w:val="99"/>
              </w:rPr>
              <w:t>Combination-Term Extension and</w:t>
            </w:r>
          </w:p>
        </w:tc>
      </w:tr>
      <w:tr>
        <w:trPr>
          <w:trHeight w:val="238"/>
        </w:trPr>
        <w:tc>
          <w:tcPr>
            <w:tcW w:w="2900" w:type="dxa"/>
            <w:vAlign w:val="bottom"/>
          </w:tcPr>
          <w:p>
            <w:pPr>
              <w:ind w:left="1280"/>
              <w:spacing w:after="0"/>
              <w:rPr>
                <w:sz w:val="20"/>
                <w:szCs w:val="20"/>
                <w:color w:val="auto"/>
              </w:rPr>
            </w:pPr>
            <w:r>
              <w:rPr>
                <w:rFonts w:ascii="Times New Roman" w:cs="Times New Roman" w:eastAsia="Times New Roman" w:hAnsi="Times New Roman"/>
                <w:sz w:val="18"/>
                <w:szCs w:val="18"/>
                <w:b w:val="1"/>
                <w:bCs w:val="1"/>
                <w:color w:val="auto"/>
              </w:rPr>
              <w:t>Term Extension</w:t>
            </w:r>
          </w:p>
        </w:tc>
        <w:tc>
          <w:tcPr>
            <w:tcW w:w="4960" w:type="dxa"/>
            <w:vAlign w:val="bottom"/>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8"/>
              </w:rPr>
              <w:t>Interest Rate Reduction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wp:posOffset>
            </wp:positionV>
            <wp:extent cx="499745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4997450" cy="8255"/>
                    </a:xfrm>
                    <a:prstGeom prst="rect">
                      <a:avLst/>
                    </a:prstGeom>
                    <a:noFill/>
                  </pic:spPr>
                </pic:pic>
              </a:graphicData>
            </a:graphic>
          </wp:anchor>
        </w:drawing>
      </w:r>
    </w:p>
    <w:p>
      <w:pPr>
        <w:spacing w:after="0" w:line="18" w:lineRule="exact"/>
        <w:rPr>
          <w:sz w:val="20"/>
          <w:szCs w:val="20"/>
          <w:color w:val="auto"/>
        </w:rPr>
      </w:pPr>
    </w:p>
    <w:p>
      <w:pPr>
        <w:sectPr>
          <w:pgSz w:w="11900" w:h="16838" w:orient="portrait"/>
          <w:cols w:equalWidth="0" w:num="2">
            <w:col w:w="2600" w:space="720"/>
            <w:col w:w="7920"/>
          </w:cols>
          <w:pgMar w:left="320" w:top="1103" w:right="339" w:bottom="1440" w:gutter="0" w:footer="0" w:header="0"/>
        </w:sectPr>
      </w:pPr>
    </w:p>
    <w:p>
      <w:pPr>
        <w:ind w:left="80" w:right="460"/>
        <w:spacing w:after="0" w:line="350" w:lineRule="auto"/>
        <w:rPr>
          <w:sz w:val="20"/>
          <w:szCs w:val="20"/>
          <w:color w:val="auto"/>
        </w:rPr>
      </w:pPr>
      <w:r>
        <w:rPr>
          <w:rFonts w:ascii="Times New Roman" w:cs="Times New Roman" w:eastAsia="Times New Roman" w:hAnsi="Times New Roman"/>
          <w:sz w:val="17"/>
          <w:szCs w:val="17"/>
          <w:b w:val="1"/>
          <w:bCs w:val="1"/>
          <w:color w:val="auto"/>
        </w:rPr>
        <w:t xml:space="preserve">September 30, 2024 </w:t>
      </w:r>
      <w:r>
        <w:rPr>
          <w:rFonts w:ascii="Times New Roman" w:cs="Times New Roman" w:eastAsia="Times New Roman" w:hAnsi="Times New Roman"/>
          <w:sz w:val="17"/>
          <w:szCs w:val="17"/>
          <w:color w:val="auto"/>
        </w:rPr>
        <w:t>Commercial real estate loans</w:t>
      </w:r>
    </w:p>
    <w:p>
      <w:pPr>
        <w:spacing w:after="0" w:line="35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Commercial and industrial</w:t>
      </w:r>
    </w:p>
    <w:p>
      <w:pPr>
        <w:spacing w:after="0" w:line="200" w:lineRule="exact"/>
        <w:rPr>
          <w:sz w:val="20"/>
          <w:szCs w:val="20"/>
          <w:color w:val="auto"/>
        </w:rPr>
      </w:pPr>
    </w:p>
    <w:p>
      <w:pPr>
        <w:spacing w:after="0" w:line="26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Dairy &amp; livestock and agribusiness</w:t>
      </w:r>
    </w:p>
    <w:p>
      <w:pPr>
        <w:spacing w:after="0" w:line="200" w:lineRule="exact"/>
        <w:rPr>
          <w:sz w:val="20"/>
          <w:szCs w:val="20"/>
          <w:color w:val="auto"/>
        </w:rPr>
      </w:pPr>
    </w:p>
    <w:p>
      <w:pPr>
        <w:spacing w:after="0" w:line="26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Commercial real estate loans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Commercial and industrial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September 30, 2023</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Added a weighted-average 1.9 years to the life of loans, which reduced monthly payment amounts for the borrowers.</w:t>
      </w:r>
    </w:p>
    <w:p>
      <w:pPr>
        <w:spacing w:after="0" w:line="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Added a weighted-average 1.1 years to the life of loans, which reduced monthly payment amounts for the borrowers.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-2059940</wp:posOffset>
            </wp:positionH>
            <wp:positionV relativeFrom="paragraph">
              <wp:posOffset>-423545</wp:posOffset>
            </wp:positionV>
            <wp:extent cx="7054850" cy="42862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054850" cy="428625"/>
                    </a:xfrm>
                    <a:prstGeom prst="rect">
                      <a:avLst/>
                    </a:prstGeom>
                    <a:noFill/>
                  </pic:spPr>
                </pic:pic>
              </a:graphicData>
            </a:graphic>
          </wp:anchor>
        </w:drawing>
      </w:r>
    </w:p>
    <w:p>
      <w:pPr>
        <w:spacing w:after="0" w:line="266" w:lineRule="auto"/>
        <w:rPr>
          <w:sz w:val="20"/>
          <w:szCs w:val="20"/>
          <w:color w:val="auto"/>
        </w:rPr>
      </w:pPr>
      <w:r>
        <w:rPr>
          <w:rFonts w:ascii="Times New Roman" w:cs="Times New Roman" w:eastAsia="Times New Roman" w:hAnsi="Times New Roman"/>
          <w:sz w:val="18"/>
          <w:szCs w:val="18"/>
          <w:color w:val="auto"/>
        </w:rPr>
        <w:t>Added a weighted-average 1.3 years to the life of loans, which reduced monthly payment amounts for the borrowers.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-2059940</wp:posOffset>
            </wp:positionH>
            <wp:positionV relativeFrom="paragraph">
              <wp:posOffset>-4445</wp:posOffset>
            </wp:positionV>
            <wp:extent cx="7054850" cy="56578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054850" cy="565785"/>
                    </a:xfrm>
                    <a:prstGeom prst="rect">
                      <a:avLst/>
                    </a:prstGeom>
                    <a:noFill/>
                  </pic:spPr>
                </pic:pic>
              </a:graphicData>
            </a:graphic>
          </wp:anchor>
        </w:drawing>
      </w:r>
    </w:p>
    <w:p>
      <w:pPr>
        <w:spacing w:after="0" w:line="291"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-2059940</wp:posOffset>
            </wp:positionH>
            <wp:positionV relativeFrom="paragraph">
              <wp:posOffset>231775</wp:posOffset>
            </wp:positionV>
            <wp:extent cx="7054850" cy="15430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05485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3"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right="80" w:firstLine="45"/>
        <w:spacing w:after="0" w:line="258" w:lineRule="auto"/>
        <w:rPr>
          <w:sz w:val="20"/>
          <w:szCs w:val="20"/>
          <w:color w:val="auto"/>
        </w:rPr>
      </w:pPr>
      <w:r>
        <w:rPr>
          <w:rFonts w:ascii="Times New Roman" w:cs="Times New Roman" w:eastAsia="Times New Roman" w:hAnsi="Times New Roman"/>
          <w:sz w:val="18"/>
          <w:szCs w:val="18"/>
          <w:color w:val="auto"/>
        </w:rPr>
        <w:t>Added a weighted-average 7.6 years to the life of loans, which reduced monthly payment amounts for the borrowers; reduced weighted-average contractual interest rate from 10% to 7.25%.</w:t>
      </w:r>
    </w:p>
    <w:p>
      <w:pPr>
        <w:spacing w:after="0" w:line="1" w:lineRule="exact"/>
        <w:rPr>
          <w:sz w:val="20"/>
          <w:szCs w:val="20"/>
          <w:color w:val="auto"/>
        </w:rPr>
      </w:pPr>
    </w:p>
    <w:p>
      <w:pPr>
        <w:ind w:right="80" w:firstLine="45"/>
        <w:spacing w:after="0" w:line="261" w:lineRule="auto"/>
        <w:rPr>
          <w:sz w:val="20"/>
          <w:szCs w:val="20"/>
          <w:color w:val="auto"/>
        </w:rPr>
      </w:pPr>
      <w:r>
        <w:rPr>
          <w:rFonts w:ascii="Times New Roman" w:cs="Times New Roman" w:eastAsia="Times New Roman" w:hAnsi="Times New Roman"/>
          <w:sz w:val="18"/>
          <w:szCs w:val="18"/>
          <w:color w:val="auto"/>
        </w:rPr>
        <w:t>Added a weighted-average 2.0 years to the life of loans, which reduced monthly payment amounts for the borrowers; reduced weighted-average contractual interest rate from 8.75% to 7.75%.</w:t>
      </w:r>
    </w:p>
    <w:p>
      <w:pPr>
        <w:spacing w:after="0" w:line="476" w:lineRule="exact"/>
        <w:rPr>
          <w:sz w:val="20"/>
          <w:szCs w:val="20"/>
          <w:color w:val="auto"/>
        </w:rPr>
      </w:pPr>
    </w:p>
    <w:p>
      <w:pPr>
        <w:sectPr>
          <w:pgSz w:w="11900" w:h="16838" w:orient="portrait"/>
          <w:cols w:equalWidth="0" w:num="3">
            <w:col w:w="2620" w:space="700"/>
            <w:col w:w="3740" w:space="360"/>
            <w:col w:w="3820"/>
          </w:cols>
          <w:pgMar w:left="320" w:top="1103" w:right="339" w:bottom="1440" w:gutter="0" w:footer="0" w:header="0"/>
          <w:type w:val="continuous"/>
        </w:sectPr>
      </w:pPr>
    </w:p>
    <w:p>
      <w:pPr>
        <w:ind w:left="80"/>
        <w:spacing w:after="0"/>
        <w:rPr>
          <w:sz w:val="20"/>
          <w:szCs w:val="20"/>
          <w:color w:val="auto"/>
        </w:rPr>
      </w:pPr>
      <w:r>
        <w:rPr>
          <w:rFonts w:ascii="Times New Roman" w:cs="Times New Roman" w:eastAsia="Times New Roman" w:hAnsi="Times New Roman"/>
          <w:sz w:val="18"/>
          <w:szCs w:val="18"/>
          <w:color w:val="auto"/>
        </w:rPr>
        <w:t>Commercial real estate loans</w:t>
      </w:r>
    </w:p>
    <w:p>
      <w:pPr>
        <w:spacing w:after="0" w:line="200" w:lineRule="exact"/>
        <w:rPr>
          <w:sz w:val="20"/>
          <w:szCs w:val="20"/>
          <w:color w:val="auto"/>
        </w:rPr>
      </w:pPr>
    </w:p>
    <w:p>
      <w:pPr>
        <w:spacing w:after="0" w:line="26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Dairy &amp; livestock and agribusiness</w:t>
      </w:r>
    </w:p>
    <w:p>
      <w:pPr>
        <w:spacing w:after="0" w:line="200" w:lineRule="exact"/>
        <w:rPr>
          <w:sz w:val="20"/>
          <w:szCs w:val="20"/>
          <w:color w:val="auto"/>
        </w:rPr>
      </w:pPr>
    </w:p>
    <w:p>
      <w:pPr>
        <w:spacing w:after="0" w:line="26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Commercial real estate loans</w:t>
      </w:r>
    </w:p>
    <w:p>
      <w:pPr>
        <w:spacing w:after="0" w:line="20" w:lineRule="exact"/>
        <w:rPr>
          <w:sz w:val="20"/>
          <w:szCs w:val="20"/>
          <w:color w:val="auto"/>
        </w:rPr>
      </w:pPr>
      <w:r>
        <w:rPr>
          <w:sz w:val="20"/>
          <w:szCs w:val="20"/>
          <w:color w:val="auto"/>
        </w:rPr>
        <w:br w:type="column"/>
      </w:r>
    </w:p>
    <w:p>
      <w:pPr>
        <w:spacing w:after="0" w:line="260" w:lineRule="auto"/>
        <w:rPr>
          <w:sz w:val="20"/>
          <w:szCs w:val="20"/>
          <w:color w:val="auto"/>
        </w:rPr>
      </w:pPr>
      <w:r>
        <w:rPr>
          <w:rFonts w:ascii="Times New Roman" w:cs="Times New Roman" w:eastAsia="Times New Roman" w:hAnsi="Times New Roman"/>
          <w:sz w:val="18"/>
          <w:szCs w:val="18"/>
          <w:color w:val="auto"/>
        </w:rPr>
        <w:t>Added a weighted-average 1.0 years to the life of loans, which reduced monthly payment amounts for the borrowers.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-2059940</wp:posOffset>
            </wp:positionH>
            <wp:positionV relativeFrom="paragraph">
              <wp:posOffset>-423545</wp:posOffset>
            </wp:positionV>
            <wp:extent cx="7054850" cy="42862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054850" cy="428625"/>
                    </a:xfrm>
                    <a:prstGeom prst="rect">
                      <a:avLst/>
                    </a:prstGeom>
                    <a:noFill/>
                  </pic:spPr>
                </pic:pic>
              </a:graphicData>
            </a:graphic>
          </wp:anchor>
        </w:drawing>
      </w:r>
    </w:p>
    <w:p>
      <w:pPr>
        <w:spacing w:after="0" w:line="266" w:lineRule="auto"/>
        <w:rPr>
          <w:sz w:val="20"/>
          <w:szCs w:val="20"/>
          <w:color w:val="auto"/>
        </w:rPr>
      </w:pPr>
      <w:r>
        <w:rPr>
          <w:rFonts w:ascii="Times New Roman" w:cs="Times New Roman" w:eastAsia="Times New Roman" w:hAnsi="Times New Roman"/>
          <w:sz w:val="18"/>
          <w:szCs w:val="18"/>
          <w:color w:val="auto"/>
        </w:rPr>
        <w:t>Added a weighted-average 0.5 years to the life of loans, which reduced monthly payment amounts for the borrowers.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-2059940</wp:posOffset>
            </wp:positionH>
            <wp:positionV relativeFrom="paragraph">
              <wp:posOffset>-4445</wp:posOffset>
            </wp:positionV>
            <wp:extent cx="7054850" cy="56578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054850" cy="565785"/>
                    </a:xfrm>
                    <a:prstGeom prst="rect">
                      <a:avLst/>
                    </a:prstGeom>
                    <a:noFill/>
                  </pic:spPr>
                </pic:pic>
              </a:graphicData>
            </a:graphic>
          </wp:anchor>
        </w:drawing>
      </w:r>
    </w:p>
    <w:p>
      <w:pPr>
        <w:spacing w:after="0" w:line="291"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right="80" w:firstLine="45"/>
        <w:spacing w:after="0" w:line="261" w:lineRule="auto"/>
        <w:rPr>
          <w:sz w:val="20"/>
          <w:szCs w:val="20"/>
          <w:color w:val="auto"/>
        </w:rPr>
      </w:pPr>
      <w:r>
        <w:rPr>
          <w:rFonts w:ascii="Times New Roman" w:cs="Times New Roman" w:eastAsia="Times New Roman" w:hAnsi="Times New Roman"/>
          <w:sz w:val="18"/>
          <w:szCs w:val="18"/>
          <w:color w:val="auto"/>
        </w:rPr>
        <w:t>Added a weighted-average 7.6 years to the life of loans, which reduced monthly payment amounts for the borrowers; reduced weighted-average contractual interest rate from 10% to 7.25%.</w:t>
      </w:r>
    </w:p>
    <w:p>
      <w:pPr>
        <w:spacing w:after="0" w:line="200" w:lineRule="exact"/>
        <w:rPr>
          <w:sz w:val="20"/>
          <w:szCs w:val="20"/>
          <w:color w:val="auto"/>
        </w:rPr>
      </w:pPr>
    </w:p>
    <w:p>
      <w:pPr>
        <w:sectPr>
          <w:pgSz w:w="11900" w:h="16838" w:orient="portrait"/>
          <w:cols w:equalWidth="0" w:num="3">
            <w:col w:w="2620" w:space="700"/>
            <w:col w:w="3740" w:space="360"/>
            <w:col w:w="3820"/>
          </w:cols>
          <w:pgMar w:left="320" w:top="1103" w:right="339" w:bottom="1440" w:gutter="0" w:footer="0" w:header="0"/>
          <w:type w:val="continuous"/>
        </w:sectPr>
      </w:pPr>
    </w:p>
    <w:p>
      <w:pPr>
        <w:spacing w:after="0" w:line="182" w:lineRule="exact"/>
        <w:rPr>
          <w:sz w:val="20"/>
          <w:szCs w:val="20"/>
          <w:color w:val="auto"/>
        </w:rPr>
      </w:pPr>
    </w:p>
    <w:p>
      <w:pPr>
        <w:ind w:right="180" w:firstLine="464"/>
        <w:spacing w:after="0" w:line="266" w:lineRule="auto"/>
        <w:rPr>
          <w:sz w:val="20"/>
          <w:szCs w:val="20"/>
          <w:color w:val="auto"/>
        </w:rPr>
      </w:pPr>
      <w:r>
        <w:rPr>
          <w:rFonts w:ascii="Times New Roman" w:cs="Times New Roman" w:eastAsia="Times New Roman" w:hAnsi="Times New Roman"/>
          <w:sz w:val="18"/>
          <w:szCs w:val="18"/>
          <w:color w:val="auto"/>
        </w:rPr>
        <w:t>As of September 30, 2024, the Company did not have any loans made to borrowers experiencing financial difficulty that were modified during the first nine months of 2024 that subsequently defaulted. Payment default is defined as movement to nonaccrual (nonperforming) status, foreclosure or charge-off, whichever occurs first.</w:t>
      </w:r>
    </w:p>
    <w:p>
      <w:pPr>
        <w:spacing w:after="0" w:line="176" w:lineRule="exact"/>
        <w:rPr>
          <w:sz w:val="20"/>
          <w:szCs w:val="20"/>
          <w:color w:val="auto"/>
        </w:rPr>
      </w:pPr>
    </w:p>
    <w:p>
      <w:pPr>
        <w:ind w:right="200" w:firstLine="46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recorded investment in, and the aging of, past due loans at amortized cost (including nonaccrual loans), by type of loans, made to borrowers experiencing financial difficulty as of September 30, 2024.</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520" w:type="dxa"/>
            <w:vAlign w:val="bottom"/>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292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Payment Status (amortized cost basis)</w:t>
            </w:r>
          </w:p>
        </w:tc>
        <w:tc>
          <w:tcPr>
            <w:tcW w:w="3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07"/>
        </w:trPr>
        <w:tc>
          <w:tcPr>
            <w:tcW w:w="45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3"/>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9"/>
              </w:rPr>
              <w:t>30-89 Days</w:t>
            </w:r>
          </w:p>
        </w:tc>
        <w:tc>
          <w:tcPr>
            <w:tcW w:w="320" w:type="dxa"/>
            <w:vAlign w:val="bottom"/>
          </w:tcPr>
          <w:p>
            <w:pPr>
              <w:spacing w:after="0"/>
              <w:rPr>
                <w:sz w:val="18"/>
                <w:szCs w:val="18"/>
                <w:color w:val="auto"/>
              </w:rPr>
            </w:pPr>
          </w:p>
        </w:tc>
        <w:tc>
          <w:tcPr>
            <w:tcW w:w="15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90+ Days</w:t>
            </w:r>
          </w:p>
        </w:tc>
        <w:tc>
          <w:tcPr>
            <w:tcW w:w="100" w:type="dxa"/>
            <w:vAlign w:val="bottom"/>
          </w:tcPr>
          <w:p>
            <w:pPr>
              <w:spacing w:after="0"/>
              <w:rPr>
                <w:sz w:val="18"/>
                <w:szCs w:val="18"/>
                <w:color w:val="auto"/>
              </w:rPr>
            </w:pPr>
          </w:p>
        </w:tc>
      </w:tr>
      <w:tr>
        <w:trPr>
          <w:trHeight w:val="245"/>
        </w:trPr>
        <w:tc>
          <w:tcPr>
            <w:tcW w:w="45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8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9"/>
              </w:rPr>
              <w:t>Past Due</w:t>
            </w:r>
          </w:p>
        </w:tc>
        <w:tc>
          <w:tcPr>
            <w:tcW w:w="320" w:type="dxa"/>
            <w:vAlign w:val="bottom"/>
          </w:tcPr>
          <w:p>
            <w:pPr>
              <w:spacing w:after="0"/>
              <w:rPr>
                <w:sz w:val="21"/>
                <w:szCs w:val="21"/>
                <w:color w:val="auto"/>
              </w:rPr>
            </w:pPr>
          </w:p>
        </w:tc>
        <w:tc>
          <w:tcPr>
            <w:tcW w:w="16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Past Due</w:t>
            </w:r>
          </w:p>
        </w:tc>
      </w:tr>
      <w:tr>
        <w:trPr>
          <w:trHeight w:val="240"/>
        </w:trPr>
        <w:tc>
          <w:tcPr>
            <w:tcW w:w="4520" w:type="dxa"/>
            <w:vAlign w:val="bottom"/>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5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6"/>
        </w:trPr>
        <w:tc>
          <w:tcPr>
            <w:tcW w:w="452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Commercial real estate loans</w:t>
            </w:r>
          </w:p>
        </w:tc>
        <w:tc>
          <w:tcPr>
            <w:tcW w:w="1300" w:type="dxa"/>
            <w:vAlign w:val="bottom"/>
            <w:shd w:val="clear" w:color="auto" w:fill="CFF0FC"/>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6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gridSpan w:val="3"/>
            <w:shd w:val="clear" w:color="auto" w:fill="CFF0FC"/>
          </w:tcPr>
          <w:p>
            <w:pPr>
              <w:ind w:left="15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shd w:val="clear" w:color="auto" w:fill="CFF0FC"/>
          </w:tcPr>
          <w:p>
            <w:pPr>
              <w:ind w:left="134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4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3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2,954</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gridSpan w:val="3"/>
          </w:tcPr>
          <w:p>
            <w:pPr>
              <w:ind w:left="15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64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52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Dairy &amp; livestock and agribusiness</w:t>
            </w:r>
          </w:p>
        </w:tc>
        <w:tc>
          <w:tcPr>
            <w:tcW w:w="130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10,350</w:t>
            </w:r>
          </w:p>
        </w:tc>
        <w:tc>
          <w:tcPr>
            <w:tcW w:w="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80" w:type="dxa"/>
            <w:vAlign w:val="bottom"/>
            <w:gridSpan w:val="3"/>
            <w:shd w:val="clear" w:color="auto" w:fill="CFF0FC"/>
          </w:tcPr>
          <w:p>
            <w:pPr>
              <w:ind w:left="15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ind w:left="134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452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00" w:type="dxa"/>
            <w:vAlign w:val="bottom"/>
            <w:tcBorders>
              <w:top w:val="single" w:sz="8" w:color="auto"/>
              <w:bottom w:val="single" w:sz="8" w:color="auto"/>
            </w:tcBorders>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15,769</w:t>
            </w:r>
          </w:p>
        </w:tc>
        <w:tc>
          <w:tcPr>
            <w:tcW w:w="20" w:type="dxa"/>
            <w:vAlign w:val="bottom"/>
            <w:tcBorders>
              <w:top w:val="single" w:sz="8" w:color="auto"/>
              <w:bottom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tcPr>
          <w:p>
            <w:pPr>
              <w:ind w:left="1560"/>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r>
      <w:tr>
        <w:trPr>
          <w:trHeight w:val="20"/>
        </w:trPr>
        <w:tc>
          <w:tcPr>
            <w:tcW w:w="45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44"/>
        </w:trPr>
        <w:tc>
          <w:tcPr>
            <w:tcW w:w="4520" w:type="dxa"/>
            <w:vAlign w:val="bottom"/>
          </w:tcPr>
          <w:p>
            <w:pPr>
              <w:spacing w:after="0"/>
              <w:rPr>
                <w:sz w:val="24"/>
                <w:szCs w:val="24"/>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5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type w:val="continuous"/>
        </w:sectPr>
      </w:pPr>
    </w:p>
    <w:bookmarkStart w:id="25" w:name="page26"/>
    <w:bookmarkEnd w:id="25"/>
    <w:p>
      <w:pPr>
        <w:spacing w:after="0" w:line="4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BORROWINGS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Repurchase Agreements</w:t>
      </w:r>
    </w:p>
    <w:p>
      <w:pPr>
        <w:spacing w:after="0" w:line="229" w:lineRule="exact"/>
        <w:rPr>
          <w:sz w:val="20"/>
          <w:szCs w:val="20"/>
          <w:color w:val="auto"/>
        </w:rPr>
      </w:pPr>
    </w:p>
    <w:p>
      <w:pPr>
        <w:ind w:firstLine="469"/>
        <w:spacing w:after="0" w:line="258" w:lineRule="auto"/>
        <w:rPr>
          <w:sz w:val="20"/>
          <w:szCs w:val="20"/>
          <w:color w:val="auto"/>
        </w:rPr>
      </w:pPr>
      <w:r>
        <w:rPr>
          <w:rFonts w:ascii="Times New Roman" w:cs="Times New Roman" w:eastAsia="Times New Roman" w:hAnsi="Times New Roman"/>
          <w:sz w:val="18"/>
          <w:szCs w:val="18"/>
          <w:color w:val="auto"/>
        </w:rPr>
        <w:t>The Bank offers a repurchase agreement product to its customers. This product, known as Citizens Sweep Manager, sells our investment securities overnight to our customers under an agreement to repurchase them the next day at a price which reflects the market value of the use of funds by the Bank for the period concerned. These repurchase agreements are signed with customers who want to invest their excess deposits, above a pre-determined balance in a demand deposit account, in order to earn interest. As of September 30, 2024, total funds borrowed under these agreements were $394.5 million with a weighted average interest rate of 2.24%, compared to $271.6 million with a weighted average interest rate of 0.29% at December 31,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Home Loan Bank Advances and Other Borrowings</w:t>
      </w:r>
    </w:p>
    <w:p>
      <w:pPr>
        <w:spacing w:after="0" w:line="229" w:lineRule="exact"/>
        <w:rPr>
          <w:sz w:val="20"/>
          <w:szCs w:val="20"/>
          <w:color w:val="auto"/>
        </w:rPr>
      </w:pPr>
    </w:p>
    <w:p>
      <w:pPr>
        <w:ind w:right="20" w:firstLine="469"/>
        <w:spacing w:after="0" w:line="261" w:lineRule="auto"/>
        <w:rPr>
          <w:sz w:val="20"/>
          <w:szCs w:val="20"/>
          <w:color w:val="auto"/>
        </w:rPr>
      </w:pPr>
      <w:r>
        <w:rPr>
          <w:rFonts w:ascii="Times New Roman" w:cs="Times New Roman" w:eastAsia="Times New Roman" w:hAnsi="Times New Roman"/>
          <w:sz w:val="18"/>
          <w:szCs w:val="18"/>
          <w:color w:val="auto"/>
        </w:rPr>
        <w:t>As of September 30, 2024, borrowings consisted of $500.0 million of FHLB advances. The FHLB advances include maturities of $300 million, at an average cost of approximately 4.73%, maturing in May of 2026, and $200 million, at a cost of 4.27% maturing in May of 2027. During the third quarter of 2024, we repaid $1.3 billion of borrowings from the Federal Reserve's Bank Term Funding Program ("BTFP"), with a cost of 4.76%, that were scheduled to mature in January of 2025.</w:t>
      </w:r>
    </w:p>
    <w:p>
      <w:pPr>
        <w:spacing w:after="0" w:line="180" w:lineRule="exact"/>
        <w:rPr>
          <w:sz w:val="20"/>
          <w:szCs w:val="20"/>
          <w:color w:val="auto"/>
        </w:rPr>
      </w:pPr>
    </w:p>
    <w:p>
      <w:pPr>
        <w:ind w:right="200" w:firstLine="469"/>
        <w:spacing w:after="0" w:line="266" w:lineRule="auto"/>
        <w:rPr>
          <w:sz w:val="20"/>
          <w:szCs w:val="20"/>
          <w:color w:val="auto"/>
        </w:rPr>
      </w:pPr>
      <w:r>
        <w:rPr>
          <w:rFonts w:ascii="Times New Roman" w:cs="Times New Roman" w:eastAsia="Times New Roman" w:hAnsi="Times New Roman"/>
          <w:sz w:val="18"/>
          <w:szCs w:val="18"/>
          <w:color w:val="auto"/>
        </w:rPr>
        <w:t>As of December 31, 2023, total short-term borrowings of $2.07 billion, consisted of $1.91 billion of one-year advances from the Federal Reserve's BTFP at a cost of 4.78% and $160 million of short-term FHLB advances, at an average cost of approximately 5.7%. The BTFP advances included maturities of $695 million in May and $1.2 billion in December of 2024.</w:t>
      </w:r>
    </w:p>
    <w:p>
      <w:pPr>
        <w:spacing w:after="0" w:line="176" w:lineRule="exact"/>
        <w:rPr>
          <w:sz w:val="20"/>
          <w:szCs w:val="20"/>
          <w:color w:val="auto"/>
        </w:rPr>
      </w:pPr>
    </w:p>
    <w:p>
      <w:pPr>
        <w:ind w:right="140" w:firstLine="469"/>
        <w:spacing w:after="0" w:line="282" w:lineRule="auto"/>
        <w:rPr>
          <w:sz w:val="20"/>
          <w:szCs w:val="20"/>
          <w:color w:val="auto"/>
        </w:rPr>
      </w:pPr>
      <w:r>
        <w:rPr>
          <w:rFonts w:ascii="Times New Roman" w:cs="Times New Roman" w:eastAsia="Times New Roman" w:hAnsi="Times New Roman"/>
          <w:sz w:val="18"/>
          <w:szCs w:val="18"/>
          <w:color w:val="auto"/>
        </w:rPr>
        <w:t>At September 30, 2024, loans with a carrying value of $4.32 billion were pledged to secure available lines of credit from the FHLB and the Federal Reserve Bank.</w:t>
      </w:r>
    </w:p>
    <w:p>
      <w:pPr>
        <w:spacing w:after="0" w:line="162" w:lineRule="exact"/>
        <w:rPr>
          <w:sz w:val="20"/>
          <w:szCs w:val="20"/>
          <w:color w:val="auto"/>
        </w:rPr>
      </w:pPr>
    </w:p>
    <w:p>
      <w:pPr>
        <w:ind w:right="200" w:firstLine="464"/>
        <w:spacing w:after="0" w:line="261" w:lineRule="auto"/>
        <w:rPr>
          <w:sz w:val="20"/>
          <w:szCs w:val="20"/>
          <w:color w:val="auto"/>
        </w:rPr>
      </w:pPr>
      <w:r>
        <w:rPr>
          <w:rFonts w:ascii="Times New Roman" w:cs="Times New Roman" w:eastAsia="Times New Roman" w:hAnsi="Times New Roman"/>
          <w:sz w:val="18"/>
          <w:szCs w:val="18"/>
          <w:color w:val="auto"/>
        </w:rPr>
        <w:t>At September 30, 2024 investment securities with carrying values of $1.88 billion were pledged to secure $469 million for repurchase agreements, $1.35 billion for unused borrowing capacity and approximately $58 million for other purposes as required or permitted by law.</w:t>
      </w: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6" w:name="page27"/>
    <w:bookmarkEnd w:id="26"/>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EARNINGS PER SHARE RECONCILIATION</w:t>
      </w:r>
    </w:p>
    <w:p>
      <w:pPr>
        <w:spacing w:after="0" w:line="229" w:lineRule="exact"/>
        <w:rPr>
          <w:sz w:val="20"/>
          <w:szCs w:val="20"/>
          <w:color w:val="auto"/>
        </w:rPr>
      </w:pPr>
    </w:p>
    <w:p>
      <w:pPr>
        <w:ind w:right="80" w:firstLine="469"/>
        <w:spacing w:after="0" w:line="256" w:lineRule="auto"/>
        <w:rPr>
          <w:sz w:val="20"/>
          <w:szCs w:val="20"/>
          <w:color w:val="auto"/>
        </w:rPr>
      </w:pPr>
      <w:r>
        <w:rPr>
          <w:rFonts w:ascii="Times New Roman" w:cs="Times New Roman" w:eastAsia="Times New Roman" w:hAnsi="Times New Roman"/>
          <w:sz w:val="18"/>
          <w:szCs w:val="18"/>
          <w:color w:val="auto"/>
        </w:rPr>
        <w:t>Basic earnings per common share are computed by dividing income allocated to common stockholders by the weighted-average number of common shares outstanding during each period. The computation of diluted earnings per common share considers the number of shares issuable upon the assumed exercise of outstanding common stock options. Antidilutive common shares are not included in the calculation of diluted earnings per common share. For the three and nine months ended September 30, 2024 shares deemed to be antidilutive, and thus excluded from the computation of earnings per common share, were 778,000 and 1,210,000, respectively. For the three and nine months ended September 30, 2023 shares deemed to be antidilutive, and thus excluded from the computation of earnings per common share, were 1,096,000 and 1,100,000, respectively.</w:t>
      </w:r>
    </w:p>
    <w:p>
      <w:pPr>
        <w:spacing w:after="0" w:line="187" w:lineRule="exact"/>
        <w:rPr>
          <w:sz w:val="20"/>
          <w:szCs w:val="20"/>
          <w:color w:val="auto"/>
        </w:rPr>
      </w:pPr>
    </w:p>
    <w:p>
      <w:pPr>
        <w:ind w:right="220" w:firstLine="469"/>
        <w:spacing w:after="0" w:line="282" w:lineRule="auto"/>
        <w:rPr>
          <w:sz w:val="20"/>
          <w:szCs w:val="20"/>
          <w:color w:val="auto"/>
        </w:rPr>
      </w:pPr>
      <w:r>
        <w:rPr>
          <w:rFonts w:ascii="Times New Roman" w:cs="Times New Roman" w:eastAsia="Times New Roman" w:hAnsi="Times New Roman"/>
          <w:sz w:val="18"/>
          <w:szCs w:val="18"/>
          <w:color w:val="auto"/>
        </w:rPr>
        <w:t>The table below shows earnings per common share and diluted earnings per common share, and reconciles the numerator and denominator of both earnings per common share calculations.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6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0" w:type="dxa"/>
            <w:vAlign w:val="bottom"/>
          </w:tcPr>
          <w:p>
            <w:pPr>
              <w:spacing w:after="0"/>
              <w:rPr>
                <w:sz w:val="1"/>
                <w:szCs w:val="1"/>
                <w:color w:val="auto"/>
              </w:rPr>
            </w:pPr>
          </w:p>
        </w:tc>
      </w:tr>
      <w:tr>
        <w:trPr>
          <w:trHeight w:val="245"/>
        </w:trPr>
        <w:tc>
          <w:tcPr>
            <w:tcW w:w="46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6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41"/>
        </w:trPr>
        <w:tc>
          <w:tcPr>
            <w:tcW w:w="4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top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6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160" w:type="dxa"/>
            <w:vAlign w:val="bottom"/>
            <w:gridSpan w:val="7"/>
          </w:tcPr>
          <w:p>
            <w:pPr>
              <w:ind w:left="220"/>
              <w:spacing w:after="0"/>
              <w:rPr>
                <w:sz w:val="20"/>
                <w:szCs w:val="20"/>
                <w:color w:val="auto"/>
              </w:rPr>
            </w:pPr>
            <w:r>
              <w:rPr>
                <w:rFonts w:ascii="Times New Roman" w:cs="Times New Roman" w:eastAsia="Times New Roman" w:hAnsi="Times New Roman"/>
                <w:sz w:val="16"/>
                <w:szCs w:val="16"/>
                <w:i w:val="1"/>
                <w:iCs w:val="1"/>
                <w:color w:val="auto"/>
              </w:rPr>
              <w:t>(In thousands, except per share amounts)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common share:</w:t>
            </w:r>
          </w:p>
        </w:tc>
        <w:tc>
          <w:tcPr>
            <w:tcW w:w="9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earnings</w:t>
            </w:r>
          </w:p>
        </w:tc>
        <w:tc>
          <w:tcPr>
            <w:tcW w:w="12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51,224</w:t>
            </w:r>
          </w:p>
        </w:tc>
        <w:tc>
          <w:tcPr>
            <w:tcW w:w="68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57,887</w:t>
            </w:r>
          </w:p>
        </w:tc>
        <w:tc>
          <w:tcPr>
            <w:tcW w:w="5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149,858</w:t>
            </w:r>
          </w:p>
        </w:tc>
        <w:tc>
          <w:tcPr>
            <w:tcW w:w="26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6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Less: Net earnings allocated to restricted stock</w:t>
            </w:r>
          </w:p>
        </w:tc>
        <w:tc>
          <w:tcPr>
            <w:tcW w:w="9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28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earnings allocated to common shareholders</w:t>
            </w:r>
          </w:p>
        </w:tc>
        <w:tc>
          <w:tcPr>
            <w:tcW w:w="12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50,847</w:t>
            </w:r>
          </w:p>
        </w:tc>
        <w:tc>
          <w:tcPr>
            <w:tcW w:w="68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57,477</w:t>
            </w:r>
          </w:p>
        </w:tc>
        <w:tc>
          <w:tcPr>
            <w:tcW w:w="5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148,783</w:t>
            </w:r>
          </w:p>
        </w:tc>
        <w:tc>
          <w:tcPr>
            <w:tcW w:w="26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9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138,650</w:t>
            </w: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138,345</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138,415</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138,361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12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68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5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6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common share:</w:t>
            </w:r>
          </w:p>
        </w:tc>
        <w:tc>
          <w:tcPr>
            <w:tcW w:w="9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 allocated to common shareholders</w:t>
            </w:r>
          </w:p>
        </w:tc>
        <w:tc>
          <w:tcPr>
            <w:tcW w:w="12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50,847</w:t>
            </w:r>
          </w:p>
        </w:tc>
        <w:tc>
          <w:tcPr>
            <w:tcW w:w="68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57,477</w:t>
            </w:r>
          </w:p>
        </w:tc>
        <w:tc>
          <w:tcPr>
            <w:tcW w:w="5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148,783</w:t>
            </w:r>
          </w:p>
        </w:tc>
        <w:tc>
          <w:tcPr>
            <w:tcW w:w="26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171,719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9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138,650</w:t>
            </w: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138,345</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138,415</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138,361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Incremental shares from assumed exercise of</w:t>
            </w: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outstanding options</w:t>
            </w:r>
          </w:p>
        </w:tc>
        <w:tc>
          <w:tcPr>
            <w:tcW w:w="9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9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138,839</w:t>
            </w:r>
          </w:p>
        </w:tc>
        <w:tc>
          <w:tcPr>
            <w:tcW w:w="28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138,481</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138,549</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138,481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960" w:type="dxa"/>
            <w:vAlign w:val="bottom"/>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280" w:type="dxa"/>
            <w:vAlign w:val="bottom"/>
          </w:tcPr>
          <w:p>
            <w:pPr>
              <w:spacing w:after="0"/>
              <w:rPr>
                <w:sz w:val="21"/>
                <w:szCs w:val="21"/>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26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60" w:type="dxa"/>
            <w:vAlign w:val="bottom"/>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640" w:type="dxa"/>
            <w:vAlign w:val="bottom"/>
          </w:tcPr>
          <w:p>
            <w:pPr>
              <w:spacing w:after="0"/>
              <w:rPr>
                <w:sz w:val="24"/>
                <w:szCs w:val="24"/>
                <w:color w:val="auto"/>
              </w:rPr>
            </w:pPr>
          </w:p>
        </w:tc>
        <w:tc>
          <w:tcPr>
            <w:tcW w:w="12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27</w:t>
            </w: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6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-2700020</wp:posOffset>
            </wp:positionV>
            <wp:extent cx="7747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-2700020</wp:posOffset>
            </wp:positionV>
            <wp:extent cx="6858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-2700020</wp:posOffset>
            </wp:positionV>
            <wp:extent cx="6858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-2700020</wp:posOffset>
            </wp:positionV>
            <wp:extent cx="6858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7" w:name="page28"/>
    <w:bookmarkEnd w:id="27"/>
    <w:p>
      <w:pPr>
        <w:ind w:left="320" w:hanging="312"/>
        <w:spacing w:after="0"/>
        <w:tabs>
          <w:tab w:leader="none" w:pos="3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Hierarchy</w:t>
      </w:r>
    </w:p>
    <w:p>
      <w:pPr>
        <w:spacing w:after="0" w:line="229" w:lineRule="exact"/>
        <w:rPr>
          <w:sz w:val="20"/>
          <w:szCs w:val="20"/>
          <w:color w:val="auto"/>
        </w:rPr>
      </w:pPr>
    </w:p>
    <w:p>
      <w:pPr>
        <w:ind w:right="300" w:firstLine="469"/>
        <w:spacing w:after="0" w:line="282" w:lineRule="auto"/>
        <w:rPr>
          <w:sz w:val="20"/>
          <w:szCs w:val="20"/>
          <w:color w:val="auto"/>
        </w:rPr>
      </w:pPr>
      <w:r>
        <w:rPr>
          <w:rFonts w:ascii="Times New Roman" w:cs="Times New Roman" w:eastAsia="Times New Roman" w:hAnsi="Times New Roman"/>
          <w:sz w:val="18"/>
          <w:szCs w:val="18"/>
          <w:color w:val="auto"/>
        </w:rPr>
        <w:t>Fair value is the exchange price that would be received for an asset or paid to transfer a liability (exit price) in the principal or most advantageous market for the asset or liability in an orderly transaction between market participants on the measurement date.</w:t>
      </w:r>
    </w:p>
    <w:p>
      <w:pPr>
        <w:spacing w:after="0" w:line="162" w:lineRule="exact"/>
        <w:rPr>
          <w:sz w:val="20"/>
          <w:szCs w:val="20"/>
          <w:color w:val="auto"/>
        </w:rPr>
      </w:pPr>
    </w:p>
    <w:p>
      <w:pPr>
        <w:ind w:right="20" w:firstLine="469"/>
        <w:spacing w:after="0" w:line="282" w:lineRule="auto"/>
        <w:rPr>
          <w:sz w:val="20"/>
          <w:szCs w:val="20"/>
          <w:color w:val="auto"/>
        </w:rPr>
      </w:pPr>
      <w:r>
        <w:rPr>
          <w:rFonts w:ascii="Times New Roman" w:cs="Times New Roman" w:eastAsia="Times New Roman" w:hAnsi="Times New Roman"/>
          <w:sz w:val="18"/>
          <w:szCs w:val="18"/>
          <w:color w:val="auto"/>
        </w:rPr>
        <w:t xml:space="preserve">The valuation methodologies for financial assets and liabilities measured at fair value on a recurring and non-recurring basis are described in Note 18 — </w:t>
      </w:r>
      <w:r>
        <w:rPr>
          <w:rFonts w:ascii="Times New Roman" w:cs="Times New Roman" w:eastAsia="Times New Roman" w:hAnsi="Times New Roman"/>
          <w:sz w:val="18"/>
          <w:szCs w:val="18"/>
          <w:i w:val="1"/>
          <w:iCs w:val="1"/>
          <w:color w:val="auto"/>
        </w:rPr>
        <w:t>Fair Value Information,</w:t>
      </w:r>
      <w:r>
        <w:rPr>
          <w:rFonts w:ascii="Times New Roman" w:cs="Times New Roman" w:eastAsia="Times New Roman" w:hAnsi="Times New Roman"/>
          <w:sz w:val="18"/>
          <w:szCs w:val="18"/>
          <w:color w:val="auto"/>
        </w:rPr>
        <w:t xml:space="preserve"> included in our Annual Report on Form 10-K for the year ended December 31,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Recurring Basis</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tables below present the balances of assets and liabilities measured at fair value on a recurring basis as of the dates presented.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jc w:val="center"/>
              <w:ind w:left="139"/>
              <w:spacing w:after="0"/>
              <w:rPr>
                <w:sz w:val="20"/>
                <w:szCs w:val="20"/>
                <w:color w:val="auto"/>
              </w:rPr>
            </w:pPr>
            <w:r>
              <w:rPr>
                <w:rFonts w:ascii="Times New Roman" w:cs="Times New Roman" w:eastAsia="Times New Roman" w:hAnsi="Times New Roman"/>
                <w:sz w:val="16"/>
                <w:szCs w:val="16"/>
                <w:b w:val="1"/>
                <w:bCs w:val="1"/>
                <w:color w:val="auto"/>
              </w:rPr>
              <w:t>Quoted Prices</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rPr>
              <w:t>in Active</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rPr>
              <w:t>Markets for</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Significant Other</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Significant</w:t>
            </w:r>
          </w:p>
        </w:tc>
      </w:tr>
      <w:tr>
        <w:trPr>
          <w:trHeight w:val="203"/>
        </w:trPr>
        <w:tc>
          <w:tcPr>
            <w:tcW w:w="4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Carrying Value at</w:t>
            </w:r>
          </w:p>
        </w:tc>
        <w:tc>
          <w:tcPr>
            <w:tcW w:w="280" w:type="dxa"/>
            <w:vAlign w:val="bottom"/>
          </w:tcPr>
          <w:p>
            <w:pPr>
              <w:spacing w:after="0"/>
              <w:rPr>
                <w:sz w:val="17"/>
                <w:szCs w:val="17"/>
                <w:color w:val="auto"/>
              </w:rPr>
            </w:pPr>
          </w:p>
        </w:tc>
        <w:tc>
          <w:tcPr>
            <w:tcW w:w="1320" w:type="dxa"/>
            <w:vAlign w:val="bottom"/>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rPr>
              <w:t>Identical Assets</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Observable Inputs</w:t>
            </w:r>
          </w:p>
        </w:tc>
        <w:tc>
          <w:tcPr>
            <w:tcW w:w="280" w:type="dxa"/>
            <w:vAlign w:val="bottom"/>
          </w:tcPr>
          <w:p>
            <w:pPr>
              <w:spacing w:after="0"/>
              <w:rPr>
                <w:sz w:val="17"/>
                <w:szCs w:val="17"/>
                <w:color w:val="auto"/>
              </w:rPr>
            </w:pP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Unobservable Inputs</w:t>
            </w:r>
          </w:p>
        </w:tc>
      </w:tr>
      <w:tr>
        <w:trPr>
          <w:trHeight w:val="225"/>
        </w:trPr>
        <w:tc>
          <w:tcPr>
            <w:tcW w:w="40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280" w:type="dxa"/>
            <w:vAlign w:val="bottom"/>
          </w:tcPr>
          <w:p>
            <w:pPr>
              <w:spacing w:after="0"/>
              <w:rPr>
                <w:sz w:val="19"/>
                <w:szCs w:val="19"/>
                <w:color w:val="auto"/>
              </w:rPr>
            </w:pPr>
          </w:p>
        </w:tc>
        <w:tc>
          <w:tcPr>
            <w:tcW w:w="1320" w:type="dxa"/>
            <w:vAlign w:val="bottom"/>
            <w:tcBorders>
              <w:bottom w:val="single" w:sz="8" w:color="auto"/>
            </w:tcBorders>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2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00" w:type="dxa"/>
            <w:vAlign w:val="bottom"/>
          </w:tcPr>
          <w:p>
            <w:pPr>
              <w:spacing w:after="0"/>
              <w:rPr>
                <w:sz w:val="19"/>
                <w:szCs w:val="19"/>
                <w:color w:val="auto"/>
              </w:rPr>
            </w:pPr>
          </w:p>
        </w:tc>
      </w:tr>
      <w:tr>
        <w:trPr>
          <w:trHeight w:val="221"/>
        </w:trPr>
        <w:tc>
          <w:tcPr>
            <w:tcW w:w="4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gridSpan w:val="2"/>
          </w:tcPr>
          <w:p>
            <w:pPr>
              <w:ind w:left="840"/>
              <w:spacing w:after="0"/>
              <w:rPr>
                <w:sz w:val="20"/>
                <w:szCs w:val="20"/>
                <w:color w:val="auto"/>
              </w:rPr>
            </w:pPr>
            <w:r>
              <w:rPr>
                <w:rFonts w:ascii="Times New Roman" w:cs="Times New Roman" w:eastAsia="Times New Roman" w:hAnsi="Times New Roman"/>
                <w:sz w:val="16"/>
                <w:szCs w:val="16"/>
                <w:i w:val="1"/>
                <w:iCs w:val="1"/>
                <w:color w:val="auto"/>
                <w:w w:val="93"/>
              </w:rPr>
              <w:t>(Dollars in</w:t>
            </w:r>
          </w:p>
        </w:tc>
        <w:tc>
          <w:tcPr>
            <w:tcW w:w="1800" w:type="dxa"/>
            <w:vAlign w:val="bottom"/>
            <w:gridSpan w:val="3"/>
          </w:tcPr>
          <w:p>
            <w:pPr>
              <w:jc w:val="right"/>
              <w:ind w:right="939"/>
              <w:spacing w:after="0"/>
              <w:rPr>
                <w:sz w:val="20"/>
                <w:szCs w:val="20"/>
                <w:color w:val="auto"/>
              </w:rPr>
            </w:pPr>
            <w:r>
              <w:rPr>
                <w:rFonts w:ascii="Times New Roman" w:cs="Times New Roman" w:eastAsia="Times New Roman" w:hAnsi="Times New Roman"/>
                <w:sz w:val="16"/>
                <w:szCs w:val="16"/>
                <w:i w:val="1"/>
                <w:iCs w:val="1"/>
                <w:color w:val="auto"/>
              </w:rPr>
              <w:t>thousands)</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Description of assets</w:t>
            </w:r>
          </w:p>
        </w:tc>
        <w:tc>
          <w:tcPr>
            <w:tcW w:w="140" w:type="dxa"/>
            <w:vAlign w:val="bottom"/>
            <w:shd w:val="clear" w:color="auto" w:fill="CFF0FC"/>
          </w:tcPr>
          <w:p>
            <w:pPr>
              <w:spacing w:after="0"/>
              <w:rPr>
                <w:sz w:val="20"/>
                <w:szCs w:val="20"/>
                <w:color w:val="auto"/>
              </w:rPr>
            </w:pPr>
          </w:p>
        </w:tc>
        <w:tc>
          <w:tcPr>
            <w:tcW w:w="15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40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Investment securities - AFS:</w:t>
            </w: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40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Government agency/GSE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34,129</w:t>
            </w:r>
          </w:p>
        </w:tc>
        <w:tc>
          <w:tcPr>
            <w:tcW w:w="1600" w:type="dxa"/>
            <w:vAlign w:val="bottom"/>
            <w:gridSpan w:val="2"/>
            <w:shd w:val="clear" w:color="auto" w:fill="CFF0FC"/>
          </w:tcPr>
          <w:p>
            <w:pPr>
              <w:jc w:val="right"/>
              <w:ind w:right="11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34,129</w:t>
            </w:r>
          </w:p>
        </w:tc>
        <w:tc>
          <w:tcPr>
            <w:tcW w:w="50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shd w:val="clear" w:color="auto" w:fill="CFF0FC"/>
          </w:tcPr>
          <w:p>
            <w:pPr>
              <w:ind w:left="112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40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2,033,599</w:t>
            </w: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2,033,599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ind w:left="1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40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CMO/REMIC</w:t>
            </w:r>
          </w:p>
        </w:tc>
        <w:tc>
          <w:tcPr>
            <w:tcW w:w="140" w:type="dxa"/>
            <w:vAlign w:val="bottom"/>
            <w:shd w:val="clear" w:color="auto" w:fill="CFF0FC"/>
          </w:tcPr>
          <w:p>
            <w:pPr>
              <w:spacing w:after="0"/>
              <w:rPr>
                <w:sz w:val="20"/>
                <w:szCs w:val="20"/>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371,007</w:t>
            </w:r>
          </w:p>
        </w:tc>
        <w:tc>
          <w:tcPr>
            <w:tcW w:w="28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371,007</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ind w:left="112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40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Municipal bonds</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25,420</w:t>
            </w: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25,420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ind w:left="1120"/>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404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Other securities</w:t>
            </w:r>
          </w:p>
        </w:tc>
        <w:tc>
          <w:tcPr>
            <w:tcW w:w="140" w:type="dxa"/>
            <w:vAlign w:val="bottom"/>
            <w:tcBorders>
              <w:bottom w:val="single" w:sz="8" w:color="auto"/>
            </w:tcBorders>
            <w:shd w:val="clear" w:color="auto" w:fill="CFF0FC"/>
          </w:tcPr>
          <w:p>
            <w:pPr>
              <w:spacing w:after="0"/>
              <w:rPr>
                <w:sz w:val="20"/>
                <w:szCs w:val="20"/>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1,430</w:t>
            </w:r>
          </w:p>
        </w:tc>
        <w:tc>
          <w:tcPr>
            <w:tcW w:w="280" w:type="dxa"/>
            <w:vAlign w:val="bottom"/>
            <w:tcBorders>
              <w:bottom w:val="single" w:sz="8" w:color="CFF0FC"/>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1,430</w:t>
            </w: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ind w:left="112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0"/>
        </w:trPr>
        <w:tc>
          <w:tcPr>
            <w:tcW w:w="40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investment securities - AFS</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2,465,585</w:t>
            </w: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2,465,585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ind w:left="1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4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Derivatives not designated as hedging instruments:</w:t>
            </w:r>
          </w:p>
        </w:tc>
        <w:tc>
          <w:tcPr>
            <w:tcW w:w="140" w:type="dxa"/>
            <w:vAlign w:val="bottom"/>
            <w:shd w:val="clear" w:color="auto" w:fill="CFF0FC"/>
          </w:tcPr>
          <w:p>
            <w:pPr>
              <w:spacing w:after="0"/>
              <w:rPr>
                <w:sz w:val="20"/>
                <w:szCs w:val="20"/>
                <w:color w:val="auto"/>
              </w:rPr>
            </w:pPr>
          </w:p>
        </w:tc>
        <w:tc>
          <w:tcPr>
            <w:tcW w:w="15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40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Interest rate swaps</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ind w:left="1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4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Derivatives designated as hedging instruments:</w:t>
            </w:r>
          </w:p>
        </w:tc>
        <w:tc>
          <w:tcPr>
            <w:tcW w:w="140" w:type="dxa"/>
            <w:vAlign w:val="bottom"/>
            <w:shd w:val="clear" w:color="auto" w:fill="CFF0FC"/>
          </w:tcPr>
          <w:p>
            <w:pPr>
              <w:spacing w:after="0"/>
              <w:rPr>
                <w:sz w:val="20"/>
                <w:szCs w:val="20"/>
                <w:color w:val="auto"/>
              </w:rPr>
            </w:pPr>
          </w:p>
        </w:tc>
        <w:tc>
          <w:tcPr>
            <w:tcW w:w="15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40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Fair value hedges: interest rate swaps</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ind w:left="1120"/>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4040" w:type="dxa"/>
            <w:vAlign w:val="bottom"/>
            <w:tcBorders>
              <w:bottom w:val="single" w:sz="8" w:color="CFF0FC"/>
            </w:tcBorders>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Cash flow hedges: interest rate swaps</w:t>
            </w:r>
          </w:p>
        </w:tc>
        <w:tc>
          <w:tcPr>
            <w:tcW w:w="140" w:type="dxa"/>
            <w:vAlign w:val="bottom"/>
            <w:tcBorders>
              <w:bottom w:val="single" w:sz="8" w:color="auto"/>
            </w:tcBorders>
            <w:shd w:val="clear" w:color="auto" w:fill="CFF0FC"/>
          </w:tcPr>
          <w:p>
            <w:pPr>
              <w:spacing w:after="0"/>
              <w:rPr>
                <w:sz w:val="20"/>
                <w:szCs w:val="20"/>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FF0FC"/>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ind w:left="112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7"/>
        </w:trPr>
        <w:tc>
          <w:tcPr>
            <w:tcW w:w="40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2,465,950</w:t>
            </w:r>
          </w:p>
        </w:tc>
        <w:tc>
          <w:tcPr>
            <w:tcW w:w="1600" w:type="dxa"/>
            <w:vAlign w:val="bottom"/>
            <w:gridSpan w:val="2"/>
          </w:tcPr>
          <w:p>
            <w:pPr>
              <w:jc w:val="right"/>
              <w:ind w:right="11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2,465,950</w:t>
            </w:r>
          </w:p>
        </w:tc>
        <w:tc>
          <w:tcPr>
            <w:tcW w:w="50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tcPr>
          <w:p>
            <w:pPr>
              <w:ind w:left="112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4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3"/>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Description of liability</w:t>
            </w:r>
          </w:p>
        </w:tc>
        <w:tc>
          <w:tcPr>
            <w:tcW w:w="14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0"/>
        </w:trPr>
        <w:tc>
          <w:tcPr>
            <w:tcW w:w="40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Derivatives not designated as hedging instruments:</w:t>
            </w: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40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Interest rate swaps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1600" w:type="dxa"/>
            <w:vAlign w:val="bottom"/>
            <w:gridSpan w:val="2"/>
            <w:shd w:val="clear" w:color="auto" w:fill="CFF0FC"/>
          </w:tcPr>
          <w:p>
            <w:pPr>
              <w:jc w:val="right"/>
              <w:ind w:right="11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50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shd w:val="clear" w:color="auto" w:fill="CFF0FC"/>
          </w:tcPr>
          <w:p>
            <w:pPr>
              <w:ind w:left="112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40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Derivatives designated as hedging instruments:</w:t>
            </w: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40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Fair value hedges: interest rate swaps</w:t>
            </w:r>
          </w:p>
        </w:tc>
        <w:tc>
          <w:tcPr>
            <w:tcW w:w="140" w:type="dxa"/>
            <w:vAlign w:val="bottom"/>
            <w:shd w:val="clear" w:color="auto" w:fill="CFF0FC"/>
          </w:tcPr>
          <w:p>
            <w:pPr>
              <w:spacing w:after="0"/>
              <w:rPr>
                <w:sz w:val="20"/>
                <w:szCs w:val="20"/>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14,959</w:t>
            </w:r>
          </w:p>
        </w:tc>
        <w:tc>
          <w:tcPr>
            <w:tcW w:w="28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14,959</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ind w:left="1120"/>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40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Cash flow hedges: interest rate swaps</w:t>
            </w: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5,329</w:t>
            </w:r>
          </w:p>
        </w:tc>
        <w:tc>
          <w:tcPr>
            <w:tcW w:w="280" w:type="dxa"/>
            <w:vAlign w:val="bottom"/>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5,329</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9"/>
                <w:szCs w:val="19"/>
                <w:color w:val="auto"/>
              </w:rPr>
            </w:pPr>
          </w:p>
        </w:tc>
      </w:tr>
      <w:tr>
        <w:trPr>
          <w:trHeight w:val="266"/>
        </w:trPr>
        <w:tc>
          <w:tcPr>
            <w:tcW w:w="4040" w:type="dxa"/>
            <w:vAlign w:val="bottom"/>
            <w:tcBorders>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Total liabilities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20,652</w:t>
            </w:r>
          </w:p>
        </w:tc>
        <w:tc>
          <w:tcPr>
            <w:tcW w:w="280" w:type="dxa"/>
            <w:vAlign w:val="bottom"/>
            <w:tcBorders>
              <w:bottom w:val="single" w:sz="8" w:color="CFF0FC"/>
            </w:tcBorders>
            <w:shd w:val="clear" w:color="auto" w:fill="CFF0FC"/>
          </w:tcPr>
          <w:p>
            <w:pPr>
              <w:spacing w:after="0"/>
              <w:rPr>
                <w:sz w:val="23"/>
                <w:szCs w:val="23"/>
                <w:color w:val="auto"/>
              </w:rPr>
            </w:pPr>
          </w:p>
        </w:tc>
        <w:tc>
          <w:tcPr>
            <w:tcW w:w="1320" w:type="dxa"/>
            <w:vAlign w:val="bottom"/>
            <w:tcBorders>
              <w:bottom w:val="single" w:sz="8" w:color="auto"/>
            </w:tcBorders>
            <w:shd w:val="clear" w:color="auto" w:fill="CFF0FC"/>
          </w:tcPr>
          <w:p>
            <w:pPr>
              <w:jc w:val="right"/>
              <w:ind w:right="1139"/>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20,652</w:t>
            </w:r>
          </w:p>
        </w:tc>
        <w:tc>
          <w:tcPr>
            <w:tcW w:w="28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FF0FC"/>
          </w:tcPr>
          <w:p>
            <w:pPr>
              <w:ind w:left="112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-2116455</wp:posOffset>
            </wp:positionV>
            <wp:extent cx="7683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-2116455</wp:posOffset>
            </wp:positionV>
            <wp:extent cx="6858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-2116455</wp:posOffset>
            </wp:positionV>
            <wp:extent cx="6858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-2116455</wp:posOffset>
            </wp:positionV>
            <wp:extent cx="6858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-1233805</wp:posOffset>
            </wp:positionV>
            <wp:extent cx="7683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-1233805</wp:posOffset>
            </wp:positionV>
            <wp:extent cx="6858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-1233805</wp:posOffset>
            </wp:positionV>
            <wp:extent cx="6858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-1233805</wp:posOffset>
            </wp:positionV>
            <wp:extent cx="6858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-24765</wp:posOffset>
            </wp:positionV>
            <wp:extent cx="7683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-8255</wp:posOffset>
            </wp:positionV>
            <wp:extent cx="76835"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-24765</wp:posOffset>
            </wp:positionV>
            <wp:extent cx="6858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-8255</wp:posOffset>
            </wp:positionV>
            <wp:extent cx="6858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-24765</wp:posOffset>
            </wp:positionV>
            <wp:extent cx="6858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-8255</wp:posOffset>
            </wp:positionV>
            <wp:extent cx="6858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03"/>
        </w:trPr>
        <w:tc>
          <w:tcPr>
            <w:tcW w:w="4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jc w:val="center"/>
              <w:ind w:left="139"/>
              <w:spacing w:after="0"/>
              <w:rPr>
                <w:sz w:val="20"/>
                <w:szCs w:val="20"/>
                <w:color w:val="auto"/>
              </w:rPr>
            </w:pPr>
            <w:r>
              <w:rPr>
                <w:rFonts w:ascii="Times New Roman" w:cs="Times New Roman" w:eastAsia="Times New Roman" w:hAnsi="Times New Roman"/>
                <w:sz w:val="16"/>
                <w:szCs w:val="16"/>
                <w:b w:val="1"/>
                <w:bCs w:val="1"/>
                <w:color w:val="auto"/>
              </w:rPr>
              <w:t>Quoted Prices</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rPr>
              <w:t>in Active</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rPr>
              <w:t>Markets for</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Significant Other</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Significant</w:t>
            </w:r>
          </w:p>
        </w:tc>
      </w:tr>
      <w:tr>
        <w:trPr>
          <w:trHeight w:val="203"/>
        </w:trPr>
        <w:tc>
          <w:tcPr>
            <w:tcW w:w="4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Carrying Value at</w:t>
            </w:r>
          </w:p>
        </w:tc>
        <w:tc>
          <w:tcPr>
            <w:tcW w:w="280" w:type="dxa"/>
            <w:vAlign w:val="bottom"/>
          </w:tcPr>
          <w:p>
            <w:pPr>
              <w:spacing w:after="0"/>
              <w:rPr>
                <w:sz w:val="17"/>
                <w:szCs w:val="17"/>
                <w:color w:val="auto"/>
              </w:rPr>
            </w:pPr>
          </w:p>
        </w:tc>
        <w:tc>
          <w:tcPr>
            <w:tcW w:w="1320" w:type="dxa"/>
            <w:vAlign w:val="bottom"/>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rPr>
              <w:t>Identical Assets</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Observable Inputs</w:t>
            </w:r>
          </w:p>
        </w:tc>
        <w:tc>
          <w:tcPr>
            <w:tcW w:w="280" w:type="dxa"/>
            <w:vAlign w:val="bottom"/>
          </w:tcPr>
          <w:p>
            <w:pPr>
              <w:spacing w:after="0"/>
              <w:rPr>
                <w:sz w:val="17"/>
                <w:szCs w:val="17"/>
                <w:color w:val="auto"/>
              </w:rPr>
            </w:pP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Unobservable Inputs</w:t>
            </w:r>
          </w:p>
        </w:tc>
      </w:tr>
      <w:tr>
        <w:trPr>
          <w:trHeight w:val="225"/>
        </w:trPr>
        <w:tc>
          <w:tcPr>
            <w:tcW w:w="40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80" w:type="dxa"/>
            <w:vAlign w:val="bottom"/>
          </w:tcPr>
          <w:p>
            <w:pPr>
              <w:spacing w:after="0"/>
              <w:rPr>
                <w:sz w:val="19"/>
                <w:szCs w:val="19"/>
                <w:color w:val="auto"/>
              </w:rPr>
            </w:pPr>
          </w:p>
        </w:tc>
        <w:tc>
          <w:tcPr>
            <w:tcW w:w="1320" w:type="dxa"/>
            <w:vAlign w:val="bottom"/>
            <w:tcBorders>
              <w:bottom w:val="single" w:sz="8" w:color="auto"/>
            </w:tcBorders>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2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00" w:type="dxa"/>
            <w:vAlign w:val="bottom"/>
          </w:tcPr>
          <w:p>
            <w:pPr>
              <w:spacing w:after="0"/>
              <w:rPr>
                <w:sz w:val="19"/>
                <w:szCs w:val="19"/>
                <w:color w:val="auto"/>
              </w:rPr>
            </w:pPr>
          </w:p>
        </w:tc>
      </w:tr>
      <w:tr>
        <w:trPr>
          <w:trHeight w:val="221"/>
        </w:trPr>
        <w:tc>
          <w:tcPr>
            <w:tcW w:w="4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gridSpan w:val="2"/>
          </w:tcPr>
          <w:p>
            <w:pPr>
              <w:ind w:left="840"/>
              <w:spacing w:after="0"/>
              <w:rPr>
                <w:sz w:val="20"/>
                <w:szCs w:val="20"/>
                <w:color w:val="auto"/>
              </w:rPr>
            </w:pPr>
            <w:r>
              <w:rPr>
                <w:rFonts w:ascii="Times New Roman" w:cs="Times New Roman" w:eastAsia="Times New Roman" w:hAnsi="Times New Roman"/>
                <w:sz w:val="16"/>
                <w:szCs w:val="16"/>
                <w:i w:val="1"/>
                <w:iCs w:val="1"/>
                <w:color w:val="auto"/>
                <w:w w:val="93"/>
              </w:rPr>
              <w:t>(Dollars in</w:t>
            </w:r>
          </w:p>
        </w:tc>
        <w:tc>
          <w:tcPr>
            <w:tcW w:w="1800" w:type="dxa"/>
            <w:vAlign w:val="bottom"/>
            <w:gridSpan w:val="3"/>
          </w:tcPr>
          <w:p>
            <w:pPr>
              <w:jc w:val="right"/>
              <w:ind w:right="939"/>
              <w:spacing w:after="0"/>
              <w:rPr>
                <w:sz w:val="20"/>
                <w:szCs w:val="20"/>
                <w:color w:val="auto"/>
              </w:rPr>
            </w:pPr>
            <w:r>
              <w:rPr>
                <w:rFonts w:ascii="Times New Roman" w:cs="Times New Roman" w:eastAsia="Times New Roman" w:hAnsi="Times New Roman"/>
                <w:sz w:val="16"/>
                <w:szCs w:val="16"/>
                <w:i w:val="1"/>
                <w:iCs w:val="1"/>
                <w:color w:val="auto"/>
              </w:rPr>
              <w:t>thousands)</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Description of assets</w:t>
            </w:r>
          </w:p>
        </w:tc>
        <w:tc>
          <w:tcPr>
            <w:tcW w:w="140" w:type="dxa"/>
            <w:vAlign w:val="bottom"/>
            <w:shd w:val="clear" w:color="auto" w:fill="CFF0FC"/>
          </w:tcPr>
          <w:p>
            <w:pPr>
              <w:spacing w:after="0"/>
              <w:rPr>
                <w:sz w:val="20"/>
                <w:szCs w:val="20"/>
                <w:color w:val="auto"/>
              </w:rPr>
            </w:pPr>
          </w:p>
        </w:tc>
        <w:tc>
          <w:tcPr>
            <w:tcW w:w="15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40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Investment securities - AFS:</w:t>
            </w: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3"/>
        </w:trPr>
        <w:tc>
          <w:tcPr>
            <w:tcW w:w="40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Government agency/GSE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32,253</w:t>
            </w:r>
          </w:p>
        </w:tc>
        <w:tc>
          <w:tcPr>
            <w:tcW w:w="1600" w:type="dxa"/>
            <w:vAlign w:val="bottom"/>
            <w:gridSpan w:val="2"/>
            <w:shd w:val="clear" w:color="auto" w:fill="CFF0FC"/>
          </w:tcPr>
          <w:p>
            <w:pPr>
              <w:jc w:val="right"/>
              <w:ind w:right="11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32,253</w:t>
            </w:r>
          </w:p>
        </w:tc>
        <w:tc>
          <w:tcPr>
            <w:tcW w:w="50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shd w:val="clear" w:color="auto" w:fill="CFF0FC"/>
          </w:tcPr>
          <w:p>
            <w:pPr>
              <w:ind w:left="112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40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2,507,679</w:t>
            </w: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2,507,679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ind w:left="1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40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CMO/REMIC</w:t>
            </w:r>
          </w:p>
        </w:tc>
        <w:tc>
          <w:tcPr>
            <w:tcW w:w="140" w:type="dxa"/>
            <w:vAlign w:val="bottom"/>
            <w:shd w:val="clear" w:color="auto" w:fill="CFF0FC"/>
          </w:tcPr>
          <w:p>
            <w:pPr>
              <w:spacing w:after="0"/>
              <w:rPr>
                <w:sz w:val="20"/>
                <w:szCs w:val="20"/>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389,362</w:t>
            </w:r>
          </w:p>
        </w:tc>
        <w:tc>
          <w:tcPr>
            <w:tcW w:w="28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389,362</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ind w:left="112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40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Municipal bonds</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25,635</w:t>
            </w: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25,635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ind w:left="1120"/>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404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Other securities</w:t>
            </w:r>
          </w:p>
        </w:tc>
        <w:tc>
          <w:tcPr>
            <w:tcW w:w="140" w:type="dxa"/>
            <w:vAlign w:val="bottom"/>
            <w:tcBorders>
              <w:bottom w:val="single" w:sz="8" w:color="auto"/>
            </w:tcBorders>
            <w:shd w:val="clear" w:color="auto" w:fill="CFF0FC"/>
          </w:tcPr>
          <w:p>
            <w:pPr>
              <w:spacing w:after="0"/>
              <w:rPr>
                <w:sz w:val="20"/>
                <w:szCs w:val="20"/>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1,196</w:t>
            </w:r>
          </w:p>
        </w:tc>
        <w:tc>
          <w:tcPr>
            <w:tcW w:w="280" w:type="dxa"/>
            <w:vAlign w:val="bottom"/>
            <w:tcBorders>
              <w:bottom w:val="single" w:sz="8" w:color="CFF0FC"/>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1,196</w:t>
            </w: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ind w:left="112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0"/>
        </w:trPr>
        <w:tc>
          <w:tcPr>
            <w:tcW w:w="40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investment securities - AFS</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2,956,125</w:t>
            </w: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2,956,125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ind w:left="1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4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Derivatives not designated as hedging instruments:</w:t>
            </w:r>
          </w:p>
        </w:tc>
        <w:tc>
          <w:tcPr>
            <w:tcW w:w="140" w:type="dxa"/>
            <w:vAlign w:val="bottom"/>
            <w:shd w:val="clear" w:color="auto" w:fill="CFF0FC"/>
          </w:tcPr>
          <w:p>
            <w:pPr>
              <w:spacing w:after="0"/>
              <w:rPr>
                <w:sz w:val="20"/>
                <w:szCs w:val="20"/>
                <w:color w:val="auto"/>
              </w:rPr>
            </w:pPr>
          </w:p>
        </w:tc>
        <w:tc>
          <w:tcPr>
            <w:tcW w:w="15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3"/>
        </w:trPr>
        <w:tc>
          <w:tcPr>
            <w:tcW w:w="40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Interest rate swaps</w:t>
            </w:r>
          </w:p>
        </w:tc>
        <w:tc>
          <w:tcPr>
            <w:tcW w:w="1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ind w:left="1120"/>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40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Derivatives designated as hedging instruments:</w:t>
            </w:r>
          </w:p>
        </w:tc>
        <w:tc>
          <w:tcPr>
            <w:tcW w:w="140" w:type="dxa"/>
            <w:vAlign w:val="bottom"/>
            <w:tcBorders>
              <w:bottom w:val="single" w:sz="8" w:color="CFF0FC"/>
            </w:tcBorders>
            <w:shd w:val="clear" w:color="auto" w:fill="CFF0FC"/>
          </w:tcPr>
          <w:p>
            <w:pPr>
              <w:spacing w:after="0"/>
              <w:rPr>
                <w:sz w:val="20"/>
                <w:szCs w:val="20"/>
                <w:color w:val="auto"/>
              </w:rPr>
            </w:pPr>
          </w:p>
        </w:tc>
        <w:tc>
          <w:tcPr>
            <w:tcW w:w="15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13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4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3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40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Interest rate swaps</w:t>
            </w: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9"/>
                <w:szCs w:val="19"/>
                <w:color w:val="auto"/>
              </w:rPr>
            </w:pPr>
          </w:p>
        </w:tc>
      </w:tr>
      <w:tr>
        <w:trPr>
          <w:trHeight w:val="267"/>
        </w:trPr>
        <w:tc>
          <w:tcPr>
            <w:tcW w:w="404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Total assets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2,956,237</w:t>
            </w:r>
          </w:p>
        </w:tc>
        <w:tc>
          <w:tcPr>
            <w:tcW w:w="1600" w:type="dxa"/>
            <w:vAlign w:val="bottom"/>
            <w:gridSpan w:val="2"/>
            <w:shd w:val="clear" w:color="auto" w:fill="CFF0FC"/>
          </w:tcPr>
          <w:p>
            <w:pPr>
              <w:jc w:val="right"/>
              <w:ind w:right="11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2,956,237</w:t>
            </w:r>
          </w:p>
        </w:tc>
        <w:tc>
          <w:tcPr>
            <w:tcW w:w="50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shd w:val="clear" w:color="auto" w:fill="CFF0FC"/>
          </w:tcPr>
          <w:p>
            <w:pPr>
              <w:ind w:left="1120"/>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40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Description of liability</w:t>
            </w:r>
          </w:p>
        </w:tc>
        <w:tc>
          <w:tcPr>
            <w:tcW w:w="14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38"/>
        </w:trPr>
        <w:tc>
          <w:tcPr>
            <w:tcW w:w="4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Derivatives not designated as hedging instruments:</w:t>
            </w:r>
          </w:p>
        </w:tc>
        <w:tc>
          <w:tcPr>
            <w:tcW w:w="140" w:type="dxa"/>
            <w:vAlign w:val="bottom"/>
            <w:shd w:val="clear" w:color="auto" w:fill="CFF0FC"/>
          </w:tcPr>
          <w:p>
            <w:pPr>
              <w:spacing w:after="0"/>
              <w:rPr>
                <w:sz w:val="20"/>
                <w:szCs w:val="20"/>
                <w:color w:val="auto"/>
              </w:rPr>
            </w:pPr>
          </w:p>
        </w:tc>
        <w:tc>
          <w:tcPr>
            <w:tcW w:w="15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3"/>
        </w:trPr>
        <w:tc>
          <w:tcPr>
            <w:tcW w:w="40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Interest rate swaps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600" w:type="dxa"/>
            <w:vAlign w:val="bottom"/>
            <w:gridSpan w:val="2"/>
          </w:tcPr>
          <w:p>
            <w:pPr>
              <w:jc w:val="right"/>
              <w:ind w:right="11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50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tcPr>
          <w:p>
            <w:pPr>
              <w:ind w:left="1120"/>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40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Derivatives designated as hedging instruments:</w:t>
            </w:r>
          </w:p>
        </w:tc>
        <w:tc>
          <w:tcPr>
            <w:tcW w:w="140" w:type="dxa"/>
            <w:vAlign w:val="bottom"/>
            <w:tcBorders>
              <w:bottom w:val="single" w:sz="8" w:color="CFF0FC"/>
            </w:tcBorders>
            <w:shd w:val="clear" w:color="auto" w:fill="CFF0FC"/>
          </w:tcPr>
          <w:p>
            <w:pPr>
              <w:spacing w:after="0"/>
              <w:rPr>
                <w:sz w:val="20"/>
                <w:szCs w:val="20"/>
                <w:color w:val="auto"/>
              </w:rPr>
            </w:pPr>
          </w:p>
        </w:tc>
        <w:tc>
          <w:tcPr>
            <w:tcW w:w="15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13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4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3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40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Interest rate swaps</w:t>
            </w: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6,938</w:t>
            </w:r>
          </w:p>
        </w:tc>
        <w:tc>
          <w:tcPr>
            <w:tcW w:w="280" w:type="dxa"/>
            <w:vAlign w:val="bottom"/>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6,938</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9"/>
                <w:szCs w:val="19"/>
                <w:color w:val="auto"/>
              </w:rPr>
            </w:pPr>
          </w:p>
        </w:tc>
      </w:tr>
      <w:tr>
        <w:trPr>
          <w:trHeight w:val="266"/>
        </w:trPr>
        <w:tc>
          <w:tcPr>
            <w:tcW w:w="4040" w:type="dxa"/>
            <w:vAlign w:val="bottom"/>
            <w:tcBorders>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Total liabilities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7,050</w:t>
            </w:r>
          </w:p>
        </w:tc>
        <w:tc>
          <w:tcPr>
            <w:tcW w:w="280" w:type="dxa"/>
            <w:vAlign w:val="bottom"/>
            <w:tcBorders>
              <w:bottom w:val="single" w:sz="8" w:color="CFF0FC"/>
            </w:tcBorders>
            <w:shd w:val="clear" w:color="auto" w:fill="CFF0FC"/>
          </w:tcPr>
          <w:p>
            <w:pPr>
              <w:spacing w:after="0"/>
              <w:rPr>
                <w:sz w:val="23"/>
                <w:szCs w:val="23"/>
                <w:color w:val="auto"/>
              </w:rPr>
            </w:pPr>
          </w:p>
        </w:tc>
        <w:tc>
          <w:tcPr>
            <w:tcW w:w="1320" w:type="dxa"/>
            <w:vAlign w:val="bottom"/>
            <w:tcBorders>
              <w:bottom w:val="single" w:sz="8" w:color="auto"/>
            </w:tcBorders>
            <w:shd w:val="clear" w:color="auto" w:fill="CFF0FC"/>
          </w:tcPr>
          <w:p>
            <w:pPr>
              <w:jc w:val="right"/>
              <w:ind w:right="1139"/>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7,050</w:t>
            </w:r>
          </w:p>
        </w:tc>
        <w:tc>
          <w:tcPr>
            <w:tcW w:w="28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FF0FC"/>
          </w:tcPr>
          <w:p>
            <w:pPr>
              <w:ind w:left="112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-1859915</wp:posOffset>
            </wp:positionV>
            <wp:extent cx="76835"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-1859915</wp:posOffset>
            </wp:positionV>
            <wp:extent cx="6858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-1859915</wp:posOffset>
            </wp:positionV>
            <wp:extent cx="6858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-1859915</wp:posOffset>
            </wp:positionV>
            <wp:extent cx="6858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-951230</wp:posOffset>
            </wp:positionV>
            <wp:extent cx="76835"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-933450</wp:posOffset>
            </wp:positionV>
            <wp:extent cx="7683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-951230</wp:posOffset>
            </wp:positionV>
            <wp:extent cx="6858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-933450</wp:posOffset>
            </wp:positionV>
            <wp:extent cx="6858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-951230</wp:posOffset>
            </wp:positionV>
            <wp:extent cx="6858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-933450</wp:posOffset>
            </wp:positionV>
            <wp:extent cx="6858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-951230</wp:posOffset>
            </wp:positionV>
            <wp:extent cx="6858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-24765</wp:posOffset>
            </wp:positionV>
            <wp:extent cx="7683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-7620</wp:posOffset>
            </wp:positionV>
            <wp:extent cx="7683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-24765</wp:posOffset>
            </wp:positionV>
            <wp:extent cx="6858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-7620</wp:posOffset>
            </wp:positionV>
            <wp:extent cx="6858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-24765</wp:posOffset>
            </wp:positionV>
            <wp:extent cx="6858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-7620</wp:posOffset>
            </wp:positionV>
            <wp:extent cx="6858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Non-Recurring Basis</w:t>
      </w:r>
    </w:p>
    <w:p>
      <w:pPr>
        <w:spacing w:after="0" w:line="229" w:lineRule="exact"/>
        <w:rPr>
          <w:sz w:val="20"/>
          <w:szCs w:val="20"/>
          <w:color w:val="auto"/>
        </w:rPr>
      </w:pPr>
    </w:p>
    <w:p>
      <w:pPr>
        <w:ind w:right="540" w:firstLine="469"/>
        <w:spacing w:after="0" w:line="282" w:lineRule="auto"/>
        <w:rPr>
          <w:sz w:val="20"/>
          <w:szCs w:val="20"/>
          <w:color w:val="auto"/>
        </w:rPr>
      </w:pPr>
      <w:r>
        <w:rPr>
          <w:rFonts w:ascii="Times New Roman" w:cs="Times New Roman" w:eastAsia="Times New Roman" w:hAnsi="Times New Roman"/>
          <w:sz w:val="18"/>
          <w:szCs w:val="18"/>
          <w:color w:val="auto"/>
        </w:rPr>
        <w:t>We may be required to measure certain assets at fair value on a non-recurring basis in accordance with GAAP. These adjustments to fair value usually result from application of lower of cost or fair value accounting or impairment write-downs of individual assets.</w:t>
      </w:r>
    </w:p>
    <w:p>
      <w:pPr>
        <w:spacing w:after="0" w:line="162" w:lineRule="exact"/>
        <w:rPr>
          <w:sz w:val="20"/>
          <w:szCs w:val="20"/>
          <w:color w:val="auto"/>
        </w:rPr>
      </w:pPr>
    </w:p>
    <w:p>
      <w:pPr>
        <w:jc w:val="both"/>
        <w:ind w:right="240" w:firstLine="469"/>
        <w:spacing w:after="0" w:line="257" w:lineRule="auto"/>
        <w:rPr>
          <w:sz w:val="20"/>
          <w:szCs w:val="20"/>
          <w:color w:val="auto"/>
        </w:rPr>
      </w:pPr>
      <w:r>
        <w:rPr>
          <w:rFonts w:ascii="Times New Roman" w:cs="Times New Roman" w:eastAsia="Times New Roman" w:hAnsi="Times New Roman"/>
          <w:sz w:val="18"/>
          <w:szCs w:val="18"/>
          <w:color w:val="auto"/>
        </w:rPr>
        <w:t>For assets measured at fair value on a non-recurring basis that were held on the balance sheet at September 30, 2024 and December 31, 2023, the following tables provide the level of valuation assumptions used to determine each adjustment and the carrying value of the related assets that had losses during the period.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4"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72"/>
        </w:trPr>
        <w:tc>
          <w:tcPr>
            <w:tcW w:w="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tcPr>
          <w:p>
            <w:pPr>
              <w:jc w:val="center"/>
              <w:ind w:left="122"/>
              <w:spacing w:after="0"/>
              <w:rPr>
                <w:sz w:val="20"/>
                <w:szCs w:val="20"/>
                <w:color w:val="auto"/>
              </w:rPr>
            </w:pPr>
            <w:r>
              <w:rPr>
                <w:rFonts w:ascii="Times New Roman" w:cs="Times New Roman" w:eastAsia="Times New Roman" w:hAnsi="Times New Roman"/>
                <w:sz w:val="15"/>
                <w:szCs w:val="15"/>
                <w:b w:val="1"/>
                <w:bCs w:val="1"/>
                <w:color w:val="auto"/>
              </w:rPr>
              <w:t>Quoted Prices</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62"/>
        </w:trPr>
        <w:tc>
          <w:tcPr>
            <w:tcW w:w="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tcPr>
          <w:p>
            <w:pPr>
              <w:jc w:val="center"/>
              <w:ind w:left="102"/>
              <w:spacing w:after="0" w:line="162" w:lineRule="exact"/>
              <w:rPr>
                <w:sz w:val="20"/>
                <w:szCs w:val="20"/>
                <w:color w:val="auto"/>
              </w:rPr>
            </w:pPr>
            <w:r>
              <w:rPr>
                <w:rFonts w:ascii="Times New Roman" w:cs="Times New Roman" w:eastAsia="Times New Roman" w:hAnsi="Times New Roman"/>
                <w:sz w:val="15"/>
                <w:szCs w:val="15"/>
                <w:b w:val="1"/>
                <w:bCs w:val="1"/>
                <w:color w:val="auto"/>
              </w:rPr>
              <w:t>in Active</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3"/>
          </w:tcPr>
          <w:p>
            <w:pPr>
              <w:jc w:val="center"/>
              <w:ind w:right="260"/>
              <w:spacing w:after="0" w:line="162" w:lineRule="exact"/>
              <w:rPr>
                <w:sz w:val="20"/>
                <w:szCs w:val="20"/>
                <w:color w:val="auto"/>
              </w:rPr>
            </w:pPr>
            <w:r>
              <w:rPr>
                <w:rFonts w:ascii="Times New Roman" w:cs="Times New Roman" w:eastAsia="Times New Roman" w:hAnsi="Times New Roman"/>
                <w:sz w:val="15"/>
                <w:szCs w:val="15"/>
                <w:b w:val="1"/>
                <w:bCs w:val="1"/>
                <w:color w:val="auto"/>
                <w:w w:val="97"/>
              </w:rPr>
              <w:t>Total Losses</w:t>
            </w:r>
          </w:p>
        </w:tc>
      </w:tr>
      <w:tr>
        <w:trPr>
          <w:trHeight w:val="162"/>
        </w:trPr>
        <w:tc>
          <w:tcPr>
            <w:tcW w:w="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tcPr>
          <w:p>
            <w:pPr>
              <w:jc w:val="center"/>
              <w:ind w:left="102"/>
              <w:spacing w:after="0" w:line="162" w:lineRule="exact"/>
              <w:rPr>
                <w:sz w:val="20"/>
                <w:szCs w:val="20"/>
                <w:color w:val="auto"/>
              </w:rPr>
            </w:pPr>
            <w:r>
              <w:rPr>
                <w:rFonts w:ascii="Times New Roman" w:cs="Times New Roman" w:eastAsia="Times New Roman" w:hAnsi="Times New Roman"/>
                <w:sz w:val="15"/>
                <w:szCs w:val="15"/>
                <w:b w:val="1"/>
                <w:bCs w:val="1"/>
                <w:color w:val="auto"/>
              </w:rPr>
              <w:t>Markets for</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3"/>
          </w:tcPr>
          <w:p>
            <w:pPr>
              <w:jc w:val="center"/>
              <w:ind w:right="400"/>
              <w:spacing w:after="0" w:line="162" w:lineRule="exact"/>
              <w:rPr>
                <w:sz w:val="20"/>
                <w:szCs w:val="20"/>
                <w:color w:val="auto"/>
              </w:rPr>
            </w:pPr>
            <w:r>
              <w:rPr>
                <w:rFonts w:ascii="Times New Roman" w:cs="Times New Roman" w:eastAsia="Times New Roman" w:hAnsi="Times New Roman"/>
                <w:sz w:val="15"/>
                <w:szCs w:val="15"/>
                <w:b w:val="1"/>
                <w:bCs w:val="1"/>
                <w:color w:val="auto"/>
              </w:rPr>
              <w:t>Significant Other</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5"/>
                <w:szCs w:val="15"/>
                <w:b w:val="1"/>
                <w:bCs w:val="1"/>
                <w:color w:val="auto"/>
              </w:rPr>
              <w:t>Significant</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3"/>
          </w:tcPr>
          <w:p>
            <w:pPr>
              <w:jc w:val="center"/>
              <w:ind w:right="240"/>
              <w:spacing w:after="0" w:line="162" w:lineRule="exact"/>
              <w:rPr>
                <w:sz w:val="20"/>
                <w:szCs w:val="20"/>
                <w:color w:val="auto"/>
              </w:rPr>
            </w:pPr>
            <w:r>
              <w:rPr>
                <w:rFonts w:ascii="Times New Roman" w:cs="Times New Roman" w:eastAsia="Times New Roman" w:hAnsi="Times New Roman"/>
                <w:sz w:val="15"/>
                <w:szCs w:val="15"/>
                <w:b w:val="1"/>
                <w:bCs w:val="1"/>
                <w:color w:val="auto"/>
              </w:rPr>
              <w:t>For the</w:t>
            </w:r>
          </w:p>
        </w:tc>
      </w:tr>
      <w:tr>
        <w:trPr>
          <w:trHeight w:val="162"/>
        </w:trPr>
        <w:tc>
          <w:tcPr>
            <w:tcW w:w="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40" w:type="dxa"/>
            <w:vAlign w:val="bottom"/>
            <w:gridSpan w:val="4"/>
          </w:tcPr>
          <w:p>
            <w:pPr>
              <w:ind w:left="100"/>
              <w:spacing w:after="0" w:line="162" w:lineRule="exact"/>
              <w:rPr>
                <w:sz w:val="20"/>
                <w:szCs w:val="20"/>
                <w:color w:val="auto"/>
              </w:rPr>
            </w:pPr>
            <w:r>
              <w:rPr>
                <w:rFonts w:ascii="Times New Roman" w:cs="Times New Roman" w:eastAsia="Times New Roman" w:hAnsi="Times New Roman"/>
                <w:sz w:val="15"/>
                <w:szCs w:val="15"/>
                <w:b w:val="1"/>
                <w:bCs w:val="1"/>
                <w:color w:val="auto"/>
              </w:rPr>
              <w:t>Carrying Value at</w:t>
            </w:r>
          </w:p>
        </w:tc>
        <w:tc>
          <w:tcPr>
            <w:tcW w:w="20" w:type="dxa"/>
            <w:vAlign w:val="bottom"/>
          </w:tcPr>
          <w:p>
            <w:pPr>
              <w:spacing w:after="0"/>
              <w:rPr>
                <w:sz w:val="14"/>
                <w:szCs w:val="14"/>
                <w:color w:val="auto"/>
              </w:rPr>
            </w:pPr>
          </w:p>
        </w:tc>
        <w:tc>
          <w:tcPr>
            <w:tcW w:w="1240" w:type="dxa"/>
            <w:vAlign w:val="bottom"/>
          </w:tcPr>
          <w:p>
            <w:pPr>
              <w:jc w:val="center"/>
              <w:ind w:left="102"/>
              <w:spacing w:after="0" w:line="162" w:lineRule="exact"/>
              <w:rPr>
                <w:sz w:val="20"/>
                <w:szCs w:val="20"/>
                <w:color w:val="auto"/>
              </w:rPr>
            </w:pPr>
            <w:r>
              <w:rPr>
                <w:rFonts w:ascii="Times New Roman" w:cs="Times New Roman" w:eastAsia="Times New Roman" w:hAnsi="Times New Roman"/>
                <w:sz w:val="15"/>
                <w:szCs w:val="15"/>
                <w:b w:val="1"/>
                <w:bCs w:val="1"/>
                <w:color w:val="auto"/>
              </w:rPr>
              <w:t>Identical Assets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3"/>
          </w:tcPr>
          <w:p>
            <w:pPr>
              <w:jc w:val="center"/>
              <w:ind w:right="360"/>
              <w:spacing w:after="0" w:line="162" w:lineRule="exact"/>
              <w:rPr>
                <w:sz w:val="20"/>
                <w:szCs w:val="20"/>
                <w:color w:val="auto"/>
              </w:rPr>
            </w:pPr>
            <w:r>
              <w:rPr>
                <w:rFonts w:ascii="Times New Roman" w:cs="Times New Roman" w:eastAsia="Times New Roman" w:hAnsi="Times New Roman"/>
                <w:sz w:val="15"/>
                <w:szCs w:val="15"/>
                <w:b w:val="1"/>
                <w:bCs w:val="1"/>
                <w:color w:val="auto"/>
              </w:rPr>
              <w:t>Observable Inputs</w:t>
            </w:r>
          </w:p>
        </w:tc>
        <w:tc>
          <w:tcPr>
            <w:tcW w:w="20" w:type="dxa"/>
            <w:vAlign w:val="bottom"/>
          </w:tcPr>
          <w:p>
            <w:pPr>
              <w:spacing w:after="0"/>
              <w:rPr>
                <w:sz w:val="14"/>
                <w:szCs w:val="14"/>
                <w:color w:val="auto"/>
              </w:rPr>
            </w:pPr>
          </w:p>
        </w:tc>
        <w:tc>
          <w:tcPr>
            <w:tcW w:w="1460" w:type="dxa"/>
            <w:vAlign w:val="bottom"/>
            <w:gridSpan w:val="3"/>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Unobservable Inputs</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0" w:type="dxa"/>
            <w:vAlign w:val="bottom"/>
            <w:gridSpan w:val="4"/>
          </w:tcPr>
          <w:p>
            <w:pPr>
              <w:jc w:val="center"/>
              <w:ind w:right="100"/>
              <w:spacing w:after="0" w:line="162" w:lineRule="exact"/>
              <w:rPr>
                <w:sz w:val="20"/>
                <w:szCs w:val="20"/>
                <w:color w:val="auto"/>
              </w:rPr>
            </w:pPr>
            <w:r>
              <w:rPr>
                <w:rFonts w:ascii="Times New Roman" w:cs="Times New Roman" w:eastAsia="Times New Roman" w:hAnsi="Times New Roman"/>
                <w:sz w:val="15"/>
                <w:szCs w:val="15"/>
                <w:b w:val="1"/>
                <w:bCs w:val="1"/>
                <w:color w:val="auto"/>
              </w:rPr>
              <w:t>Nine Months Ended</w:t>
            </w:r>
          </w:p>
        </w:tc>
      </w:tr>
      <w:tr>
        <w:trPr>
          <w:trHeight w:val="197"/>
        </w:trPr>
        <w:tc>
          <w:tcPr>
            <w:tcW w:w="8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40" w:type="dxa"/>
            <w:vAlign w:val="bottom"/>
            <w:gridSpan w:val="4"/>
          </w:tcPr>
          <w:p>
            <w:pPr>
              <w:jc w:val="right"/>
              <w:ind w:right="400"/>
              <w:spacing w:after="0"/>
              <w:rPr>
                <w:sz w:val="20"/>
                <w:szCs w:val="20"/>
                <w:color w:val="auto"/>
              </w:rPr>
            </w:pPr>
            <w:r>
              <w:rPr>
                <w:rFonts w:ascii="Times New Roman" w:cs="Times New Roman" w:eastAsia="Times New Roman" w:hAnsi="Times New Roman"/>
                <w:sz w:val="15"/>
                <w:szCs w:val="15"/>
                <w:b w:val="1"/>
                <w:bCs w:val="1"/>
                <w:color w:val="auto"/>
              </w:rPr>
              <w:t>September 30, 2024</w:t>
            </w:r>
          </w:p>
        </w:tc>
        <w:tc>
          <w:tcPr>
            <w:tcW w:w="20" w:type="dxa"/>
            <w:vAlign w:val="bottom"/>
          </w:tcPr>
          <w:p>
            <w:pPr>
              <w:spacing w:after="0"/>
              <w:rPr>
                <w:sz w:val="17"/>
                <w:szCs w:val="17"/>
                <w:color w:val="auto"/>
              </w:rPr>
            </w:pPr>
          </w:p>
        </w:tc>
        <w:tc>
          <w:tcPr>
            <w:tcW w:w="1240" w:type="dxa"/>
            <w:vAlign w:val="bottom"/>
          </w:tcPr>
          <w:p>
            <w:pPr>
              <w:jc w:val="center"/>
              <w:ind w:left="102"/>
              <w:spacing w:after="0"/>
              <w:rPr>
                <w:sz w:val="20"/>
                <w:szCs w:val="20"/>
                <w:color w:val="auto"/>
              </w:rPr>
            </w:pPr>
            <w:r>
              <w:rPr>
                <w:rFonts w:ascii="Times New Roman" w:cs="Times New Roman" w:eastAsia="Times New Roman" w:hAnsi="Times New Roman"/>
                <w:sz w:val="15"/>
                <w:szCs w:val="15"/>
                <w:b w:val="1"/>
                <w:bCs w:val="1"/>
                <w:color w:val="auto"/>
              </w:rPr>
              <w:t>(Level 1)</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3"/>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rPr>
              <w:t>(Level 2)</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(Level 3)</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3"/>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September 30, 2024</w:t>
            </w:r>
          </w:p>
        </w:tc>
      </w:tr>
      <w:tr>
        <w:trPr>
          <w:trHeight w:val="233"/>
        </w:trPr>
        <w:tc>
          <w:tcPr>
            <w:tcW w:w="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i w:val="1"/>
                <w:iCs w:val="1"/>
                <w:color w:val="auto"/>
                <w:w w:val="87"/>
              </w:rPr>
              <w:t>(Dollars in thousands)</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46"/>
        </w:trPr>
        <w:tc>
          <w:tcPr>
            <w:tcW w:w="27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 of assets</w:t>
            </w:r>
          </w:p>
        </w:tc>
        <w:tc>
          <w:tcPr>
            <w:tcW w:w="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tcBorders>
              <w:right w:val="single" w:sz="8" w:color="CFF0FC"/>
            </w:tcBorders>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r>
      <w:tr>
        <w:trPr>
          <w:trHeight w:val="239"/>
        </w:trPr>
        <w:tc>
          <w:tcPr>
            <w:tcW w:w="80" w:type="dxa"/>
            <w:vAlign w:val="bottom"/>
          </w:tcPr>
          <w:p>
            <w:pPr>
              <w:spacing w:after="0"/>
              <w:rPr>
                <w:sz w:val="20"/>
                <w:szCs w:val="20"/>
                <w:color w:val="auto"/>
              </w:rPr>
            </w:pPr>
          </w:p>
        </w:tc>
        <w:tc>
          <w:tcPr>
            <w:tcW w:w="2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Loans: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80" w:type="dxa"/>
            <w:vAlign w:val="bottom"/>
            <w:shd w:val="clear" w:color="auto" w:fill="CFF0FC"/>
          </w:tcPr>
          <w:p>
            <w:pPr>
              <w:spacing w:after="0"/>
              <w:rPr>
                <w:sz w:val="21"/>
                <w:szCs w:val="21"/>
                <w:color w:val="auto"/>
              </w:rPr>
            </w:pPr>
          </w:p>
        </w:tc>
        <w:tc>
          <w:tcPr>
            <w:tcW w:w="26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Commercial real estate</w:t>
            </w: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21,259</w:t>
            </w:r>
          </w:p>
        </w:tc>
        <w:tc>
          <w:tcPr>
            <w:tcW w:w="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082"/>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3"/>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3"/>
            <w:shd w:val="clear" w:color="auto" w:fill="CFF0FC"/>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21,259</w:t>
            </w:r>
          </w:p>
        </w:tc>
        <w:tc>
          <w:tcPr>
            <w:tcW w:w="360" w:type="dxa"/>
            <w:vAlign w:val="bottom"/>
            <w:gridSpan w:val="3"/>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31</w:t>
            </w:r>
          </w:p>
        </w:tc>
        <w:tc>
          <w:tcPr>
            <w:tcW w:w="60" w:type="dxa"/>
            <w:vAlign w:val="bottom"/>
            <w:shd w:val="clear" w:color="auto" w:fill="CFF0FC"/>
          </w:tcPr>
          <w:p>
            <w:pPr>
              <w:spacing w:after="0"/>
              <w:rPr>
                <w:sz w:val="21"/>
                <w:szCs w:val="21"/>
                <w:color w:val="auto"/>
              </w:rPr>
            </w:pPr>
          </w:p>
        </w:tc>
      </w:tr>
      <w:tr>
        <w:trPr>
          <w:trHeight w:val="239"/>
        </w:trPr>
        <w:tc>
          <w:tcPr>
            <w:tcW w:w="80" w:type="dxa"/>
            <w:vAlign w:val="bottom"/>
          </w:tcPr>
          <w:p>
            <w:pPr>
              <w:spacing w:after="0"/>
              <w:rPr>
                <w:sz w:val="20"/>
                <w:szCs w:val="20"/>
                <w:color w:val="auto"/>
              </w:rPr>
            </w:pPr>
          </w:p>
        </w:tc>
        <w:tc>
          <w:tcPr>
            <w:tcW w:w="2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Construction</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80" w:type="dxa"/>
            <w:vAlign w:val="bottom"/>
            <w:shd w:val="clear" w:color="auto" w:fill="CFF0FC"/>
          </w:tcPr>
          <w:p>
            <w:pPr>
              <w:spacing w:after="0"/>
              <w:rPr>
                <w:sz w:val="21"/>
                <w:szCs w:val="21"/>
                <w:color w:val="auto"/>
              </w:rPr>
            </w:pPr>
          </w:p>
        </w:tc>
        <w:tc>
          <w:tcPr>
            <w:tcW w:w="26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SBA</w:t>
            </w:r>
          </w:p>
        </w:tc>
        <w:tc>
          <w:tcPr>
            <w:tcW w:w="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580" w:type="dxa"/>
            <w:vAlign w:val="bottom"/>
            <w:gridSpan w:val="3"/>
            <w:shd w:val="clear" w:color="auto" w:fill="CFF0FC"/>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317</w:t>
            </w:r>
          </w:p>
        </w:tc>
        <w:tc>
          <w:tcPr>
            <w:tcW w:w="2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80" w:type="dxa"/>
            <w:vAlign w:val="bottom"/>
          </w:tcPr>
          <w:p>
            <w:pPr>
              <w:spacing w:after="0"/>
              <w:rPr>
                <w:sz w:val="20"/>
                <w:szCs w:val="20"/>
                <w:color w:val="auto"/>
              </w:rPr>
            </w:pPr>
          </w:p>
        </w:tc>
        <w:tc>
          <w:tcPr>
            <w:tcW w:w="2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SBA - PPP</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80" w:type="dxa"/>
            <w:vAlign w:val="bottom"/>
            <w:shd w:val="clear" w:color="auto" w:fill="CFF0FC"/>
          </w:tcPr>
          <w:p>
            <w:pPr>
              <w:spacing w:after="0"/>
              <w:rPr>
                <w:sz w:val="21"/>
                <w:szCs w:val="21"/>
                <w:color w:val="auto"/>
              </w:rPr>
            </w:pPr>
          </w:p>
        </w:tc>
        <w:tc>
          <w:tcPr>
            <w:tcW w:w="26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5,778</w:t>
            </w:r>
          </w:p>
        </w:tc>
        <w:tc>
          <w:tcPr>
            <w:tcW w:w="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580" w:type="dxa"/>
            <w:vAlign w:val="bottom"/>
            <w:gridSpan w:val="3"/>
            <w:shd w:val="clear" w:color="auto" w:fill="CFF0FC"/>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5,778</w:t>
            </w:r>
          </w:p>
        </w:tc>
        <w:tc>
          <w:tcPr>
            <w:tcW w:w="2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2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232</w:t>
            </w:r>
          </w:p>
        </w:tc>
        <w:tc>
          <w:tcPr>
            <w:tcW w:w="60" w:type="dxa"/>
            <w:vAlign w:val="bottom"/>
            <w:shd w:val="clear" w:color="auto" w:fill="CFF0FC"/>
          </w:tcPr>
          <w:p>
            <w:pPr>
              <w:spacing w:after="0"/>
              <w:rPr>
                <w:sz w:val="21"/>
                <w:szCs w:val="21"/>
                <w:color w:val="auto"/>
              </w:rPr>
            </w:pPr>
          </w:p>
        </w:tc>
      </w:tr>
      <w:tr>
        <w:trPr>
          <w:trHeight w:val="211"/>
        </w:trPr>
        <w:tc>
          <w:tcPr>
            <w:tcW w:w="80" w:type="dxa"/>
            <w:vAlign w:val="bottom"/>
          </w:tcPr>
          <w:p>
            <w:pPr>
              <w:spacing w:after="0"/>
              <w:rPr>
                <w:sz w:val="18"/>
                <w:szCs w:val="18"/>
                <w:color w:val="auto"/>
              </w:rPr>
            </w:pPr>
          </w:p>
        </w:tc>
        <w:tc>
          <w:tcPr>
            <w:tcW w:w="2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Dairy &amp; livestock and</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1"/>
        </w:trPr>
        <w:tc>
          <w:tcPr>
            <w:tcW w:w="80" w:type="dxa"/>
            <w:vAlign w:val="bottom"/>
          </w:tcPr>
          <w:p>
            <w:pPr>
              <w:spacing w:after="0"/>
              <w:rPr>
                <w:sz w:val="20"/>
                <w:szCs w:val="20"/>
                <w:color w:val="auto"/>
              </w:rPr>
            </w:pPr>
          </w:p>
        </w:tc>
        <w:tc>
          <w:tcPr>
            <w:tcW w:w="262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rPr>
              <w:t>agribusiness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10,494</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10,494</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498</w:t>
            </w:r>
          </w:p>
        </w:tc>
        <w:tc>
          <w:tcPr>
            <w:tcW w:w="60" w:type="dxa"/>
            <w:vAlign w:val="bottom"/>
          </w:tcPr>
          <w:p>
            <w:pPr>
              <w:spacing w:after="0"/>
              <w:rPr>
                <w:sz w:val="20"/>
                <w:szCs w:val="20"/>
                <w:color w:val="auto"/>
              </w:rPr>
            </w:pPr>
          </w:p>
        </w:tc>
      </w:tr>
      <w:tr>
        <w:trPr>
          <w:trHeight w:val="218"/>
        </w:trPr>
        <w:tc>
          <w:tcPr>
            <w:tcW w:w="80" w:type="dxa"/>
            <w:vAlign w:val="bottom"/>
            <w:shd w:val="clear" w:color="auto" w:fill="CFF0FC"/>
          </w:tcPr>
          <w:p>
            <w:pPr>
              <w:spacing w:after="0"/>
              <w:rPr>
                <w:sz w:val="18"/>
                <w:szCs w:val="18"/>
                <w:color w:val="auto"/>
              </w:rPr>
            </w:pPr>
          </w:p>
        </w:tc>
        <w:tc>
          <w:tcPr>
            <w:tcW w:w="26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Municipal lease finance</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tcBorders>
              <w:right w:val="single" w:sz="8" w:color="CFF0FC"/>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48"/>
        </w:trPr>
        <w:tc>
          <w:tcPr>
            <w:tcW w:w="80" w:type="dxa"/>
            <w:vAlign w:val="bottom"/>
            <w:shd w:val="clear" w:color="auto" w:fill="CFF0FC"/>
          </w:tcPr>
          <w:p>
            <w:pPr>
              <w:spacing w:after="0"/>
              <w:rPr>
                <w:sz w:val="21"/>
                <w:szCs w:val="21"/>
                <w:color w:val="auto"/>
              </w:rPr>
            </w:pPr>
          </w:p>
        </w:tc>
        <w:tc>
          <w:tcPr>
            <w:tcW w:w="26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receivables</w:t>
            </w:r>
          </w:p>
        </w:tc>
        <w:tc>
          <w:tcPr>
            <w:tcW w:w="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4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580" w:type="dxa"/>
            <w:vAlign w:val="bottom"/>
            <w:gridSpan w:val="3"/>
            <w:shd w:val="clear" w:color="auto" w:fill="CFF0FC"/>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80" w:type="dxa"/>
            <w:vAlign w:val="bottom"/>
          </w:tcPr>
          <w:p>
            <w:pPr>
              <w:spacing w:after="0"/>
              <w:rPr>
                <w:sz w:val="20"/>
                <w:szCs w:val="20"/>
                <w:color w:val="auto"/>
              </w:rPr>
            </w:pPr>
          </w:p>
        </w:tc>
        <w:tc>
          <w:tcPr>
            <w:tcW w:w="2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SFR mortgage</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80" w:type="dxa"/>
            <w:vAlign w:val="bottom"/>
            <w:shd w:val="clear" w:color="auto" w:fill="CFF0FC"/>
          </w:tcPr>
          <w:p>
            <w:pPr>
              <w:spacing w:after="0"/>
              <w:rPr>
                <w:sz w:val="21"/>
                <w:szCs w:val="21"/>
                <w:color w:val="auto"/>
              </w:rPr>
            </w:pPr>
          </w:p>
        </w:tc>
        <w:tc>
          <w:tcPr>
            <w:tcW w:w="26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Consumer and other loans</w:t>
            </w:r>
          </w:p>
        </w:tc>
        <w:tc>
          <w:tcPr>
            <w:tcW w:w="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4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580" w:type="dxa"/>
            <w:vAlign w:val="bottom"/>
            <w:gridSpan w:val="3"/>
            <w:shd w:val="clear" w:color="auto" w:fill="CFF0FC"/>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80" w:type="dxa"/>
            <w:vAlign w:val="bottom"/>
          </w:tcPr>
          <w:p>
            <w:pPr>
              <w:spacing w:after="0"/>
              <w:rPr>
                <w:sz w:val="20"/>
                <w:szCs w:val="20"/>
                <w:color w:val="auto"/>
              </w:rPr>
            </w:pPr>
          </w:p>
        </w:tc>
        <w:tc>
          <w:tcPr>
            <w:tcW w:w="2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real estate owned</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647</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c>
          <w:tcPr>
            <w:tcW w:w="60" w:type="dxa"/>
            <w:vAlign w:val="bottom"/>
          </w:tcPr>
          <w:p>
            <w:pPr>
              <w:spacing w:after="0"/>
              <w:rPr>
                <w:sz w:val="20"/>
                <w:szCs w:val="20"/>
                <w:color w:val="auto"/>
              </w:rPr>
            </w:pPr>
          </w:p>
        </w:tc>
      </w:tr>
      <w:tr>
        <w:trPr>
          <w:trHeight w:val="247"/>
        </w:trPr>
        <w:tc>
          <w:tcPr>
            <w:tcW w:w="80" w:type="dxa"/>
            <w:vAlign w:val="bottom"/>
            <w:tcBorders>
              <w:bottom w:val="single" w:sz="8" w:color="CFF0FC"/>
            </w:tcBorders>
            <w:shd w:val="clear" w:color="auto" w:fill="CFF0FC"/>
          </w:tcPr>
          <w:p>
            <w:pPr>
              <w:spacing w:after="0"/>
              <w:rPr>
                <w:sz w:val="21"/>
                <w:szCs w:val="21"/>
                <w:color w:val="auto"/>
              </w:rPr>
            </w:pPr>
          </w:p>
        </w:tc>
        <w:tc>
          <w:tcPr>
            <w:tcW w:w="26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Asset held-for-sale</w:t>
            </w:r>
          </w:p>
        </w:tc>
        <w:tc>
          <w:tcPr>
            <w:tcW w:w="4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gridSpan w:val="2"/>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gridSpan w:val="2"/>
            <w:shd w:val="clear" w:color="auto" w:fill="CFF0FC"/>
          </w:tcPr>
          <w:p>
            <w:pPr>
              <w:ind w:left="114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FF0FC"/>
            </w:tcBorders>
            <w:shd w:val="clear" w:color="auto" w:fill="CFF0FC"/>
          </w:tcPr>
          <w:p>
            <w:pPr>
              <w:spacing w:after="0"/>
              <w:rPr>
                <w:sz w:val="21"/>
                <w:szCs w:val="21"/>
                <w:color w:val="auto"/>
              </w:rPr>
            </w:pPr>
          </w:p>
        </w:tc>
      </w:tr>
      <w:tr>
        <w:trPr>
          <w:trHeight w:val="237"/>
        </w:trPr>
        <w:tc>
          <w:tcPr>
            <w:tcW w:w="80" w:type="dxa"/>
            <w:vAlign w:val="bottom"/>
          </w:tcPr>
          <w:p>
            <w:pPr>
              <w:spacing w:after="0"/>
              <w:rPr>
                <w:sz w:val="20"/>
                <w:szCs w:val="20"/>
                <w:color w:val="auto"/>
              </w:rPr>
            </w:pPr>
          </w:p>
        </w:tc>
        <w:tc>
          <w:tcPr>
            <w:tcW w:w="2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38,495</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gridSpan w:val="2"/>
          </w:tcPr>
          <w:p>
            <w:pPr>
              <w:jc w:val="right"/>
              <w:ind w:right="1082"/>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38,495</w:t>
            </w:r>
          </w:p>
        </w:tc>
        <w:tc>
          <w:tcPr>
            <w:tcW w:w="3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789</w:t>
            </w:r>
          </w:p>
        </w:tc>
        <w:tc>
          <w:tcPr>
            <w:tcW w:w="60" w:type="dxa"/>
            <w:vAlign w:val="bottom"/>
          </w:tcPr>
          <w:p>
            <w:pPr>
              <w:spacing w:after="0"/>
              <w:rPr>
                <w:sz w:val="20"/>
                <w:szCs w:val="20"/>
                <w:color w:val="auto"/>
              </w:rPr>
            </w:pPr>
          </w:p>
        </w:tc>
      </w:tr>
      <w:tr>
        <w:trPr>
          <w:trHeight w:val="20"/>
        </w:trPr>
        <w:tc>
          <w:tcPr>
            <w:tcW w:w="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24"/>
        </w:trPr>
        <w:tc>
          <w:tcPr>
            <w:tcW w:w="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jc w:val="center"/>
              <w:ind w:left="122"/>
              <w:spacing w:after="0"/>
              <w:rPr>
                <w:sz w:val="20"/>
                <w:szCs w:val="20"/>
                <w:color w:val="auto"/>
              </w:rPr>
            </w:pPr>
            <w:r>
              <w:rPr>
                <w:rFonts w:ascii="Times New Roman" w:cs="Times New Roman" w:eastAsia="Times New Roman" w:hAnsi="Times New Roman"/>
                <w:sz w:val="15"/>
                <w:szCs w:val="15"/>
                <w:b w:val="1"/>
                <w:bCs w:val="1"/>
                <w:color w:val="auto"/>
              </w:rPr>
              <w:t>Quoted Prices</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62"/>
        </w:trPr>
        <w:tc>
          <w:tcPr>
            <w:tcW w:w="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tcPr>
          <w:p>
            <w:pPr>
              <w:jc w:val="center"/>
              <w:ind w:left="122"/>
              <w:spacing w:after="0" w:line="162" w:lineRule="exact"/>
              <w:rPr>
                <w:sz w:val="20"/>
                <w:szCs w:val="20"/>
                <w:color w:val="auto"/>
              </w:rPr>
            </w:pPr>
            <w:r>
              <w:rPr>
                <w:rFonts w:ascii="Times New Roman" w:cs="Times New Roman" w:eastAsia="Times New Roman" w:hAnsi="Times New Roman"/>
                <w:sz w:val="15"/>
                <w:szCs w:val="15"/>
                <w:b w:val="1"/>
                <w:bCs w:val="1"/>
                <w:color w:val="auto"/>
              </w:rPr>
              <w:t>in Active</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tcPr>
          <w:p>
            <w:pPr>
              <w:jc w:val="center"/>
              <w:ind w:left="122"/>
              <w:spacing w:after="0" w:line="162" w:lineRule="exact"/>
              <w:rPr>
                <w:sz w:val="20"/>
                <w:szCs w:val="20"/>
                <w:color w:val="auto"/>
              </w:rPr>
            </w:pPr>
            <w:r>
              <w:rPr>
                <w:rFonts w:ascii="Times New Roman" w:cs="Times New Roman" w:eastAsia="Times New Roman" w:hAnsi="Times New Roman"/>
                <w:sz w:val="15"/>
                <w:szCs w:val="15"/>
                <w:b w:val="1"/>
                <w:bCs w:val="1"/>
                <w:color w:val="auto"/>
              </w:rPr>
              <w:t>Markets for</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3"/>
          </w:tcPr>
          <w:p>
            <w:pPr>
              <w:jc w:val="center"/>
              <w:ind w:right="440"/>
              <w:spacing w:after="0" w:line="162" w:lineRule="exact"/>
              <w:rPr>
                <w:sz w:val="20"/>
                <w:szCs w:val="20"/>
                <w:color w:val="auto"/>
              </w:rPr>
            </w:pPr>
            <w:r>
              <w:rPr>
                <w:rFonts w:ascii="Times New Roman" w:cs="Times New Roman" w:eastAsia="Times New Roman" w:hAnsi="Times New Roman"/>
                <w:sz w:val="15"/>
                <w:szCs w:val="15"/>
                <w:b w:val="1"/>
                <w:bCs w:val="1"/>
                <w:color w:val="auto"/>
              </w:rPr>
              <w:t>Significant Other</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right"/>
              <w:ind w:right="440"/>
              <w:spacing w:after="0" w:line="162" w:lineRule="exact"/>
              <w:rPr>
                <w:sz w:val="20"/>
                <w:szCs w:val="20"/>
                <w:color w:val="auto"/>
              </w:rPr>
            </w:pPr>
            <w:r>
              <w:rPr>
                <w:rFonts w:ascii="Times New Roman" w:cs="Times New Roman" w:eastAsia="Times New Roman" w:hAnsi="Times New Roman"/>
                <w:sz w:val="15"/>
                <w:szCs w:val="15"/>
                <w:b w:val="1"/>
                <w:bCs w:val="1"/>
                <w:color w:val="auto"/>
              </w:rPr>
              <w:t>Significant</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0" w:type="dxa"/>
            <w:vAlign w:val="bottom"/>
            <w:gridSpan w:val="4"/>
          </w:tcPr>
          <w:p>
            <w:pPr>
              <w:ind w:left="20"/>
              <w:spacing w:after="0" w:line="162" w:lineRule="exact"/>
              <w:rPr>
                <w:sz w:val="20"/>
                <w:szCs w:val="20"/>
                <w:color w:val="auto"/>
              </w:rPr>
            </w:pPr>
            <w:r>
              <w:rPr>
                <w:rFonts w:ascii="Times New Roman" w:cs="Times New Roman" w:eastAsia="Times New Roman" w:hAnsi="Times New Roman"/>
                <w:sz w:val="15"/>
                <w:szCs w:val="15"/>
                <w:b w:val="1"/>
                <w:bCs w:val="1"/>
                <w:color w:val="auto"/>
              </w:rPr>
              <w:t>Total Losses For the</w:t>
            </w:r>
          </w:p>
        </w:tc>
      </w:tr>
      <w:tr>
        <w:trPr>
          <w:trHeight w:val="162"/>
        </w:trPr>
        <w:tc>
          <w:tcPr>
            <w:tcW w:w="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3"/>
          </w:tcPr>
          <w:p>
            <w:pPr>
              <w:ind w:left="20"/>
              <w:spacing w:after="0" w:line="162" w:lineRule="exact"/>
              <w:rPr>
                <w:sz w:val="20"/>
                <w:szCs w:val="20"/>
                <w:color w:val="auto"/>
              </w:rPr>
            </w:pPr>
            <w:r>
              <w:rPr>
                <w:rFonts w:ascii="Times New Roman" w:cs="Times New Roman" w:eastAsia="Times New Roman" w:hAnsi="Times New Roman"/>
                <w:sz w:val="15"/>
                <w:szCs w:val="15"/>
                <w:b w:val="1"/>
                <w:bCs w:val="1"/>
                <w:color w:val="auto"/>
              </w:rPr>
              <w:t>Carrying Value at</w:t>
            </w:r>
          </w:p>
        </w:tc>
        <w:tc>
          <w:tcPr>
            <w:tcW w:w="20" w:type="dxa"/>
            <w:vAlign w:val="bottom"/>
          </w:tcPr>
          <w:p>
            <w:pPr>
              <w:spacing w:after="0"/>
              <w:rPr>
                <w:sz w:val="14"/>
                <w:szCs w:val="14"/>
                <w:color w:val="auto"/>
              </w:rPr>
            </w:pPr>
          </w:p>
        </w:tc>
        <w:tc>
          <w:tcPr>
            <w:tcW w:w="1240" w:type="dxa"/>
            <w:vAlign w:val="bottom"/>
          </w:tcPr>
          <w:p>
            <w:pPr>
              <w:jc w:val="center"/>
              <w:ind w:left="122"/>
              <w:spacing w:after="0" w:line="162" w:lineRule="exact"/>
              <w:rPr>
                <w:sz w:val="20"/>
                <w:szCs w:val="20"/>
                <w:color w:val="auto"/>
              </w:rPr>
            </w:pPr>
            <w:r>
              <w:rPr>
                <w:rFonts w:ascii="Times New Roman" w:cs="Times New Roman" w:eastAsia="Times New Roman" w:hAnsi="Times New Roman"/>
                <w:sz w:val="15"/>
                <w:szCs w:val="15"/>
                <w:b w:val="1"/>
                <w:bCs w:val="1"/>
                <w:color w:val="auto"/>
              </w:rPr>
              <w:t>Identical Assets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80" w:type="dxa"/>
            <w:vAlign w:val="bottom"/>
            <w:gridSpan w:val="4"/>
          </w:tcPr>
          <w:p>
            <w:pPr>
              <w:jc w:val="center"/>
              <w:ind w:right="300"/>
              <w:spacing w:after="0" w:line="162" w:lineRule="exact"/>
              <w:rPr>
                <w:sz w:val="20"/>
                <w:szCs w:val="20"/>
                <w:color w:val="auto"/>
              </w:rPr>
            </w:pPr>
            <w:r>
              <w:rPr>
                <w:rFonts w:ascii="Times New Roman" w:cs="Times New Roman" w:eastAsia="Times New Roman" w:hAnsi="Times New Roman"/>
                <w:sz w:val="15"/>
                <w:szCs w:val="15"/>
                <w:b w:val="1"/>
                <w:bCs w:val="1"/>
                <w:color w:val="auto"/>
              </w:rPr>
              <w:t>Observable Inputs</w:t>
            </w:r>
          </w:p>
        </w:tc>
        <w:tc>
          <w:tcPr>
            <w:tcW w:w="1480" w:type="dxa"/>
            <w:vAlign w:val="bottom"/>
            <w:gridSpan w:val="4"/>
          </w:tcPr>
          <w:p>
            <w:pPr>
              <w:ind w:left="20"/>
              <w:spacing w:after="0" w:line="162" w:lineRule="exact"/>
              <w:rPr>
                <w:sz w:val="20"/>
                <w:szCs w:val="20"/>
                <w:color w:val="auto"/>
              </w:rPr>
            </w:pPr>
            <w:r>
              <w:rPr>
                <w:rFonts w:ascii="Times New Roman" w:cs="Times New Roman" w:eastAsia="Times New Roman" w:hAnsi="Times New Roman"/>
                <w:sz w:val="15"/>
                <w:szCs w:val="15"/>
                <w:b w:val="1"/>
                <w:bCs w:val="1"/>
                <w:color w:val="auto"/>
              </w:rPr>
              <w:t>Unobservable Inputs</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3"/>
          </w:tcPr>
          <w:p>
            <w:pPr>
              <w:jc w:val="center"/>
              <w:ind w:right="360"/>
              <w:spacing w:after="0" w:line="162" w:lineRule="exact"/>
              <w:rPr>
                <w:sz w:val="20"/>
                <w:szCs w:val="20"/>
                <w:color w:val="auto"/>
              </w:rPr>
            </w:pPr>
            <w:r>
              <w:rPr>
                <w:rFonts w:ascii="Times New Roman" w:cs="Times New Roman" w:eastAsia="Times New Roman" w:hAnsi="Times New Roman"/>
                <w:sz w:val="15"/>
                <w:szCs w:val="15"/>
                <w:b w:val="1"/>
                <w:bCs w:val="1"/>
                <w:color w:val="auto"/>
                <w:w w:val="98"/>
              </w:rPr>
              <w:t>Year Ended</w:t>
            </w:r>
          </w:p>
        </w:tc>
      </w:tr>
      <w:tr>
        <w:trPr>
          <w:trHeight w:val="197"/>
        </w:trPr>
        <w:tc>
          <w:tcPr>
            <w:tcW w:w="8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3"/>
          </w:tcPr>
          <w:p>
            <w:pPr>
              <w:jc w:val="right"/>
              <w:ind w:right="400"/>
              <w:spacing w:after="0"/>
              <w:rPr>
                <w:sz w:val="20"/>
                <w:szCs w:val="20"/>
                <w:color w:val="auto"/>
              </w:rPr>
            </w:pPr>
            <w:r>
              <w:rPr>
                <w:rFonts w:ascii="Times New Roman" w:cs="Times New Roman" w:eastAsia="Times New Roman" w:hAnsi="Times New Roman"/>
                <w:sz w:val="15"/>
                <w:szCs w:val="15"/>
                <w:b w:val="1"/>
                <w:bCs w:val="1"/>
                <w:color w:val="auto"/>
              </w:rPr>
              <w:t>December 31, 2023</w:t>
            </w:r>
          </w:p>
        </w:tc>
        <w:tc>
          <w:tcPr>
            <w:tcW w:w="20" w:type="dxa"/>
            <w:vAlign w:val="bottom"/>
          </w:tcPr>
          <w:p>
            <w:pPr>
              <w:spacing w:after="0"/>
              <w:rPr>
                <w:sz w:val="17"/>
                <w:szCs w:val="17"/>
                <w:color w:val="auto"/>
              </w:rPr>
            </w:pPr>
          </w:p>
        </w:tc>
        <w:tc>
          <w:tcPr>
            <w:tcW w:w="1240" w:type="dxa"/>
            <w:vAlign w:val="bottom"/>
          </w:tcPr>
          <w:p>
            <w:pPr>
              <w:jc w:val="center"/>
              <w:ind w:left="122"/>
              <w:spacing w:after="0"/>
              <w:rPr>
                <w:sz w:val="20"/>
                <w:szCs w:val="20"/>
                <w:color w:val="auto"/>
              </w:rPr>
            </w:pPr>
            <w:r>
              <w:rPr>
                <w:rFonts w:ascii="Times New Roman" w:cs="Times New Roman" w:eastAsia="Times New Roman" w:hAnsi="Times New Roman"/>
                <w:sz w:val="15"/>
                <w:szCs w:val="15"/>
                <w:b w:val="1"/>
                <w:bCs w:val="1"/>
                <w:color w:val="auto"/>
                <w:w w:val="99"/>
              </w:rPr>
              <w:t>(Level 1)</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3"/>
          </w:tcPr>
          <w:p>
            <w:pPr>
              <w:jc w:val="center"/>
              <w:ind w:right="400"/>
              <w:spacing w:after="0"/>
              <w:rPr>
                <w:sz w:val="20"/>
                <w:szCs w:val="20"/>
                <w:color w:val="auto"/>
              </w:rPr>
            </w:pPr>
            <w:r>
              <w:rPr>
                <w:rFonts w:ascii="Times New Roman" w:cs="Times New Roman" w:eastAsia="Times New Roman" w:hAnsi="Times New Roman"/>
                <w:sz w:val="15"/>
                <w:szCs w:val="15"/>
                <w:b w:val="1"/>
                <w:bCs w:val="1"/>
                <w:color w:val="auto"/>
              </w:rPr>
              <w:t>(Level 2)</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5"/>
                <w:szCs w:val="15"/>
                <w:b w:val="1"/>
                <w:bCs w:val="1"/>
                <w:color w:val="auto"/>
              </w:rPr>
              <w:t>(Level 3)</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0" w:type="dxa"/>
            <w:vAlign w:val="bottom"/>
            <w:gridSpan w:val="4"/>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December 31, 2023</w:t>
            </w:r>
          </w:p>
        </w:tc>
      </w:tr>
      <w:tr>
        <w:trPr>
          <w:trHeight w:val="233"/>
        </w:trPr>
        <w:tc>
          <w:tcPr>
            <w:tcW w:w="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i w:val="1"/>
                <w:iCs w:val="1"/>
                <w:color w:val="auto"/>
                <w:w w:val="87"/>
              </w:rPr>
              <w:t>(Dollars in thousands)</w:t>
            </w:r>
          </w:p>
        </w:tc>
        <w:tc>
          <w:tcPr>
            <w:tcW w:w="280" w:type="dxa"/>
            <w:vAlign w:val="bottom"/>
            <w:gridSpan w:val="2"/>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6"/>
        </w:trPr>
        <w:tc>
          <w:tcPr>
            <w:tcW w:w="80" w:type="dxa"/>
            <w:vAlign w:val="bottom"/>
          </w:tcPr>
          <w:p>
            <w:pPr>
              <w:spacing w:after="0"/>
              <w:rPr>
                <w:sz w:val="21"/>
                <w:szCs w:val="21"/>
                <w:color w:val="auto"/>
              </w:rPr>
            </w:pPr>
          </w:p>
        </w:tc>
        <w:tc>
          <w:tcPr>
            <w:tcW w:w="2620" w:type="dxa"/>
            <w:vAlign w:val="bottom"/>
            <w:shd w:val="clear" w:color="auto" w:fill="CFF0FC"/>
          </w:tcPr>
          <w:p>
            <w:pPr>
              <w:jc w:val="center"/>
              <w:ind w:right="950"/>
              <w:spacing w:after="0"/>
              <w:rPr>
                <w:sz w:val="20"/>
                <w:szCs w:val="20"/>
                <w:color w:val="auto"/>
              </w:rPr>
            </w:pPr>
            <w:r>
              <w:rPr>
                <w:rFonts w:ascii="Times New Roman" w:cs="Times New Roman" w:eastAsia="Times New Roman" w:hAnsi="Times New Roman"/>
                <w:sz w:val="18"/>
                <w:szCs w:val="18"/>
                <w:b w:val="1"/>
                <w:bCs w:val="1"/>
                <w:color w:val="auto"/>
              </w:rPr>
              <w:t>Description of assets</w:t>
            </w:r>
          </w:p>
        </w:tc>
        <w:tc>
          <w:tcPr>
            <w:tcW w:w="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tcBorders>
              <w:right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80" w:type="dxa"/>
            <w:vAlign w:val="bottom"/>
          </w:tcPr>
          <w:p>
            <w:pPr>
              <w:spacing w:after="0"/>
              <w:rPr>
                <w:sz w:val="20"/>
                <w:szCs w:val="20"/>
                <w:color w:val="auto"/>
              </w:rPr>
            </w:pPr>
          </w:p>
        </w:tc>
        <w:tc>
          <w:tcPr>
            <w:tcW w:w="2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Loans: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80" w:type="dxa"/>
            <w:vAlign w:val="bottom"/>
          </w:tcPr>
          <w:p>
            <w:pPr>
              <w:spacing w:after="0"/>
              <w:rPr>
                <w:sz w:val="21"/>
                <w:szCs w:val="21"/>
                <w:color w:val="auto"/>
              </w:rPr>
            </w:pPr>
          </w:p>
        </w:tc>
        <w:tc>
          <w:tcPr>
            <w:tcW w:w="26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Commercial real estate</w:t>
            </w: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18,678</w:t>
            </w:r>
          </w:p>
        </w:tc>
        <w:tc>
          <w:tcPr>
            <w:tcW w:w="28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06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3"/>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3"/>
            <w:shd w:val="clear" w:color="auto" w:fill="CFF0FC"/>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18,678</w:t>
            </w:r>
          </w:p>
        </w:tc>
        <w:tc>
          <w:tcPr>
            <w:tcW w:w="60" w:type="dxa"/>
            <w:vAlign w:val="bottom"/>
            <w:shd w:val="clear" w:color="auto" w:fill="CFF0FC"/>
          </w:tcPr>
          <w:p>
            <w:pPr>
              <w:spacing w:after="0"/>
              <w:rPr>
                <w:sz w:val="21"/>
                <w:szCs w:val="21"/>
                <w:color w:val="auto"/>
              </w:rPr>
            </w:pPr>
          </w:p>
        </w:tc>
        <w:tc>
          <w:tcPr>
            <w:tcW w:w="3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2,128</w:t>
            </w:r>
          </w:p>
        </w:tc>
        <w:tc>
          <w:tcPr>
            <w:tcW w:w="100" w:type="dxa"/>
            <w:vAlign w:val="bottom"/>
            <w:tcBorders>
              <w:right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80" w:type="dxa"/>
            <w:vAlign w:val="bottom"/>
          </w:tcPr>
          <w:p>
            <w:pPr>
              <w:spacing w:after="0"/>
              <w:rPr>
                <w:sz w:val="20"/>
                <w:szCs w:val="20"/>
                <w:color w:val="auto"/>
              </w:rPr>
            </w:pPr>
          </w:p>
        </w:tc>
        <w:tc>
          <w:tcPr>
            <w:tcW w:w="2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Construction</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r>
      <w:tr>
        <w:trPr>
          <w:trHeight w:val="247"/>
        </w:trPr>
        <w:tc>
          <w:tcPr>
            <w:tcW w:w="80" w:type="dxa"/>
            <w:vAlign w:val="bottom"/>
          </w:tcPr>
          <w:p>
            <w:pPr>
              <w:spacing w:after="0"/>
              <w:rPr>
                <w:sz w:val="21"/>
                <w:szCs w:val="21"/>
                <w:color w:val="auto"/>
              </w:rPr>
            </w:pPr>
          </w:p>
        </w:tc>
        <w:tc>
          <w:tcPr>
            <w:tcW w:w="26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SBA</w:t>
            </w:r>
          </w:p>
        </w:tc>
        <w:tc>
          <w:tcPr>
            <w:tcW w:w="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995</w:t>
            </w: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580" w:type="dxa"/>
            <w:vAlign w:val="bottom"/>
            <w:gridSpan w:val="3"/>
            <w:shd w:val="clear" w:color="auto" w:fill="CFF0FC"/>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right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80" w:type="dxa"/>
            <w:vAlign w:val="bottom"/>
          </w:tcPr>
          <w:p>
            <w:pPr>
              <w:spacing w:after="0"/>
              <w:rPr>
                <w:sz w:val="20"/>
                <w:szCs w:val="20"/>
                <w:color w:val="auto"/>
              </w:rPr>
            </w:pPr>
          </w:p>
        </w:tc>
        <w:tc>
          <w:tcPr>
            <w:tcW w:w="2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SBA - PPP</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r>
      <w:tr>
        <w:trPr>
          <w:trHeight w:val="247"/>
        </w:trPr>
        <w:tc>
          <w:tcPr>
            <w:tcW w:w="80" w:type="dxa"/>
            <w:vAlign w:val="bottom"/>
          </w:tcPr>
          <w:p>
            <w:pPr>
              <w:spacing w:after="0"/>
              <w:rPr>
                <w:sz w:val="21"/>
                <w:szCs w:val="21"/>
                <w:color w:val="auto"/>
              </w:rPr>
            </w:pPr>
          </w:p>
        </w:tc>
        <w:tc>
          <w:tcPr>
            <w:tcW w:w="26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6,092</w:t>
            </w: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580" w:type="dxa"/>
            <w:vAlign w:val="bottom"/>
            <w:gridSpan w:val="3"/>
            <w:shd w:val="clear" w:color="auto" w:fill="CFF0FC"/>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6,092</w:t>
            </w:r>
          </w:p>
        </w:tc>
        <w:tc>
          <w:tcPr>
            <w:tcW w:w="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3,510</w:t>
            </w:r>
          </w:p>
        </w:tc>
        <w:tc>
          <w:tcPr>
            <w:tcW w:w="100" w:type="dxa"/>
            <w:vAlign w:val="bottom"/>
            <w:tcBorders>
              <w:right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11"/>
        </w:trPr>
        <w:tc>
          <w:tcPr>
            <w:tcW w:w="80" w:type="dxa"/>
            <w:vAlign w:val="bottom"/>
          </w:tcPr>
          <w:p>
            <w:pPr>
              <w:spacing w:after="0"/>
              <w:rPr>
                <w:sz w:val="18"/>
                <w:szCs w:val="18"/>
                <w:color w:val="auto"/>
              </w:rPr>
            </w:pPr>
          </w:p>
        </w:tc>
        <w:tc>
          <w:tcPr>
            <w:tcW w:w="2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Dairy &amp; livestock and</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1"/>
        </w:trPr>
        <w:tc>
          <w:tcPr>
            <w:tcW w:w="80" w:type="dxa"/>
            <w:vAlign w:val="bottom"/>
          </w:tcPr>
          <w:p>
            <w:pPr>
              <w:spacing w:after="0"/>
              <w:rPr>
                <w:sz w:val="20"/>
                <w:szCs w:val="20"/>
                <w:color w:val="auto"/>
              </w:rPr>
            </w:pPr>
          </w:p>
        </w:tc>
        <w:tc>
          <w:tcPr>
            <w:tcW w:w="2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agribusiness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4,700</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8"/>
        </w:trPr>
        <w:tc>
          <w:tcPr>
            <w:tcW w:w="80" w:type="dxa"/>
            <w:vAlign w:val="bottom"/>
          </w:tcPr>
          <w:p>
            <w:pPr>
              <w:spacing w:after="0"/>
              <w:rPr>
                <w:sz w:val="18"/>
                <w:szCs w:val="18"/>
                <w:color w:val="auto"/>
              </w:rPr>
            </w:pPr>
          </w:p>
        </w:tc>
        <w:tc>
          <w:tcPr>
            <w:tcW w:w="26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Municipal lease finance</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tcBorders>
              <w:right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48"/>
        </w:trPr>
        <w:tc>
          <w:tcPr>
            <w:tcW w:w="80" w:type="dxa"/>
            <w:vAlign w:val="bottom"/>
          </w:tcPr>
          <w:p>
            <w:pPr>
              <w:spacing w:after="0"/>
              <w:rPr>
                <w:sz w:val="21"/>
                <w:szCs w:val="21"/>
                <w:color w:val="auto"/>
              </w:rPr>
            </w:pPr>
          </w:p>
        </w:tc>
        <w:tc>
          <w:tcPr>
            <w:tcW w:w="2620" w:type="dxa"/>
            <w:vAlign w:val="bottom"/>
            <w:shd w:val="clear" w:color="auto" w:fill="CFF0FC"/>
          </w:tcPr>
          <w:p>
            <w:pPr>
              <w:jc w:val="center"/>
              <w:ind w:right="910"/>
              <w:spacing w:after="0"/>
              <w:rPr>
                <w:sz w:val="20"/>
                <w:szCs w:val="20"/>
                <w:color w:val="auto"/>
              </w:rPr>
            </w:pPr>
            <w:r>
              <w:rPr>
                <w:rFonts w:ascii="Times New Roman" w:cs="Times New Roman" w:eastAsia="Times New Roman" w:hAnsi="Times New Roman"/>
                <w:sz w:val="18"/>
                <w:szCs w:val="18"/>
                <w:color w:val="auto"/>
              </w:rPr>
              <w:t>receivables</w:t>
            </w:r>
          </w:p>
        </w:tc>
        <w:tc>
          <w:tcPr>
            <w:tcW w:w="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4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580" w:type="dxa"/>
            <w:vAlign w:val="bottom"/>
            <w:gridSpan w:val="3"/>
            <w:shd w:val="clear" w:color="auto" w:fill="CFF0FC"/>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r>
      <w:tr>
        <w:trPr>
          <w:trHeight w:val="234"/>
        </w:trPr>
        <w:tc>
          <w:tcPr>
            <w:tcW w:w="80" w:type="dxa"/>
            <w:vAlign w:val="bottom"/>
          </w:tcPr>
          <w:p>
            <w:pPr>
              <w:spacing w:after="0"/>
              <w:rPr>
                <w:sz w:val="20"/>
                <w:szCs w:val="20"/>
                <w:color w:val="auto"/>
              </w:rPr>
            </w:pPr>
          </w:p>
        </w:tc>
        <w:tc>
          <w:tcPr>
            <w:tcW w:w="2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SFR mortgage</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r>
      <w:tr>
        <w:trPr>
          <w:trHeight w:val="252"/>
        </w:trPr>
        <w:tc>
          <w:tcPr>
            <w:tcW w:w="80" w:type="dxa"/>
            <w:vAlign w:val="bottom"/>
          </w:tcPr>
          <w:p>
            <w:pPr>
              <w:spacing w:after="0"/>
              <w:rPr>
                <w:sz w:val="21"/>
                <w:szCs w:val="21"/>
                <w:color w:val="auto"/>
              </w:rPr>
            </w:pPr>
          </w:p>
        </w:tc>
        <w:tc>
          <w:tcPr>
            <w:tcW w:w="26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Consumer and other loans</w:t>
            </w:r>
          </w:p>
        </w:tc>
        <w:tc>
          <w:tcPr>
            <w:tcW w:w="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4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580" w:type="dxa"/>
            <w:vAlign w:val="bottom"/>
            <w:gridSpan w:val="3"/>
            <w:shd w:val="clear" w:color="auto" w:fill="CFF0FC"/>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r>
      <w:tr>
        <w:trPr>
          <w:trHeight w:val="234"/>
        </w:trPr>
        <w:tc>
          <w:tcPr>
            <w:tcW w:w="80" w:type="dxa"/>
            <w:vAlign w:val="bottom"/>
          </w:tcPr>
          <w:p>
            <w:pPr>
              <w:spacing w:after="0"/>
              <w:rPr>
                <w:sz w:val="20"/>
                <w:szCs w:val="20"/>
                <w:color w:val="auto"/>
              </w:rPr>
            </w:pPr>
          </w:p>
        </w:tc>
        <w:tc>
          <w:tcPr>
            <w:tcW w:w="2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real estate owned</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r>
      <w:tr>
        <w:trPr>
          <w:trHeight w:val="252"/>
        </w:trPr>
        <w:tc>
          <w:tcPr>
            <w:tcW w:w="80" w:type="dxa"/>
            <w:vAlign w:val="bottom"/>
          </w:tcPr>
          <w:p>
            <w:pPr>
              <w:spacing w:after="0"/>
              <w:rPr>
                <w:sz w:val="21"/>
                <w:szCs w:val="21"/>
                <w:color w:val="auto"/>
              </w:rPr>
            </w:pPr>
          </w:p>
        </w:tc>
        <w:tc>
          <w:tcPr>
            <w:tcW w:w="2620" w:type="dxa"/>
            <w:vAlign w:val="bottom"/>
            <w:tcBorders>
              <w:bottom w:val="single" w:sz="8" w:color="CFF0FC"/>
            </w:tcBorders>
            <w:shd w:val="clear" w:color="auto" w:fill="CFF0FC"/>
          </w:tcPr>
          <w:p>
            <w:pPr>
              <w:jc w:val="center"/>
              <w:ind w:right="970"/>
              <w:spacing w:after="0"/>
              <w:rPr>
                <w:sz w:val="20"/>
                <w:szCs w:val="20"/>
                <w:color w:val="auto"/>
              </w:rPr>
            </w:pPr>
            <w:r>
              <w:rPr>
                <w:rFonts w:ascii="Times New Roman" w:cs="Times New Roman" w:eastAsia="Times New Roman" w:hAnsi="Times New Roman"/>
                <w:sz w:val="18"/>
                <w:szCs w:val="18"/>
                <w:color w:val="auto"/>
                <w:w w:val="99"/>
              </w:rPr>
              <w:t>Asset held-for-sale</w:t>
            </w:r>
          </w:p>
        </w:tc>
        <w:tc>
          <w:tcPr>
            <w:tcW w:w="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ind w:left="110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bottom w:val="single" w:sz="8" w:color="CFF0FC"/>
            </w:tcBorders>
            <w:gridSpan w:val="2"/>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right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6"/>
        </w:trPr>
        <w:tc>
          <w:tcPr>
            <w:tcW w:w="80" w:type="dxa"/>
            <w:vAlign w:val="bottom"/>
          </w:tcPr>
          <w:p>
            <w:pPr>
              <w:spacing w:after="0"/>
              <w:rPr>
                <w:sz w:val="20"/>
                <w:szCs w:val="20"/>
                <w:color w:val="auto"/>
              </w:rPr>
            </w:pPr>
          </w:p>
        </w:tc>
        <w:tc>
          <w:tcPr>
            <w:tcW w:w="26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assets</w:t>
            </w:r>
          </w:p>
        </w:tc>
        <w:tc>
          <w:tcPr>
            <w:tcW w:w="4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30,465</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Borders>
              <w:bottom w:val="single" w:sz="8" w:color="auto"/>
            </w:tcBorders>
          </w:tcPr>
          <w:p>
            <w:pPr>
              <w:jc w:val="right"/>
              <w:ind w:right="1062"/>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20"/>
                <w:szCs w:val="20"/>
                <w:color w:val="auto"/>
              </w:rPr>
            </w:pPr>
          </w:p>
        </w:tc>
        <w:tc>
          <w:tcPr>
            <w:tcW w:w="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gridSpan w:val="2"/>
          </w:tcPr>
          <w:p>
            <w:pPr>
              <w:spacing w:after="0"/>
              <w:rPr>
                <w:sz w:val="20"/>
                <w:szCs w:val="20"/>
                <w:color w:val="auto"/>
              </w:rPr>
            </w:pPr>
          </w:p>
        </w:tc>
        <w:tc>
          <w:tcPr>
            <w:tcW w:w="2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30,465</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
        </w:trPr>
        <w:tc>
          <w:tcPr>
            <w:tcW w:w="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3"/>
        </w:trPr>
        <w:tc>
          <w:tcPr>
            <w:tcW w:w="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763"/>
        </w:trPr>
        <w:tc>
          <w:tcPr>
            <w:tcW w:w="8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2653665</wp:posOffset>
            </wp:positionH>
            <wp:positionV relativeFrom="paragraph">
              <wp:posOffset>-4243070</wp:posOffset>
            </wp:positionV>
            <wp:extent cx="7683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-4243070</wp:posOffset>
            </wp:positionV>
            <wp:extent cx="7747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-4243070</wp:posOffset>
            </wp:positionV>
            <wp:extent cx="6858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-4243070</wp:posOffset>
            </wp:positionV>
            <wp:extent cx="6858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-4243070</wp:posOffset>
            </wp:positionV>
            <wp:extent cx="6858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-959485</wp:posOffset>
            </wp:positionV>
            <wp:extent cx="7683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-959485</wp:posOffset>
            </wp:positionV>
            <wp:extent cx="6858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-959485</wp:posOffset>
            </wp:positionV>
            <wp:extent cx="6858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-959485</wp:posOffset>
            </wp:positionV>
            <wp:extent cx="6858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-959485</wp:posOffset>
            </wp:positionV>
            <wp:extent cx="6858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ind w:right="20" w:firstLine="469"/>
        <w:spacing w:after="0" w:line="258" w:lineRule="auto"/>
        <w:rPr>
          <w:sz w:val="20"/>
          <w:szCs w:val="20"/>
          <w:color w:val="auto"/>
        </w:rPr>
      </w:pPr>
      <w:r>
        <w:rPr>
          <w:rFonts w:ascii="Times New Roman" w:cs="Times New Roman" w:eastAsia="Times New Roman" w:hAnsi="Times New Roman"/>
          <w:sz w:val="18"/>
          <w:szCs w:val="18"/>
          <w:color w:val="auto"/>
        </w:rPr>
        <w:t>The following disclosure presents estimated fair value of our financial instruments. The estimated fair value amounts have been determined by the Company using available market information and appropriate valuation methodologies. However, considerable judgment is required to develop the estimates of fair value. Accordingly, the estimates presented below are not necessarily indicative of the amounts the Company may realize in a current market exchange as of September 30, 2024 and December 31, 2023, respectively. The use of different market assumptions and/or estimation methodologies may have a material effect on the estimated fair value amounts.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3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September 30, 2024</w:t>
            </w: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3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Estimated Fair Value</w:t>
            </w:r>
          </w:p>
        </w:tc>
        <w:tc>
          <w:tcPr>
            <w:tcW w:w="3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4"/>
        </w:trPr>
        <w:tc>
          <w:tcPr>
            <w:tcW w:w="4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08"/>
        </w:trPr>
        <w:tc>
          <w:tcPr>
            <w:tcW w:w="4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60" w:type="dxa"/>
            <w:vAlign w:val="bottom"/>
            <w:gridSpan w:val="4"/>
          </w:tcPr>
          <w:p>
            <w:pPr>
              <w:jc w:val="center"/>
              <w:ind w:righ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1"/>
        </w:trPr>
        <w:tc>
          <w:tcPr>
            <w:tcW w:w="4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453,460</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453,460</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453,460</w:t>
            </w:r>
          </w:p>
        </w:tc>
        <w:tc>
          <w:tcPr>
            <w:tcW w:w="100" w:type="dxa"/>
            <w:vAlign w:val="bottom"/>
          </w:tcPr>
          <w:p>
            <w:pPr>
              <w:spacing w:after="0"/>
              <w:rPr>
                <w:sz w:val="20"/>
                <w:szCs w:val="20"/>
                <w:color w:val="auto"/>
              </w:rPr>
            </w:pPr>
          </w:p>
        </w:tc>
      </w:tr>
      <w:tr>
        <w:trPr>
          <w:trHeight w:val="215"/>
        </w:trPr>
        <w:tc>
          <w:tcPr>
            <w:tcW w:w="4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Interest-earning balances due from</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43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depository institutions</w:t>
            </w: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24,338</w:t>
            </w:r>
          </w:p>
        </w:tc>
        <w:tc>
          <w:tcPr>
            <w:tcW w:w="3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24,338</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24,338</w:t>
            </w:r>
          </w:p>
        </w:tc>
        <w:tc>
          <w:tcPr>
            <w:tcW w:w="100" w:type="dxa"/>
            <w:vAlign w:val="bottom"/>
            <w:shd w:val="clear" w:color="auto" w:fill="CFF0FC"/>
          </w:tcPr>
          <w:p>
            <w:pPr>
              <w:spacing w:after="0"/>
              <w:rPr>
                <w:sz w:val="21"/>
                <w:szCs w:val="21"/>
                <w:color w:val="auto"/>
              </w:rPr>
            </w:pPr>
          </w:p>
        </w:tc>
      </w:tr>
      <w:tr>
        <w:trPr>
          <w:trHeight w:val="239"/>
        </w:trPr>
        <w:tc>
          <w:tcPr>
            <w:tcW w:w="4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 securities available-for-sale</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2,465,585</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2,465,585</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2,465,585</w:t>
            </w:r>
          </w:p>
        </w:tc>
        <w:tc>
          <w:tcPr>
            <w:tcW w:w="100" w:type="dxa"/>
            <w:vAlign w:val="bottom"/>
          </w:tcPr>
          <w:p>
            <w:pPr>
              <w:spacing w:after="0"/>
              <w:rPr>
                <w:sz w:val="20"/>
                <w:szCs w:val="20"/>
                <w:color w:val="auto"/>
              </w:rPr>
            </w:pPr>
          </w:p>
        </w:tc>
      </w:tr>
      <w:tr>
        <w:trPr>
          <w:trHeight w:val="247"/>
        </w:trPr>
        <w:tc>
          <w:tcPr>
            <w:tcW w:w="4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Investment securities held-to-maturity</w:t>
            </w: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2,405,254</w:t>
            </w:r>
          </w:p>
        </w:tc>
        <w:tc>
          <w:tcPr>
            <w:tcW w:w="3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2,063,694</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2,063,694</w:t>
            </w:r>
          </w:p>
        </w:tc>
        <w:tc>
          <w:tcPr>
            <w:tcW w:w="100" w:type="dxa"/>
            <w:vAlign w:val="bottom"/>
            <w:shd w:val="clear" w:color="auto" w:fill="CFF0FC"/>
          </w:tcPr>
          <w:p>
            <w:pPr>
              <w:spacing w:after="0"/>
              <w:rPr>
                <w:sz w:val="21"/>
                <w:szCs w:val="21"/>
                <w:color w:val="auto"/>
              </w:rPr>
            </w:pPr>
          </w:p>
        </w:tc>
      </w:tr>
      <w:tr>
        <w:trPr>
          <w:trHeight w:val="239"/>
        </w:trPr>
        <w:tc>
          <w:tcPr>
            <w:tcW w:w="4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loans, net of allowance for credit losses</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8,489,623</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8,198,815</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8,198,815</w:t>
            </w:r>
          </w:p>
        </w:tc>
        <w:tc>
          <w:tcPr>
            <w:tcW w:w="100" w:type="dxa"/>
            <w:vAlign w:val="bottom"/>
          </w:tcPr>
          <w:p>
            <w:pPr>
              <w:spacing w:after="0"/>
              <w:rPr>
                <w:sz w:val="20"/>
                <w:szCs w:val="20"/>
                <w:color w:val="auto"/>
              </w:rPr>
            </w:pPr>
          </w:p>
        </w:tc>
      </w:tr>
      <w:tr>
        <w:trPr>
          <w:trHeight w:val="247"/>
        </w:trPr>
        <w:tc>
          <w:tcPr>
            <w:tcW w:w="4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Derivatives not designated as hedging instruments:</w:t>
            </w: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rate swaps</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Pr>
          <w:p>
            <w:pPr>
              <w:spacing w:after="0"/>
              <w:rPr>
                <w:sz w:val="20"/>
                <w:szCs w:val="20"/>
                <w:color w:val="auto"/>
              </w:rPr>
            </w:pPr>
          </w:p>
        </w:tc>
      </w:tr>
      <w:tr>
        <w:trPr>
          <w:trHeight w:val="247"/>
        </w:trPr>
        <w:tc>
          <w:tcPr>
            <w:tcW w:w="4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Fair value hedges: interest rate swaps</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3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Cash flow hedges: interest rate swaps</w:t>
            </w: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4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Deposits:</w:t>
            </w: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Interest-bearing</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4,935,665</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4,932,019</w:t>
            </w:r>
          </w:p>
        </w:tc>
        <w:tc>
          <w:tcPr>
            <w:tcW w:w="2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4,932,019</w:t>
            </w:r>
          </w:p>
        </w:tc>
        <w:tc>
          <w:tcPr>
            <w:tcW w:w="100" w:type="dxa"/>
            <w:vAlign w:val="bottom"/>
          </w:tcPr>
          <w:p>
            <w:pPr>
              <w:spacing w:after="0"/>
              <w:rPr>
                <w:sz w:val="20"/>
                <w:szCs w:val="20"/>
                <w:color w:val="auto"/>
              </w:rPr>
            </w:pPr>
          </w:p>
        </w:tc>
      </w:tr>
      <w:tr>
        <w:trPr>
          <w:trHeight w:val="247"/>
        </w:trPr>
        <w:tc>
          <w:tcPr>
            <w:tcW w:w="4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Borrowings</w:t>
            </w: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894,515</w:t>
            </w:r>
          </w:p>
        </w:tc>
        <w:tc>
          <w:tcPr>
            <w:tcW w:w="3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871,786</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871,786</w:t>
            </w:r>
          </w:p>
        </w:tc>
        <w:tc>
          <w:tcPr>
            <w:tcW w:w="100" w:type="dxa"/>
            <w:vAlign w:val="bottom"/>
            <w:shd w:val="clear" w:color="auto" w:fill="CFF0FC"/>
          </w:tcPr>
          <w:p>
            <w:pPr>
              <w:spacing w:after="0"/>
              <w:rPr>
                <w:sz w:val="21"/>
                <w:szCs w:val="21"/>
                <w:color w:val="auto"/>
              </w:rPr>
            </w:pPr>
          </w:p>
        </w:tc>
      </w:tr>
      <w:tr>
        <w:trPr>
          <w:trHeight w:val="239"/>
        </w:trPr>
        <w:tc>
          <w:tcPr>
            <w:tcW w:w="4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Derivatives not designated as hedging instruments: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3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Interest rate swaps</w:t>
            </w: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3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shd w:val="clear" w:color="auto" w:fill="CFF0FC"/>
          </w:tcPr>
          <w:p>
            <w:pPr>
              <w:spacing w:after="0"/>
              <w:rPr>
                <w:sz w:val="21"/>
                <w:szCs w:val="21"/>
                <w:color w:val="auto"/>
              </w:rPr>
            </w:pPr>
          </w:p>
        </w:tc>
      </w:tr>
      <w:tr>
        <w:trPr>
          <w:trHeight w:val="239"/>
        </w:trPr>
        <w:tc>
          <w:tcPr>
            <w:tcW w:w="4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3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Fair value hedges: interest rate swaps</w:t>
            </w: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14,959</w:t>
            </w:r>
          </w:p>
        </w:tc>
        <w:tc>
          <w:tcPr>
            <w:tcW w:w="3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14,959</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14,959</w:t>
            </w:r>
          </w:p>
        </w:tc>
        <w:tc>
          <w:tcPr>
            <w:tcW w:w="100" w:type="dxa"/>
            <w:vAlign w:val="bottom"/>
            <w:shd w:val="clear" w:color="auto" w:fill="CFF0FC"/>
          </w:tcPr>
          <w:p>
            <w:pPr>
              <w:spacing w:after="0"/>
              <w:rPr>
                <w:sz w:val="21"/>
                <w:szCs w:val="21"/>
                <w:color w:val="auto"/>
              </w:rPr>
            </w:pPr>
          </w:p>
        </w:tc>
      </w:tr>
      <w:tr>
        <w:trPr>
          <w:trHeight w:val="234"/>
        </w:trPr>
        <w:tc>
          <w:tcPr>
            <w:tcW w:w="4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flow hedges: interest rate swaps</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5,329</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5,329</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5,329</w:t>
            </w:r>
          </w:p>
        </w:tc>
        <w:tc>
          <w:tcPr>
            <w:tcW w:w="100" w:type="dxa"/>
            <w:vAlign w:val="bottom"/>
          </w:tcPr>
          <w:p>
            <w:pPr>
              <w:spacing w:after="0"/>
              <w:rPr>
                <w:sz w:val="20"/>
                <w:szCs w:val="20"/>
                <w:color w:val="auto"/>
              </w:rPr>
            </w:pPr>
          </w:p>
        </w:tc>
      </w:tr>
      <w:tr>
        <w:trPr>
          <w:trHeight w:val="441"/>
        </w:trPr>
        <w:tc>
          <w:tcPr>
            <w:tcW w:w="4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3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45"/>
        </w:trPr>
        <w:tc>
          <w:tcPr>
            <w:tcW w:w="43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Estimated Fair Value</w:t>
            </w:r>
          </w:p>
        </w:tc>
        <w:tc>
          <w:tcPr>
            <w:tcW w:w="3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4"/>
        </w:trPr>
        <w:tc>
          <w:tcPr>
            <w:tcW w:w="4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08"/>
        </w:trPr>
        <w:tc>
          <w:tcPr>
            <w:tcW w:w="4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60" w:type="dxa"/>
            <w:vAlign w:val="bottom"/>
            <w:gridSpan w:val="4"/>
          </w:tcPr>
          <w:p>
            <w:pPr>
              <w:jc w:val="center"/>
              <w:ind w:righ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1"/>
        </w:trPr>
        <w:tc>
          <w:tcPr>
            <w:tcW w:w="4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281,285</w:t>
            </w:r>
          </w:p>
        </w:tc>
        <w:tc>
          <w:tcPr>
            <w:tcW w:w="3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281,285</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281,285</w:t>
            </w:r>
          </w:p>
        </w:tc>
        <w:tc>
          <w:tcPr>
            <w:tcW w:w="100" w:type="dxa"/>
            <w:vAlign w:val="bottom"/>
          </w:tcPr>
          <w:p>
            <w:pPr>
              <w:spacing w:after="0"/>
              <w:rPr>
                <w:sz w:val="20"/>
                <w:szCs w:val="20"/>
                <w:color w:val="auto"/>
              </w:rPr>
            </w:pPr>
          </w:p>
        </w:tc>
      </w:tr>
      <w:tr>
        <w:trPr>
          <w:trHeight w:val="215"/>
        </w:trPr>
        <w:tc>
          <w:tcPr>
            <w:tcW w:w="4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Interest-earning balances due from</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43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depository institutions</w:t>
            </w: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8,216</w:t>
            </w:r>
          </w:p>
        </w:tc>
        <w:tc>
          <w:tcPr>
            <w:tcW w:w="3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8,216</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8,216</w:t>
            </w:r>
          </w:p>
        </w:tc>
        <w:tc>
          <w:tcPr>
            <w:tcW w:w="100" w:type="dxa"/>
            <w:vAlign w:val="bottom"/>
            <w:shd w:val="clear" w:color="auto" w:fill="CFF0FC"/>
          </w:tcPr>
          <w:p>
            <w:pPr>
              <w:spacing w:after="0"/>
              <w:rPr>
                <w:sz w:val="21"/>
                <w:szCs w:val="21"/>
                <w:color w:val="auto"/>
              </w:rPr>
            </w:pPr>
          </w:p>
        </w:tc>
      </w:tr>
      <w:tr>
        <w:trPr>
          <w:trHeight w:val="239"/>
        </w:trPr>
        <w:tc>
          <w:tcPr>
            <w:tcW w:w="4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 securities available-for-sale</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2,956,125</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2,956,125</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2,956,125</w:t>
            </w:r>
          </w:p>
        </w:tc>
        <w:tc>
          <w:tcPr>
            <w:tcW w:w="100" w:type="dxa"/>
            <w:vAlign w:val="bottom"/>
          </w:tcPr>
          <w:p>
            <w:pPr>
              <w:spacing w:after="0"/>
              <w:rPr>
                <w:sz w:val="20"/>
                <w:szCs w:val="20"/>
                <w:color w:val="auto"/>
              </w:rPr>
            </w:pPr>
          </w:p>
        </w:tc>
      </w:tr>
      <w:tr>
        <w:trPr>
          <w:trHeight w:val="247"/>
        </w:trPr>
        <w:tc>
          <w:tcPr>
            <w:tcW w:w="4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Investment securities held-to-maturity</w:t>
            </w: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2,464,610</w:t>
            </w:r>
          </w:p>
        </w:tc>
        <w:tc>
          <w:tcPr>
            <w:tcW w:w="3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2,082,881</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2,082,881</w:t>
            </w:r>
          </w:p>
        </w:tc>
        <w:tc>
          <w:tcPr>
            <w:tcW w:w="100" w:type="dxa"/>
            <w:vAlign w:val="bottom"/>
            <w:shd w:val="clear" w:color="auto" w:fill="CFF0FC"/>
          </w:tcPr>
          <w:p>
            <w:pPr>
              <w:spacing w:after="0"/>
              <w:rPr>
                <w:sz w:val="21"/>
                <w:szCs w:val="21"/>
                <w:color w:val="auto"/>
              </w:rPr>
            </w:pPr>
          </w:p>
        </w:tc>
      </w:tr>
      <w:tr>
        <w:trPr>
          <w:trHeight w:val="239"/>
        </w:trPr>
        <w:tc>
          <w:tcPr>
            <w:tcW w:w="4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loans, net of allowance for credit losses</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8,818,068</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8,503,518</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8,503,518</w:t>
            </w:r>
          </w:p>
        </w:tc>
        <w:tc>
          <w:tcPr>
            <w:tcW w:w="100" w:type="dxa"/>
            <w:vAlign w:val="bottom"/>
          </w:tcPr>
          <w:p>
            <w:pPr>
              <w:spacing w:after="0"/>
              <w:rPr>
                <w:sz w:val="20"/>
                <w:szCs w:val="20"/>
                <w:color w:val="auto"/>
              </w:rPr>
            </w:pPr>
          </w:p>
        </w:tc>
      </w:tr>
      <w:tr>
        <w:trPr>
          <w:trHeight w:val="247"/>
        </w:trPr>
        <w:tc>
          <w:tcPr>
            <w:tcW w:w="4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Derivatives not designated as hedging instruments:</w:t>
            </w: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rate swaps</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20"/>
                <w:szCs w:val="20"/>
                <w:color w:val="auto"/>
              </w:rPr>
            </w:pPr>
          </w:p>
        </w:tc>
      </w:tr>
      <w:tr>
        <w:trPr>
          <w:trHeight w:val="247"/>
        </w:trPr>
        <w:tc>
          <w:tcPr>
            <w:tcW w:w="4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Fair value hedges: interest rate swaps</w:t>
            </w:r>
          </w:p>
        </w:tc>
        <w:tc>
          <w:tcPr>
            <w:tcW w:w="160" w:type="dxa"/>
            <w:vAlign w:val="bottom"/>
          </w:tcPr>
          <w:p>
            <w:pPr>
              <w:spacing w:after="0"/>
              <w:rPr>
                <w:sz w:val="20"/>
                <w:szCs w:val="20"/>
                <w:color w:val="auto"/>
              </w:rPr>
            </w:pP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Deposits: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3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Interest-bearing</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4,227,467</w:t>
            </w:r>
          </w:p>
        </w:tc>
        <w:tc>
          <w:tcPr>
            <w:tcW w:w="32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4,222,773</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4,222,773</w:t>
            </w:r>
          </w:p>
        </w:tc>
        <w:tc>
          <w:tcPr>
            <w:tcW w:w="100" w:type="dxa"/>
            <w:vAlign w:val="bottom"/>
            <w:shd w:val="clear" w:color="auto" w:fill="CFF0FC"/>
          </w:tcPr>
          <w:p>
            <w:pPr>
              <w:spacing w:after="0"/>
              <w:rPr>
                <w:sz w:val="21"/>
                <w:szCs w:val="21"/>
                <w:color w:val="auto"/>
              </w:rPr>
            </w:pPr>
          </w:p>
        </w:tc>
      </w:tr>
      <w:tr>
        <w:trPr>
          <w:trHeight w:val="239"/>
        </w:trPr>
        <w:tc>
          <w:tcPr>
            <w:tcW w:w="4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Borrowings</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2,341,642</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2,283,631</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2,283,631</w:t>
            </w:r>
          </w:p>
        </w:tc>
        <w:tc>
          <w:tcPr>
            <w:tcW w:w="100" w:type="dxa"/>
            <w:vAlign w:val="bottom"/>
          </w:tcPr>
          <w:p>
            <w:pPr>
              <w:spacing w:after="0"/>
              <w:rPr>
                <w:sz w:val="20"/>
                <w:szCs w:val="20"/>
                <w:color w:val="auto"/>
              </w:rPr>
            </w:pPr>
          </w:p>
        </w:tc>
      </w:tr>
      <w:tr>
        <w:trPr>
          <w:trHeight w:val="247"/>
        </w:trPr>
        <w:tc>
          <w:tcPr>
            <w:tcW w:w="4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Derivatives not designated as hedging instruments:</w:t>
            </w: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rate swaps</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20"/>
                <w:szCs w:val="20"/>
                <w:color w:val="auto"/>
              </w:rPr>
            </w:pPr>
          </w:p>
        </w:tc>
      </w:tr>
      <w:tr>
        <w:trPr>
          <w:trHeight w:val="247"/>
        </w:trPr>
        <w:tc>
          <w:tcPr>
            <w:tcW w:w="4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4"/>
        </w:trPr>
        <w:tc>
          <w:tcPr>
            <w:tcW w:w="4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Fair value hedges: interest rate swaps</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6,938</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6,938</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6,938</w:t>
            </w:r>
          </w:p>
        </w:tc>
        <w:tc>
          <w:tcPr>
            <w:tcW w:w="100" w:type="dxa"/>
            <w:vAlign w:val="bottom"/>
          </w:tcPr>
          <w:p>
            <w:pPr>
              <w:spacing w:after="0"/>
              <w:rPr>
                <w:sz w:val="20"/>
                <w:szCs w:val="20"/>
                <w:color w:val="auto"/>
              </w:rPr>
            </w:pPr>
          </w:p>
        </w:tc>
      </w:tr>
    </w:tbl>
    <w:p>
      <w:pPr>
        <w:spacing w:after="0" w:line="193" w:lineRule="exact"/>
        <w:rPr>
          <w:sz w:val="20"/>
          <w:szCs w:val="20"/>
          <w:color w:val="auto"/>
        </w:rPr>
      </w:pPr>
    </w:p>
    <w:p>
      <w:pPr>
        <w:ind w:right="200" w:firstLine="469"/>
        <w:spacing w:after="0" w:line="261" w:lineRule="auto"/>
        <w:rPr>
          <w:sz w:val="20"/>
          <w:szCs w:val="20"/>
          <w:color w:val="auto"/>
        </w:rPr>
      </w:pPr>
      <w:r>
        <w:rPr>
          <w:rFonts w:ascii="Times New Roman" w:cs="Times New Roman" w:eastAsia="Times New Roman" w:hAnsi="Times New Roman"/>
          <w:sz w:val="18"/>
          <w:szCs w:val="18"/>
          <w:color w:val="auto"/>
        </w:rPr>
        <w:t>The fair value estimates presented herein are based on pertinent information available to management as of September 30, 2024 and December 31, 2023. Although management is not aware of any factors that would significantly affect the estimated fair value amounts, such amounts have not been comprehensively revalued for purposes of these financial statements since that date, and therefore, current estimates of fair value may differ significantly from the amounts presented above.</w:t>
      </w:r>
    </w:p>
    <w:p>
      <w:pPr>
        <w:spacing w:after="0" w:line="17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DERIVATIVE FINANCIAL INSTRUMENTS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Derivatives Not Designated as Hedging Instruments</w:t>
      </w:r>
    </w:p>
    <w:p>
      <w:pPr>
        <w:spacing w:after="0" w:line="229" w:lineRule="exact"/>
        <w:rPr>
          <w:sz w:val="20"/>
          <w:szCs w:val="20"/>
          <w:color w:val="auto"/>
        </w:rPr>
      </w:pPr>
    </w:p>
    <w:p>
      <w:pPr>
        <w:ind w:right="40" w:firstLine="469"/>
        <w:spacing w:after="0" w:line="256" w:lineRule="auto"/>
        <w:rPr>
          <w:sz w:val="20"/>
          <w:szCs w:val="20"/>
          <w:color w:val="auto"/>
        </w:rPr>
      </w:pPr>
      <w:r>
        <w:rPr>
          <w:rFonts w:ascii="Times New Roman" w:cs="Times New Roman" w:eastAsia="Times New Roman" w:hAnsi="Times New Roman"/>
          <w:sz w:val="18"/>
          <w:szCs w:val="18"/>
          <w:color w:val="auto"/>
        </w:rPr>
        <w:t>The Bank is exposed to certain risks relating to its ongoing business operations and utilizes interest rate swap agreements (“swaps”) as part of its asset/liability management strategy to help manage its interest rate risk position. As of September 30, 2024, the Bank has entered into 115 interest-rate swap agreements with customers with a notional amount totaling $364.5 million. The Bank then entered into identical offsetting swaps with counterparties. The swap agreements are not designated as hedging instruments. The purpose of entering into offsetting derivatives not designated as a hedging instrument is to provide the Bank a variable-rate loan receivable and to provide the customer the financial effects of a fixed-rate loan without creating significant volatility in the Bank’s earnings.</w:t>
      </w:r>
    </w:p>
    <w:p>
      <w:pPr>
        <w:spacing w:after="0" w:line="187" w:lineRule="exact"/>
        <w:rPr>
          <w:sz w:val="20"/>
          <w:szCs w:val="20"/>
          <w:color w:val="auto"/>
        </w:rPr>
      </w:pPr>
    </w:p>
    <w:p>
      <w:pPr>
        <w:ind w:firstLine="469"/>
        <w:spacing w:after="0" w:line="253" w:lineRule="auto"/>
        <w:rPr>
          <w:sz w:val="20"/>
          <w:szCs w:val="20"/>
          <w:color w:val="auto"/>
        </w:rPr>
      </w:pPr>
      <w:r>
        <w:rPr>
          <w:rFonts w:ascii="Times New Roman" w:cs="Times New Roman" w:eastAsia="Times New Roman" w:hAnsi="Times New Roman"/>
          <w:sz w:val="18"/>
          <w:szCs w:val="18"/>
          <w:color w:val="auto"/>
        </w:rPr>
        <w:t>The structure of the swaps is as follows. The Bank enters into an interest rate swap with its customers in which the Bank pays the customer a variable rate and the customer pays the Bank a fixed rate, therefore allowing customers to convert variable rate loans to fixed rate loans. At the same time, the Bank enters into a swap with a counterparty bank in which the Bank pays the counterparty a fixed rate and the counterparty in return pays the Bank a variable rate. The net effect of the transaction allows the Bank to receive interest on the loan from the customer at a variable rate based on SOFR plus a spread. The changes in the fair value of the swaps primarily offset each other and therefore should not have a significant impact on the Company’s results of operations, although the Company does incur credit and counterparty risk with respect to performance on the swap agreements by the Bank’s customer and counterparty, respectively. These instruments contain language outlining collateral pledging requirements for each counterparty, in which collateral must be posted if market value exceeds certain agreed upon threshold limits. Cash or securities are pledged as collateral. Our interest rate swap derivatives are subject to a master netting arrangement with our counterparties. None of our derivative assets and liabilities are offset in the Company’s condensed consolidated balance sheet.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2" w:name="page33"/>
    <w:bookmarkEnd w:id="32"/>
    <w:p>
      <w:pPr>
        <w:ind w:right="260" w:firstLine="469"/>
        <w:spacing w:after="0" w:line="266" w:lineRule="auto"/>
        <w:rPr>
          <w:sz w:val="20"/>
          <w:szCs w:val="20"/>
          <w:color w:val="auto"/>
        </w:rPr>
      </w:pPr>
      <w:r>
        <w:rPr>
          <w:rFonts w:ascii="Times New Roman" w:cs="Times New Roman" w:eastAsia="Times New Roman" w:hAnsi="Times New Roman"/>
          <w:sz w:val="18"/>
          <w:szCs w:val="18"/>
          <w:color w:val="auto"/>
        </w:rPr>
        <w:t>We believe our risk of loss associated with our counterparty borrowers related to interest rate swaps is mitigated as the loans with swaps are underwritten to take into account potential additional exposure, although there can be no assurances in this regard since the performance of our swaps is subject to market and counterparty risk.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Derivatives Designated as Hedging Instruments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Fair Value Hedges</w:t>
      </w:r>
    </w:p>
    <w:p>
      <w:pPr>
        <w:spacing w:after="0" w:line="22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To manage interest rate risk on our AFS securities portfolio, we have entered into pay-fixed, receive-floating interest rate swap contracts to hedge against exposure to changes in the fair value of such securities resulting from changes in interest rates. We designate these interest rate swap contracts as fair value hedges that qualify for hedge accounting under ASC 815, Derivatives and Hedging. We elected to account for the fair value hedges using the portfolio layer method in accordance with ASU 2022-01. We record the interest rate swaps in the line items "accrued interest receivable and other assets" and "other liabilities" on our consolidated balance sheet. For qualifying fair value hedges, both the changes in the fair value of the derivative and the portion of the fair value adjustments associated with the portfolio layer attributable to the hedged risk are recognized into earnings as they occur. Derivative amounts impacting earnings are recognized consistent with the classification of the hedged item in the line item "investment securities available for sale" as part of interest income, a component of consolidated net income.</w:t>
      </w:r>
    </w:p>
    <w:p>
      <w:pPr>
        <w:spacing w:after="0" w:line="192"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In June 2023, fair value hedging transactions were executed in which $1 billion notional pay-fixed interest rate swaps were consummated with maturities ranging from four to five years, wherein the Company pays a weighted average fixed rate of approximately 3.8% and receives daily SOFR. The fair value of these instruments totaled $15.0 million and were reflected as a liability at September 30,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Cash Flow Hedges</w:t>
      </w:r>
    </w:p>
    <w:p>
      <w:pPr>
        <w:spacing w:after="0" w:line="229"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To manage our interest rate risk associated with brokered CDs, FHLB advances or other fixed rate advances for specified periods, the Company enters into interest rate derivative contracts that are designated as qualifying cash flow hedges to hedge the exposure to variability in expected future cash flows attributable to changes in a contractually specified interest rates. During the first quarter of 2024, $300 million of 3-month term brokered CDs were issued and cash flow hedging transactions were also executed in which $300 million notional pay-fixed interest rate swaps were consummated with maturities of three years, wherein the Company pays a weighted average fixed rate of approximately 4.2% and receives daily SOFR.</w:t>
      </w:r>
    </w:p>
    <w:p>
      <w:pPr>
        <w:spacing w:after="0" w:line="183"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To qualify for hedge accounting, a formal assessment is prepared to determine whether the hedging relationship, both at inception and on an ongoing basis, is expected to be highly effective in achieving offsetting cash flows attributable to the hedged risk during the term of the hedge if a cash flow hedge. At inception a statistical regression analysis is prepared to determine hedge effectiveness. At each reporting period thereafter, a statistical regression or qualitative analysis is performed to determine hedge effectiveness. If it is determined that hedge effectiveness has not been or will not continue to be highly effective, then hedge accounting ceases and any gain or loss in AOCI is recognized in earnings immediately. The cash flow hedges are recorded at fair value in other assets and other liabilities on the consolidated balance sheets with changes in fair value recorded in AOCI, net of tax. All related cash flows are reported in the operating activities section of the consolidated statement of cash flows. Amounts recorded to AOCI are reclassified into earnings in the same period in which the hedged asset or liability affects earnings and are presented in the same income statement line item as the earnings effect of the hedged asset or liability.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Balance Sheet Classification of Derivative Financial Instruments</w:t>
      </w:r>
    </w:p>
    <w:p>
      <w:pPr>
        <w:spacing w:after="0" w:line="229" w:lineRule="exact"/>
        <w:rPr>
          <w:sz w:val="20"/>
          <w:szCs w:val="20"/>
          <w:color w:val="auto"/>
        </w:rPr>
      </w:pPr>
    </w:p>
    <w:p>
      <w:pPr>
        <w:ind w:right="300" w:firstLine="469"/>
        <w:spacing w:after="0" w:line="282" w:lineRule="auto"/>
        <w:rPr>
          <w:sz w:val="20"/>
          <w:szCs w:val="20"/>
          <w:color w:val="auto"/>
        </w:rPr>
      </w:pPr>
      <w:r>
        <w:rPr>
          <w:rFonts w:ascii="Times New Roman" w:cs="Times New Roman" w:eastAsia="Times New Roman" w:hAnsi="Times New Roman"/>
          <w:sz w:val="18"/>
          <w:szCs w:val="18"/>
          <w:color w:val="auto"/>
        </w:rPr>
        <w:t>As of September 30, 2024 and December 31, 2023, the notional amount, the location of the asset and liability, and their respective fair values, are summarized in the tables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gridSpan w:val="8"/>
          </w:tcPr>
          <w:p>
            <w:pPr>
              <w:ind w:left="22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38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7"/>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Asset Derivatives</w:t>
            </w:r>
          </w:p>
        </w:tc>
        <w:tc>
          <w:tcPr>
            <w:tcW w:w="11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7"/>
          </w:tcPr>
          <w:p>
            <w:pPr>
              <w:ind w:left="640"/>
              <w:spacing w:after="0"/>
              <w:rPr>
                <w:sz w:val="20"/>
                <w:szCs w:val="20"/>
                <w:color w:val="auto"/>
              </w:rPr>
            </w:pPr>
            <w:r>
              <w:rPr>
                <w:rFonts w:ascii="Times New Roman" w:cs="Times New Roman" w:eastAsia="Times New Roman" w:hAnsi="Times New Roman"/>
                <w:sz w:val="18"/>
                <w:szCs w:val="18"/>
                <w:b w:val="1"/>
                <w:bCs w:val="1"/>
                <w:color w:val="auto"/>
              </w:rPr>
              <w:t>Liability Derivatives</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3"/>
        </w:trPr>
        <w:tc>
          <w:tcPr>
            <w:tcW w:w="3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b w:val="1"/>
                <w:bCs w:val="1"/>
                <w:color w:val="auto"/>
              </w:rPr>
              <w:t>Balance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Sheet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100" w:type="dxa"/>
            <w:vAlign w:val="bottom"/>
          </w:tcPr>
          <w:p>
            <w:pPr>
              <w:spacing w:after="0"/>
              <w:rPr>
                <w:sz w:val="18"/>
                <w:szCs w:val="18"/>
                <w:color w:val="auto"/>
              </w:rPr>
            </w:pPr>
          </w:p>
        </w:tc>
        <w:tc>
          <w:tcPr>
            <w:tcW w:w="7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Fair</w:t>
            </w:r>
          </w:p>
        </w:tc>
      </w:tr>
      <w:tr>
        <w:trPr>
          <w:trHeight w:val="245"/>
        </w:trPr>
        <w:tc>
          <w:tcPr>
            <w:tcW w:w="38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Notional</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80" w:type="dxa"/>
            <w:vAlign w:val="bottom"/>
            <w:gridSpan w:val="2"/>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Notional</w:t>
            </w:r>
          </w:p>
        </w:tc>
        <w:tc>
          <w:tcPr>
            <w:tcW w:w="240" w:type="dxa"/>
            <w:vAlign w:val="bottom"/>
            <w:gridSpan w:val="2"/>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140" w:type="dxa"/>
            <w:vAlign w:val="bottom"/>
            <w:gridSpan w:val="2"/>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21"/>
                <w:szCs w:val="21"/>
                <w:color w:val="auto"/>
              </w:rPr>
            </w:pPr>
          </w:p>
        </w:tc>
      </w:tr>
      <w:tr>
        <w:trPr>
          <w:trHeight w:val="212"/>
        </w:trPr>
        <w:tc>
          <w:tcPr>
            <w:tcW w:w="3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91"/>
              <w:spacing w:after="0"/>
              <w:rPr>
                <w:sz w:val="20"/>
                <w:szCs w:val="20"/>
                <w:color w:val="auto"/>
              </w:rPr>
            </w:pPr>
            <w:r>
              <w:rPr>
                <w:rFonts w:ascii="Times New Roman" w:cs="Times New Roman" w:eastAsia="Times New Roman" w:hAnsi="Times New Roman"/>
                <w:sz w:val="16"/>
                <w:szCs w:val="16"/>
                <w:i w:val="1"/>
                <w:iCs w:val="1"/>
                <w:color w:val="auto"/>
              </w:rPr>
              <w:t>(Dollars in</w:t>
            </w:r>
          </w:p>
        </w:tc>
        <w:tc>
          <w:tcPr>
            <w:tcW w:w="1160" w:type="dxa"/>
            <w:vAlign w:val="bottom"/>
            <w:gridSpan w:val="5"/>
          </w:tcPr>
          <w:p>
            <w:pPr>
              <w:jc w:val="right"/>
              <w:ind w:right="490"/>
              <w:spacing w:after="0"/>
              <w:rPr>
                <w:sz w:val="20"/>
                <w:szCs w:val="20"/>
                <w:color w:val="auto"/>
              </w:rPr>
            </w:pPr>
            <w:r>
              <w:rPr>
                <w:rFonts w:ascii="Times New Roman" w:cs="Times New Roman" w:eastAsia="Times New Roman" w:hAnsi="Times New Roman"/>
                <w:sz w:val="16"/>
                <w:szCs w:val="16"/>
                <w:i w:val="1"/>
                <w:iCs w:val="1"/>
                <w:color w:val="auto"/>
                <w:w w:val="79"/>
              </w:rPr>
              <w:t>thousands)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1"/>
        </w:trPr>
        <w:tc>
          <w:tcPr>
            <w:tcW w:w="3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Derivatives not designated as hedging instruments:</w:t>
            </w:r>
          </w:p>
        </w:tc>
        <w:tc>
          <w:tcPr>
            <w:tcW w:w="1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3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rate swaps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381,468</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Other assets</w:t>
            </w:r>
          </w:p>
        </w:tc>
        <w:tc>
          <w:tcPr>
            <w:tcW w:w="160" w:type="dxa"/>
            <w:vAlign w:val="bottom"/>
            <w:gridSpan w:val="2"/>
          </w:tcPr>
          <w:p>
            <w:pPr>
              <w:spacing w:after="0"/>
              <w:rPr>
                <w:sz w:val="21"/>
                <w:szCs w:val="21"/>
                <w:color w:val="auto"/>
              </w:rPr>
            </w:pPr>
          </w:p>
        </w:tc>
        <w:tc>
          <w:tcPr>
            <w:tcW w:w="2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381,468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Pr>
          <w:p>
            <w:pPr>
              <w:spacing w:after="0"/>
              <w:rPr>
                <w:sz w:val="21"/>
                <w:szCs w:val="21"/>
                <w:color w:val="auto"/>
              </w:rPr>
            </w:pPr>
          </w:p>
        </w:tc>
      </w:tr>
      <w:tr>
        <w:trPr>
          <w:trHeight w:val="277"/>
        </w:trPr>
        <w:tc>
          <w:tcPr>
            <w:tcW w:w="3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shd w:val="clear" w:color="auto" w:fill="CFF0FC"/>
          </w:tcPr>
          <w:p>
            <w:pPr>
              <w:spacing w:after="0"/>
              <w:rPr>
                <w:sz w:val="24"/>
                <w:szCs w:val="24"/>
                <w:color w:val="auto"/>
              </w:rPr>
            </w:pPr>
          </w:p>
        </w:tc>
        <w:tc>
          <w:tcPr>
            <w:tcW w:w="900" w:type="dxa"/>
            <w:vAlign w:val="bottom"/>
            <w:shd w:val="clear" w:color="auto" w:fill="CFF0FC"/>
          </w:tcPr>
          <w:p>
            <w:pPr>
              <w:spacing w:after="0"/>
              <w:rPr>
                <w:sz w:val="24"/>
                <w:szCs w:val="24"/>
                <w:color w:val="auto"/>
              </w:rPr>
            </w:pPr>
          </w:p>
        </w:tc>
        <w:tc>
          <w:tcPr>
            <w:tcW w:w="4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40" w:type="dxa"/>
            <w:vAlign w:val="bottom"/>
            <w:shd w:val="clear" w:color="auto" w:fill="CFF0FC"/>
          </w:tcPr>
          <w:p>
            <w:pPr>
              <w:spacing w:after="0"/>
              <w:rPr>
                <w:sz w:val="24"/>
                <w:szCs w:val="24"/>
                <w:color w:val="auto"/>
              </w:rPr>
            </w:pPr>
          </w:p>
        </w:tc>
        <w:tc>
          <w:tcPr>
            <w:tcW w:w="940" w:type="dxa"/>
            <w:vAlign w:val="bottom"/>
            <w:shd w:val="clear" w:color="auto" w:fill="CFF0FC"/>
          </w:tcPr>
          <w:p>
            <w:pPr>
              <w:spacing w:after="0"/>
              <w:rPr>
                <w:sz w:val="24"/>
                <w:szCs w:val="24"/>
                <w:color w:val="auto"/>
              </w:rPr>
            </w:pPr>
          </w:p>
        </w:tc>
        <w:tc>
          <w:tcPr>
            <w:tcW w:w="360" w:type="dxa"/>
            <w:vAlign w:val="bottom"/>
            <w:gridSpan w:val="4"/>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8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6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70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114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40" w:type="dxa"/>
            <w:vAlign w:val="bottom"/>
            <w:shd w:val="clear" w:color="auto" w:fill="CFF0FC"/>
          </w:tcPr>
          <w:p>
            <w:pPr>
              <w:spacing w:after="0"/>
              <w:rPr>
                <w:sz w:val="24"/>
                <w:szCs w:val="24"/>
                <w:color w:val="auto"/>
              </w:rPr>
            </w:pPr>
          </w:p>
        </w:tc>
        <w:tc>
          <w:tcPr>
            <w:tcW w:w="2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shd w:val="clear" w:color="auto" w:fill="CFF0FC"/>
          </w:tcPr>
          <w:p>
            <w:pPr>
              <w:spacing w:after="0"/>
              <w:rPr>
                <w:sz w:val="24"/>
                <w:szCs w:val="24"/>
                <w:color w:val="auto"/>
              </w:rPr>
            </w:pPr>
          </w:p>
        </w:tc>
      </w:tr>
      <w:tr>
        <w:trPr>
          <w:trHeight w:val="223"/>
        </w:trPr>
        <w:tc>
          <w:tcPr>
            <w:tcW w:w="3840" w:type="dxa"/>
            <w:vAlign w:val="bottom"/>
            <w:tcBorders>
              <w:top w:val="single" w:sz="8" w:color="CFF0FC"/>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900" w:type="dxa"/>
            <w:vAlign w:val="bottom"/>
            <w:tcBorders>
              <w:top w:val="single" w:sz="8" w:color="CFF0FC"/>
            </w:tcBorders>
          </w:tcPr>
          <w:p>
            <w:pPr>
              <w:spacing w:after="0"/>
              <w:rPr>
                <w:sz w:val="19"/>
                <w:szCs w:val="19"/>
                <w:color w:val="auto"/>
              </w:rPr>
            </w:pPr>
          </w:p>
        </w:tc>
        <w:tc>
          <w:tcPr>
            <w:tcW w:w="40" w:type="dxa"/>
            <w:vAlign w:val="bottom"/>
            <w:tcBorders>
              <w:top w:val="single" w:sz="8" w:color="CFF0FC"/>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40" w:type="dxa"/>
            <w:vAlign w:val="bottom"/>
            <w:tcBorders>
              <w:top w:val="single" w:sz="8" w:color="CFF0FC"/>
            </w:tcBorders>
          </w:tcPr>
          <w:p>
            <w:pPr>
              <w:spacing w:after="0"/>
              <w:rPr>
                <w:sz w:val="19"/>
                <w:szCs w:val="19"/>
                <w:color w:val="auto"/>
              </w:rPr>
            </w:pPr>
          </w:p>
        </w:tc>
        <w:tc>
          <w:tcPr>
            <w:tcW w:w="940" w:type="dxa"/>
            <w:vAlign w:val="bottom"/>
            <w:tcBorders>
              <w:top w:val="single" w:sz="8" w:color="CFF0FC"/>
            </w:tcBorders>
          </w:tcPr>
          <w:p>
            <w:pPr>
              <w:spacing w:after="0"/>
              <w:rPr>
                <w:sz w:val="19"/>
                <w:szCs w:val="19"/>
                <w:color w:val="auto"/>
              </w:rPr>
            </w:pPr>
          </w:p>
        </w:tc>
        <w:tc>
          <w:tcPr>
            <w:tcW w:w="60" w:type="dxa"/>
            <w:vAlign w:val="bottom"/>
            <w:tcBorders>
              <w:top w:val="single" w:sz="8" w:color="CFF0FC"/>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80" w:type="dxa"/>
            <w:vAlign w:val="bottom"/>
            <w:tcBorders>
              <w:top w:val="single" w:sz="8" w:color="CFF0FC"/>
            </w:tcBorders>
          </w:tcPr>
          <w:p>
            <w:pPr>
              <w:spacing w:after="0"/>
              <w:rPr>
                <w:sz w:val="19"/>
                <w:szCs w:val="19"/>
                <w:color w:val="auto"/>
              </w:rPr>
            </w:pPr>
          </w:p>
        </w:tc>
        <w:tc>
          <w:tcPr>
            <w:tcW w:w="200" w:type="dxa"/>
            <w:vAlign w:val="bottom"/>
            <w:tcBorders>
              <w:top w:val="single" w:sz="8" w:color="CFF0FC"/>
            </w:tcBorders>
          </w:tcPr>
          <w:p>
            <w:pPr>
              <w:spacing w:after="0"/>
              <w:rPr>
                <w:sz w:val="19"/>
                <w:szCs w:val="19"/>
                <w:color w:val="auto"/>
              </w:rPr>
            </w:pPr>
          </w:p>
        </w:tc>
        <w:tc>
          <w:tcPr>
            <w:tcW w:w="6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700" w:type="dxa"/>
            <w:vAlign w:val="bottom"/>
            <w:tcBorders>
              <w:top w:val="single" w:sz="8" w:color="CFF0FC"/>
            </w:tcBorders>
          </w:tcPr>
          <w:p>
            <w:pPr>
              <w:spacing w:after="0"/>
              <w:rPr>
                <w:sz w:val="19"/>
                <w:szCs w:val="19"/>
                <w:color w:val="auto"/>
              </w:rPr>
            </w:pPr>
          </w:p>
        </w:tc>
        <w:tc>
          <w:tcPr>
            <w:tcW w:w="80" w:type="dxa"/>
            <w:vAlign w:val="bottom"/>
            <w:tcBorders>
              <w:top w:val="single" w:sz="8" w:color="CFF0FC"/>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80" w:type="dxa"/>
            <w:vAlign w:val="bottom"/>
            <w:tcBorders>
              <w:top w:val="single" w:sz="8" w:color="CFF0FC"/>
            </w:tcBorders>
          </w:tcPr>
          <w:p>
            <w:pPr>
              <w:spacing w:after="0"/>
              <w:rPr>
                <w:sz w:val="19"/>
                <w:szCs w:val="19"/>
                <w:color w:val="auto"/>
              </w:rPr>
            </w:pPr>
          </w:p>
        </w:tc>
        <w:tc>
          <w:tcPr>
            <w:tcW w:w="1140" w:type="dxa"/>
            <w:vAlign w:val="bottom"/>
            <w:tcBorders>
              <w:top w:val="single" w:sz="8" w:color="CFF0FC"/>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40" w:type="dxa"/>
            <w:vAlign w:val="bottom"/>
            <w:tcBorders>
              <w:top w:val="single" w:sz="8" w:color="CFF0FC"/>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43"/>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1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3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Fair value hedges: interest rate swaps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Other assets</w:t>
            </w:r>
          </w:p>
        </w:tc>
        <w:tc>
          <w:tcPr>
            <w:tcW w:w="36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14,959</w:t>
            </w:r>
          </w:p>
        </w:tc>
        <w:tc>
          <w:tcPr>
            <w:tcW w:w="100" w:type="dxa"/>
            <w:vAlign w:val="bottom"/>
          </w:tcPr>
          <w:p>
            <w:pPr>
              <w:spacing w:after="0"/>
              <w:rPr>
                <w:sz w:val="20"/>
                <w:szCs w:val="20"/>
                <w:color w:val="auto"/>
              </w:rPr>
            </w:pPr>
          </w:p>
        </w:tc>
      </w:tr>
      <w:tr>
        <w:trPr>
          <w:trHeight w:val="247"/>
        </w:trPr>
        <w:tc>
          <w:tcPr>
            <w:tcW w:w="38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Cash flow hedges: interest rate swaps</w:t>
            </w:r>
          </w:p>
        </w:tc>
        <w:tc>
          <w:tcPr>
            <w:tcW w:w="16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Other assets</w:t>
            </w:r>
          </w:p>
        </w:tc>
        <w:tc>
          <w:tcPr>
            <w:tcW w:w="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gridSpan w:val="2"/>
            <w:shd w:val="clear" w:color="auto" w:fill="CFF0FC"/>
          </w:tcPr>
          <w:p>
            <w:pPr>
              <w:spacing w:after="0"/>
              <w:rPr>
                <w:sz w:val="21"/>
                <w:szCs w:val="21"/>
                <w:color w:val="auto"/>
              </w:rPr>
            </w:pPr>
          </w:p>
        </w:tc>
        <w:tc>
          <w:tcPr>
            <w:tcW w:w="1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gridSpan w:val="4"/>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Other liabilities</w:t>
            </w:r>
          </w:p>
        </w:tc>
        <w:tc>
          <w:tcPr>
            <w:tcW w:w="10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3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gridSpan w:val="2"/>
          </w:tcPr>
          <w:p>
            <w:pPr>
              <w:spacing w:after="0"/>
              <w:rPr>
                <w:sz w:val="20"/>
                <w:szCs w:val="20"/>
                <w:color w:val="auto"/>
              </w:rPr>
            </w:pPr>
          </w:p>
        </w:tc>
        <w:tc>
          <w:tcPr>
            <w:tcW w:w="2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20,288</w:t>
            </w:r>
          </w:p>
        </w:tc>
        <w:tc>
          <w:tcPr>
            <w:tcW w:w="100" w:type="dxa"/>
            <w:vAlign w:val="bottom"/>
          </w:tcPr>
          <w:p>
            <w:pPr>
              <w:spacing w:after="0"/>
              <w:rPr>
                <w:sz w:val="20"/>
                <w:szCs w:val="20"/>
                <w:color w:val="auto"/>
              </w:rPr>
            </w:pPr>
          </w:p>
        </w:tc>
      </w:tr>
      <w:tr>
        <w:trPr>
          <w:trHeight w:val="20"/>
        </w:trPr>
        <w:tc>
          <w:tcPr>
            <w:tcW w:w="3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6"/>
        </w:trPr>
        <w:tc>
          <w:tcPr>
            <w:tcW w:w="38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8"/>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38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8"/>
                <w:szCs w:val="18"/>
                <w:b w:val="1"/>
                <w:bCs w:val="1"/>
                <w:color w:val="auto"/>
              </w:rPr>
              <w:t>Asset Derivatives</w:t>
            </w:r>
          </w:p>
        </w:tc>
        <w:tc>
          <w:tcPr>
            <w:tcW w:w="1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7"/>
          </w:tcPr>
          <w:p>
            <w:pPr>
              <w:ind w:left="680"/>
              <w:spacing w:after="0"/>
              <w:rPr>
                <w:sz w:val="20"/>
                <w:szCs w:val="20"/>
                <w:color w:val="auto"/>
              </w:rPr>
            </w:pPr>
            <w:r>
              <w:rPr>
                <w:rFonts w:ascii="Times New Roman" w:cs="Times New Roman" w:eastAsia="Times New Roman" w:hAnsi="Times New Roman"/>
                <w:sz w:val="18"/>
                <w:szCs w:val="18"/>
                <w:b w:val="1"/>
                <w:bCs w:val="1"/>
                <w:color w:val="auto"/>
              </w:rPr>
              <w:t>Liability Derivatives</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3"/>
        </w:trPr>
        <w:tc>
          <w:tcPr>
            <w:tcW w:w="3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b w:val="1"/>
                <w:bCs w:val="1"/>
                <w:color w:val="auto"/>
                <w:w w:val="98"/>
              </w:rPr>
              <w:t>Balance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Sheet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Fair</w:t>
            </w:r>
          </w:p>
        </w:tc>
      </w:tr>
      <w:tr>
        <w:trPr>
          <w:trHeight w:val="245"/>
        </w:trPr>
        <w:tc>
          <w:tcPr>
            <w:tcW w:w="38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Notional</w:t>
            </w: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jc w:val="right"/>
              <w:ind w:right="199"/>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6"/>
              </w:rPr>
              <w:t>Notional</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21"/>
                <w:szCs w:val="21"/>
                <w:color w:val="auto"/>
              </w:rPr>
            </w:pPr>
          </w:p>
        </w:tc>
      </w:tr>
      <w:tr>
        <w:trPr>
          <w:trHeight w:val="212"/>
        </w:trPr>
        <w:tc>
          <w:tcPr>
            <w:tcW w:w="3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8"/>
          </w:tcPr>
          <w:p>
            <w:pPr>
              <w:jc w:val="right"/>
              <w:ind w:right="8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1"/>
        </w:trPr>
        <w:tc>
          <w:tcPr>
            <w:tcW w:w="3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Derivatives not designated as hedging instruments:</w:t>
            </w:r>
          </w:p>
        </w:tc>
        <w:tc>
          <w:tcPr>
            <w:tcW w:w="1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3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rate swaps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394,359</w:t>
            </w: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gridSpan w:val="3"/>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0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394,359</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Other liabilities</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21"/>
                <w:szCs w:val="21"/>
                <w:color w:val="auto"/>
              </w:rPr>
            </w:pPr>
          </w:p>
        </w:tc>
      </w:tr>
      <w:tr>
        <w:trPr>
          <w:trHeight w:val="277"/>
        </w:trPr>
        <w:tc>
          <w:tcPr>
            <w:tcW w:w="3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shd w:val="clear" w:color="auto" w:fill="CFF0FC"/>
          </w:tcPr>
          <w:p>
            <w:pPr>
              <w:spacing w:after="0"/>
              <w:rPr>
                <w:sz w:val="24"/>
                <w:szCs w:val="24"/>
                <w:color w:val="auto"/>
              </w:rPr>
            </w:pPr>
          </w:p>
        </w:tc>
        <w:tc>
          <w:tcPr>
            <w:tcW w:w="900" w:type="dxa"/>
            <w:vAlign w:val="bottom"/>
            <w:shd w:val="clear" w:color="auto" w:fill="CFF0FC"/>
          </w:tcPr>
          <w:p>
            <w:pPr>
              <w:spacing w:after="0"/>
              <w:rPr>
                <w:sz w:val="24"/>
                <w:szCs w:val="24"/>
                <w:color w:val="auto"/>
              </w:rPr>
            </w:pPr>
          </w:p>
        </w:tc>
        <w:tc>
          <w:tcPr>
            <w:tcW w:w="4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40" w:type="dxa"/>
            <w:vAlign w:val="bottom"/>
            <w:shd w:val="clear" w:color="auto" w:fill="CFF0FC"/>
          </w:tcPr>
          <w:p>
            <w:pPr>
              <w:spacing w:after="0"/>
              <w:rPr>
                <w:sz w:val="24"/>
                <w:szCs w:val="24"/>
                <w:color w:val="auto"/>
              </w:rPr>
            </w:pPr>
          </w:p>
        </w:tc>
        <w:tc>
          <w:tcPr>
            <w:tcW w:w="940" w:type="dxa"/>
            <w:vAlign w:val="bottom"/>
            <w:shd w:val="clear" w:color="auto" w:fill="CFF0FC"/>
          </w:tcPr>
          <w:p>
            <w:pPr>
              <w:spacing w:after="0"/>
              <w:rPr>
                <w:sz w:val="24"/>
                <w:szCs w:val="24"/>
                <w:color w:val="auto"/>
              </w:rPr>
            </w:pPr>
          </w:p>
        </w:tc>
        <w:tc>
          <w:tcPr>
            <w:tcW w:w="36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00" w:type="dxa"/>
            <w:vAlign w:val="bottom"/>
            <w:shd w:val="clear" w:color="auto" w:fill="CFF0FC"/>
          </w:tcPr>
          <w:p>
            <w:pPr>
              <w:spacing w:after="0"/>
              <w:rPr>
                <w:sz w:val="24"/>
                <w:szCs w:val="24"/>
                <w:color w:val="auto"/>
              </w:rPr>
            </w:pPr>
          </w:p>
        </w:tc>
        <w:tc>
          <w:tcPr>
            <w:tcW w:w="6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70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114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40" w:type="dxa"/>
            <w:vAlign w:val="bottom"/>
            <w:shd w:val="clear" w:color="auto" w:fill="CFF0FC"/>
          </w:tcPr>
          <w:p>
            <w:pPr>
              <w:spacing w:after="0"/>
              <w:rPr>
                <w:sz w:val="24"/>
                <w:szCs w:val="24"/>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FF0FC"/>
          </w:tcPr>
          <w:p>
            <w:pPr>
              <w:spacing w:after="0"/>
              <w:rPr>
                <w:sz w:val="24"/>
                <w:szCs w:val="24"/>
                <w:color w:val="auto"/>
              </w:rPr>
            </w:pPr>
          </w:p>
        </w:tc>
      </w:tr>
      <w:tr>
        <w:trPr>
          <w:trHeight w:val="219"/>
        </w:trPr>
        <w:tc>
          <w:tcPr>
            <w:tcW w:w="38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160" w:type="dxa"/>
            <w:vAlign w:val="bottom"/>
            <w:tcBorders>
              <w:top w:val="single" w:sz="8" w:color="CFF0FC"/>
            </w:tcBorders>
          </w:tcPr>
          <w:p>
            <w:pPr>
              <w:spacing w:after="0"/>
              <w:rPr>
                <w:sz w:val="19"/>
                <w:szCs w:val="19"/>
                <w:color w:val="auto"/>
              </w:rPr>
            </w:pPr>
          </w:p>
        </w:tc>
        <w:tc>
          <w:tcPr>
            <w:tcW w:w="900" w:type="dxa"/>
            <w:vAlign w:val="bottom"/>
            <w:tcBorders>
              <w:top w:val="single" w:sz="8" w:color="CFF0FC"/>
            </w:tcBorders>
          </w:tcPr>
          <w:p>
            <w:pPr>
              <w:spacing w:after="0"/>
              <w:rPr>
                <w:sz w:val="19"/>
                <w:szCs w:val="19"/>
                <w:color w:val="auto"/>
              </w:rPr>
            </w:pPr>
          </w:p>
        </w:tc>
        <w:tc>
          <w:tcPr>
            <w:tcW w:w="40" w:type="dxa"/>
            <w:vAlign w:val="bottom"/>
            <w:tcBorders>
              <w:top w:val="single" w:sz="8" w:color="CFF0FC"/>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40" w:type="dxa"/>
            <w:vAlign w:val="bottom"/>
            <w:tcBorders>
              <w:top w:val="single" w:sz="8" w:color="CFF0FC"/>
            </w:tcBorders>
          </w:tcPr>
          <w:p>
            <w:pPr>
              <w:spacing w:after="0"/>
              <w:rPr>
                <w:sz w:val="19"/>
                <w:szCs w:val="19"/>
                <w:color w:val="auto"/>
              </w:rPr>
            </w:pPr>
          </w:p>
        </w:tc>
        <w:tc>
          <w:tcPr>
            <w:tcW w:w="940" w:type="dxa"/>
            <w:vAlign w:val="bottom"/>
            <w:tcBorders>
              <w:top w:val="single" w:sz="8" w:color="CFF0FC"/>
            </w:tcBorders>
          </w:tcPr>
          <w:p>
            <w:pPr>
              <w:spacing w:after="0"/>
              <w:rPr>
                <w:sz w:val="19"/>
                <w:szCs w:val="19"/>
                <w:color w:val="auto"/>
              </w:rPr>
            </w:pPr>
          </w:p>
        </w:tc>
        <w:tc>
          <w:tcPr>
            <w:tcW w:w="60" w:type="dxa"/>
            <w:vAlign w:val="bottom"/>
            <w:tcBorders>
              <w:top w:val="single" w:sz="8" w:color="CFF0FC"/>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4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0" w:type="dxa"/>
            <w:vAlign w:val="bottom"/>
            <w:tcBorders>
              <w:top w:val="single" w:sz="8" w:color="CFF0FC"/>
            </w:tcBorders>
          </w:tcPr>
          <w:p>
            <w:pPr>
              <w:spacing w:after="0"/>
              <w:rPr>
                <w:sz w:val="19"/>
                <w:szCs w:val="19"/>
                <w:color w:val="auto"/>
              </w:rPr>
            </w:pPr>
          </w:p>
        </w:tc>
        <w:tc>
          <w:tcPr>
            <w:tcW w:w="6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700" w:type="dxa"/>
            <w:vAlign w:val="bottom"/>
            <w:tcBorders>
              <w:top w:val="single" w:sz="8" w:color="CFF0FC"/>
            </w:tcBorders>
          </w:tcPr>
          <w:p>
            <w:pPr>
              <w:spacing w:after="0"/>
              <w:rPr>
                <w:sz w:val="19"/>
                <w:szCs w:val="19"/>
                <w:color w:val="auto"/>
              </w:rPr>
            </w:pPr>
          </w:p>
        </w:tc>
        <w:tc>
          <w:tcPr>
            <w:tcW w:w="80" w:type="dxa"/>
            <w:vAlign w:val="bottom"/>
            <w:tcBorders>
              <w:top w:val="single" w:sz="8" w:color="CFF0FC"/>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80" w:type="dxa"/>
            <w:vAlign w:val="bottom"/>
            <w:tcBorders>
              <w:top w:val="single" w:sz="8" w:color="CFF0FC"/>
            </w:tcBorders>
          </w:tcPr>
          <w:p>
            <w:pPr>
              <w:spacing w:after="0"/>
              <w:rPr>
                <w:sz w:val="19"/>
                <w:szCs w:val="19"/>
                <w:color w:val="auto"/>
              </w:rPr>
            </w:pPr>
          </w:p>
        </w:tc>
        <w:tc>
          <w:tcPr>
            <w:tcW w:w="1140" w:type="dxa"/>
            <w:vAlign w:val="bottom"/>
            <w:tcBorders>
              <w:top w:val="single" w:sz="8" w:color="CFF0FC"/>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40" w:type="dxa"/>
            <w:vAlign w:val="bottom"/>
            <w:tcBorders>
              <w:top w:val="single" w:sz="8" w:color="CFF0FC"/>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47"/>
        </w:trPr>
        <w:tc>
          <w:tcPr>
            <w:tcW w:w="38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Fair value hedges: interest rate swaps</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24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CFF0FC"/>
            </w:tcBorders>
            <w:gridSpan w:val="3"/>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gridSpan w:val="3"/>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Other liabilities</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3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6,938</w:t>
            </w:r>
          </w:p>
        </w:tc>
        <w:tc>
          <w:tcPr>
            <w:tcW w:w="100" w:type="dxa"/>
            <w:vAlign w:val="bottom"/>
          </w:tcPr>
          <w:p>
            <w:pPr>
              <w:spacing w:after="0"/>
              <w:rPr>
                <w:sz w:val="20"/>
                <w:szCs w:val="20"/>
                <w:color w:val="auto"/>
              </w:rPr>
            </w:pPr>
          </w:p>
        </w:tc>
      </w:tr>
      <w:tr>
        <w:trPr>
          <w:trHeight w:val="20"/>
        </w:trPr>
        <w:tc>
          <w:tcPr>
            <w:tcW w:w="3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-2862580</wp:posOffset>
            </wp:positionV>
            <wp:extent cx="7747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-2845435</wp:posOffset>
            </wp:positionV>
            <wp:extent cx="7747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-2862580</wp:posOffset>
            </wp:positionV>
            <wp:extent cx="6858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-2845435</wp:posOffset>
            </wp:positionV>
            <wp:extent cx="6858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-2219960</wp:posOffset>
            </wp:positionV>
            <wp:extent cx="7747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-2219960</wp:posOffset>
            </wp:positionV>
            <wp:extent cx="6858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-521970</wp:posOffset>
            </wp:positionV>
            <wp:extent cx="7747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-505460</wp:posOffset>
            </wp:positionV>
            <wp:extent cx="7747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-521970</wp:posOffset>
            </wp:positionV>
            <wp:extent cx="6858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-505460</wp:posOffset>
            </wp:positionV>
            <wp:extent cx="6858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-187960</wp:posOffset>
            </wp:positionV>
            <wp:extent cx="7747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Effect of Derivative Financial Instruments on the Condensed Consolidated Statements of Earnings</w:t>
      </w:r>
    </w:p>
    <w:p>
      <w:pPr>
        <w:spacing w:after="0" w:line="229" w:lineRule="exact"/>
        <w:rPr>
          <w:sz w:val="20"/>
          <w:szCs w:val="20"/>
          <w:color w:val="auto"/>
        </w:rPr>
      </w:pPr>
    </w:p>
    <w:p>
      <w:pPr>
        <w:jc w:val="both"/>
        <w:ind w:right="200" w:firstLine="46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effect of derivative financial instruments on the condensed consolidated statements of earnings for the periods presented.</w:t>
      </w:r>
    </w:p>
    <w:p>
      <w:pPr>
        <w:sectPr>
          <w:pgSz w:w="11900" w:h="16838" w:orient="portrait"/>
          <w:cols w:equalWidth="0" w:num="1">
            <w:col w:w="11240"/>
          </w:cols>
          <w:pgMar w:left="320" w:top="1089" w:right="339" w:bottom="1440" w:gutter="0" w:footer="0" w:header="0"/>
        </w:sectPr>
      </w:pPr>
    </w:p>
    <w:p>
      <w:pPr>
        <w:spacing w:after="0" w:line="169"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4"/>
          <w:szCs w:val="14"/>
          <w:b w:val="1"/>
          <w:bCs w:val="1"/>
          <w:color w:val="auto"/>
        </w:rPr>
        <w:t>Location of Gain Recognized in</w:t>
      </w:r>
    </w:p>
    <w:p>
      <w:pPr>
        <w:spacing w:after="0" w:line="6"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4"/>
          <w:szCs w:val="14"/>
          <w:b w:val="1"/>
          <w:bCs w:val="1"/>
          <w:color w:val="auto"/>
        </w:rPr>
        <w:t>Income on Derivative Instruments</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b w:val="1"/>
          <w:bCs w:val="1"/>
          <w:color w:val="auto"/>
        </w:rPr>
        <w:t>Amount of Gain Recognized in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Income on Derivative Instruments</w:t>
      </w:r>
    </w:p>
    <w:p>
      <w:pPr>
        <w:spacing w:after="0" w:line="8" w:lineRule="exact"/>
        <w:rPr>
          <w:sz w:val="20"/>
          <w:szCs w:val="20"/>
          <w:color w:val="auto"/>
        </w:rPr>
      </w:pPr>
    </w:p>
    <w:p>
      <w:pPr>
        <w:sectPr>
          <w:pgSz w:w="11900" w:h="16838" w:orient="portrait"/>
          <w:cols w:equalWidth="0" w:num="2">
            <w:col w:w="6780" w:space="720"/>
            <w:col w:w="3740"/>
          </w:cols>
          <w:pgMar w:left="320" w:top="1089" w:right="339" w:bottom="1440" w:gutter="0" w:footer="0" w:header="0"/>
          <w:type w:val="continuous"/>
        </w:sectPr>
      </w:pPr>
    </w:p>
    <w:tbl>
      <w:tblPr>
        <w:tblLayout w:type="fixed"/>
        <w:tblInd w:w="0" w:type="dxa"/>
        <w:tblCellMar>
          <w:top w:w="0" w:type="dxa"/>
          <w:left w:w="0" w:type="dxa"/>
          <w:bottom w:w="0" w:type="dxa"/>
          <w:right w:w="0" w:type="dxa"/>
        </w:tblCellMar>
      </w:tblPr>
      <w:tr>
        <w:trPr>
          <w:trHeight w:val="131"/>
        </w:trPr>
        <w:tc>
          <w:tcPr>
            <w:tcW w:w="3540" w:type="dxa"/>
            <w:vAlign w:val="bottom"/>
          </w:tcPr>
          <w:p>
            <w:pPr>
              <w:spacing w:after="0"/>
              <w:rPr>
                <w:sz w:val="11"/>
                <w:szCs w:val="11"/>
                <w:color w:val="auto"/>
              </w:rPr>
            </w:pPr>
          </w:p>
        </w:tc>
        <w:tc>
          <w:tcPr>
            <w:tcW w:w="22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200" w:type="dxa"/>
            <w:vAlign w:val="bottom"/>
            <w:tcBorders>
              <w:top w:val="single" w:sz="8" w:color="auto"/>
            </w:tcBorders>
            <w:gridSpan w:val="4"/>
          </w:tcPr>
          <w:p>
            <w:pPr>
              <w:jc w:val="right"/>
              <w:ind w:right="508"/>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180" w:type="dxa"/>
            <w:vAlign w:val="bottom"/>
            <w:tcBorders>
              <w:top w:val="single" w:sz="8" w:color="auto"/>
            </w:tcBorders>
            <w:gridSpan w:val="4"/>
          </w:tcPr>
          <w:p>
            <w:pPr>
              <w:jc w:val="right"/>
              <w:ind w:right="528"/>
              <w:spacing w:after="0" w:line="131"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1"/>
                <w:szCs w:val="11"/>
                <w:color w:val="auto"/>
              </w:rPr>
            </w:pPr>
          </w:p>
        </w:tc>
      </w:tr>
      <w:tr>
        <w:trPr>
          <w:trHeight w:val="187"/>
        </w:trPr>
        <w:tc>
          <w:tcPr>
            <w:tcW w:w="35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35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169"/>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Not Designated as Hedging Instruments:</w:t>
            </w:r>
          </w:p>
        </w:tc>
        <w:tc>
          <w:tcPr>
            <w:tcW w:w="2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2080" w:type="dxa"/>
            <w:vAlign w:val="bottom"/>
            <w:gridSpan w:val="4"/>
            <w:shd w:val="clear" w:color="auto" w:fill="CFF0FC"/>
          </w:tcPr>
          <w:p>
            <w:pPr>
              <w:jc w:val="right"/>
              <w:ind w:right="488"/>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3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Interest rate swaps</w:t>
            </w:r>
          </w:p>
        </w:tc>
        <w:tc>
          <w:tcPr>
            <w:tcW w:w="226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Other income</w:t>
            </w:r>
          </w:p>
        </w:tc>
        <w:tc>
          <w:tcPr>
            <w:tcW w:w="180" w:type="dxa"/>
            <w:vAlign w:val="bottom"/>
          </w:tcPr>
          <w:p>
            <w:pPr>
              <w:spacing w:after="0"/>
              <w:rPr>
                <w:sz w:val="15"/>
                <w:szCs w:val="15"/>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280" w:type="dxa"/>
            <w:vAlign w:val="bottom"/>
          </w:tcPr>
          <w:p>
            <w:pPr>
              <w:spacing w:after="0"/>
              <w:rPr>
                <w:sz w:val="15"/>
                <w:szCs w:val="15"/>
                <w:color w:val="auto"/>
              </w:rPr>
            </w:pP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w w:val="99"/>
              </w:rPr>
              <w:t>—</w:t>
            </w:r>
          </w:p>
        </w:tc>
        <w:tc>
          <w:tcPr>
            <w:tcW w:w="280" w:type="dxa"/>
            <w:vAlign w:val="bottom"/>
          </w:tcPr>
          <w:p>
            <w:pPr>
              <w:spacing w:after="0"/>
              <w:rPr>
                <w:sz w:val="15"/>
                <w:szCs w:val="15"/>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280" w:type="dxa"/>
            <w:vAlign w:val="bottom"/>
          </w:tcPr>
          <w:p>
            <w:pPr>
              <w:spacing w:after="0"/>
              <w:rPr>
                <w:sz w:val="15"/>
                <w:szCs w:val="15"/>
                <w:color w:val="auto"/>
              </w:rPr>
            </w:pP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5"/>
                <w:szCs w:val="15"/>
                <w:color w:val="auto"/>
              </w:rPr>
            </w:pPr>
          </w:p>
        </w:tc>
      </w:tr>
      <w:tr>
        <w:trPr>
          <w:trHeight w:val="209"/>
        </w:trPr>
        <w:tc>
          <w:tcPr>
            <w:tcW w:w="3540" w:type="dxa"/>
            <w:vAlign w:val="bottom"/>
            <w:tcBorders>
              <w:bottom w:val="single" w:sz="8" w:color="CFF0FC"/>
            </w:tcBorders>
            <w:shd w:val="clear" w:color="auto" w:fill="CFF0FC"/>
          </w:tcPr>
          <w:p>
            <w:pPr>
              <w:ind w:left="120"/>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2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105</w:t>
            </w:r>
          </w:p>
        </w:tc>
        <w:tc>
          <w:tcPr>
            <w:tcW w:w="2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68"/>
              <w:spacing w:after="0" w:line="155"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FF0FC"/>
          </w:tcPr>
          <w:p>
            <w:pPr>
              <w:ind w:left="580"/>
              <w:spacing w:after="0" w:line="155" w:lineRule="exact"/>
              <w:rPr>
                <w:sz w:val="20"/>
                <w:szCs w:val="20"/>
                <w:color w:val="auto"/>
              </w:rPr>
            </w:pPr>
            <w:r>
              <w:rPr>
                <w:rFonts w:ascii="Times New Roman" w:cs="Times New Roman" w:eastAsia="Times New Roman" w:hAnsi="Times New Roman"/>
                <w:sz w:val="14"/>
                <w:szCs w:val="14"/>
                <w:color w:val="auto"/>
                <w:w w:val="99"/>
              </w:rPr>
              <w:t>—</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105</w:t>
            </w:r>
          </w:p>
        </w:tc>
        <w:tc>
          <w:tcPr>
            <w:tcW w:w="2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68"/>
              <w:spacing w:after="0" w:line="155"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FF0FC"/>
          </w:tcPr>
          <w:p>
            <w:pPr>
              <w:ind w:left="580"/>
              <w:spacing w:after="0" w:line="155"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-25400</wp:posOffset>
            </wp:positionV>
            <wp:extent cx="6858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-8255</wp:posOffset>
            </wp:positionV>
            <wp:extent cx="6858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-25400</wp:posOffset>
            </wp:positionV>
            <wp:extent cx="6858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-8255</wp:posOffset>
            </wp:positionV>
            <wp:extent cx="6858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-25400</wp:posOffset>
            </wp:positionV>
            <wp:extent cx="6858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-8255</wp:posOffset>
            </wp:positionV>
            <wp:extent cx="6858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34" w:name="page35"/>
    <w:bookmarkEnd w:id="34"/>
    <w:p>
      <w:pPr>
        <w:ind w:left="2500"/>
        <w:spacing w:after="0"/>
        <w:rPr>
          <w:sz w:val="20"/>
          <w:szCs w:val="20"/>
          <w:color w:val="auto"/>
        </w:rPr>
      </w:pPr>
      <w:r>
        <w:rPr>
          <w:rFonts w:ascii="Times New Roman" w:cs="Times New Roman" w:eastAsia="Times New Roman" w:hAnsi="Times New Roman"/>
          <w:sz w:val="14"/>
          <w:szCs w:val="14"/>
          <w:b w:val="1"/>
          <w:bCs w:val="1"/>
          <w:color w:val="auto"/>
        </w:rPr>
        <w:t>Location of Gain</w:t>
      </w:r>
    </w:p>
    <w:p>
      <w:pPr>
        <w:ind w:left="2600"/>
        <w:spacing w:after="0" w:line="229" w:lineRule="auto"/>
        <w:rPr>
          <w:sz w:val="20"/>
          <w:szCs w:val="20"/>
          <w:color w:val="auto"/>
        </w:rPr>
      </w:pPr>
      <w:r>
        <w:rPr>
          <w:rFonts w:ascii="Times New Roman" w:cs="Times New Roman" w:eastAsia="Times New Roman" w:hAnsi="Times New Roman"/>
          <w:sz w:val="14"/>
          <w:szCs w:val="14"/>
          <w:b w:val="1"/>
          <w:bCs w:val="1"/>
          <w:color w:val="auto"/>
        </w:rPr>
        <w:t>Recognized in</w:t>
      </w:r>
    </w:p>
    <w:p>
      <w:pPr>
        <w:jc w:val="right"/>
        <w:spacing w:after="0" w:line="221" w:lineRule="auto"/>
        <w:rPr>
          <w:sz w:val="20"/>
          <w:szCs w:val="20"/>
          <w:color w:val="auto"/>
        </w:rPr>
      </w:pPr>
      <w:r>
        <w:rPr>
          <w:rFonts w:ascii="Times New Roman" w:cs="Times New Roman" w:eastAsia="Times New Roman" w:hAnsi="Times New Roman"/>
          <w:sz w:val="14"/>
          <w:szCs w:val="14"/>
          <w:b w:val="1"/>
          <w:bCs w:val="1"/>
          <w:color w:val="auto"/>
        </w:rPr>
        <w:t>Income on Derivative</w:t>
      </w:r>
    </w:p>
    <w:p>
      <w:pPr>
        <w:spacing w:after="0" w:line="1"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4"/>
          <w:szCs w:val="14"/>
          <w:b w:val="1"/>
          <w:bCs w:val="1"/>
          <w:color w:val="auto"/>
        </w:rPr>
        <w:t>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1423670</wp:posOffset>
            </wp:positionH>
            <wp:positionV relativeFrom="paragraph">
              <wp:posOffset>5080</wp:posOffset>
            </wp:positionV>
            <wp:extent cx="1011555"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Derivatives Designated as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Hedging Instruments:</w:t>
      </w:r>
    </w:p>
    <w:tbl>
      <w:tblPr>
        <w:tblLayout w:type="fixed"/>
        <w:tblInd w:w="100" w:type="dxa"/>
        <w:tblCellMar>
          <w:top w:w="0" w:type="dxa"/>
          <w:left w:w="0" w:type="dxa"/>
          <w:bottom w:w="0" w:type="dxa"/>
          <w:right w:w="0" w:type="dxa"/>
        </w:tblCellMar>
      </w:tblPr>
      <w:tr>
        <w:trPr>
          <w:trHeight w:val="147"/>
        </w:trPr>
        <w:tc>
          <w:tcPr>
            <w:tcW w:w="180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Fair value hedges:</w:t>
            </w:r>
          </w:p>
        </w:tc>
        <w:tc>
          <w:tcPr>
            <w:tcW w:w="1600" w:type="dxa"/>
            <w:vAlign w:val="bottom"/>
            <w:vMerge w:val="restart"/>
          </w:tcPr>
          <w:p>
            <w:pPr>
              <w:jc w:val="center"/>
              <w:ind w:left="608"/>
              <w:spacing w:after="0"/>
              <w:rPr>
                <w:sz w:val="20"/>
                <w:szCs w:val="20"/>
                <w:color w:val="auto"/>
              </w:rPr>
            </w:pPr>
            <w:r>
              <w:rPr>
                <w:rFonts w:ascii="Times New Roman" w:cs="Times New Roman" w:eastAsia="Times New Roman" w:hAnsi="Times New Roman"/>
                <w:sz w:val="14"/>
                <w:szCs w:val="14"/>
                <w:color w:val="auto"/>
              </w:rPr>
              <w:t>Interest income</w:t>
            </w:r>
          </w:p>
        </w:tc>
        <w:tc>
          <w:tcPr>
            <w:tcW w:w="0" w:type="dxa"/>
            <w:vAlign w:val="bottom"/>
          </w:tcPr>
          <w:p>
            <w:pPr>
              <w:spacing w:after="0"/>
              <w:rPr>
                <w:sz w:val="1"/>
                <w:szCs w:val="1"/>
                <w:color w:val="auto"/>
              </w:rPr>
            </w:pPr>
          </w:p>
        </w:tc>
      </w:tr>
      <w:tr>
        <w:trPr>
          <w:trHeight w:val="176"/>
        </w:trPr>
        <w:tc>
          <w:tcPr>
            <w:tcW w:w="18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interest rate swaps</w:t>
            </w: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flow hedges:</w:t>
            </w:r>
          </w:p>
        </w:tc>
        <w:tc>
          <w:tcPr>
            <w:tcW w:w="1600" w:type="dxa"/>
            <w:vAlign w:val="bottom"/>
            <w:vMerge w:val="restart"/>
          </w:tcPr>
          <w:p>
            <w:pPr>
              <w:jc w:val="center"/>
              <w:ind w:left="608"/>
              <w:spacing w:after="0"/>
              <w:rPr>
                <w:sz w:val="20"/>
                <w:szCs w:val="20"/>
                <w:color w:val="auto"/>
              </w:rPr>
            </w:pPr>
            <w:r>
              <w:rPr>
                <w:rFonts w:ascii="Times New Roman" w:cs="Times New Roman" w:eastAsia="Times New Roman" w:hAnsi="Times New Roman"/>
                <w:sz w:val="14"/>
                <w:szCs w:val="14"/>
                <w:color w:val="auto"/>
              </w:rPr>
              <w:t>Interest expense</w:t>
            </w:r>
          </w:p>
        </w:tc>
        <w:tc>
          <w:tcPr>
            <w:tcW w:w="0" w:type="dxa"/>
            <w:vAlign w:val="bottom"/>
          </w:tcPr>
          <w:p>
            <w:pPr>
              <w:spacing w:after="0"/>
              <w:rPr>
                <w:sz w:val="1"/>
                <w:szCs w:val="1"/>
                <w:color w:val="auto"/>
              </w:rPr>
            </w:pPr>
          </w:p>
        </w:tc>
      </w:tr>
      <w:tr>
        <w:trPr>
          <w:trHeight w:val="188"/>
        </w:trPr>
        <w:tc>
          <w:tcPr>
            <w:tcW w:w="18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interest rate swaps</w:t>
            </w: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80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3"/>
                <w:szCs w:val="13"/>
                <w:color w:val="auto"/>
              </w:rPr>
            </w:pPr>
          </w:p>
        </w:tc>
        <w:tc>
          <w:tcPr>
            <w:tcW w:w="3360" w:type="dxa"/>
            <w:vAlign w:val="bottom"/>
            <w:gridSpan w:val="10"/>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Amount of Gains (Losses) Recognized in Interest</w:t>
            </w:r>
          </w:p>
        </w:tc>
        <w:tc>
          <w:tcPr>
            <w:tcW w:w="380" w:type="dxa"/>
            <w:vAlign w:val="bottom"/>
          </w:tcPr>
          <w:p>
            <w:pPr>
              <w:spacing w:after="0"/>
              <w:rPr>
                <w:sz w:val="13"/>
                <w:szCs w:val="13"/>
                <w:color w:val="auto"/>
              </w:rPr>
            </w:pPr>
          </w:p>
        </w:tc>
        <w:tc>
          <w:tcPr>
            <w:tcW w:w="3300" w:type="dxa"/>
            <w:vAlign w:val="bottom"/>
            <w:gridSpan w:val="11"/>
          </w:tcPr>
          <w:p>
            <w:pPr>
              <w:jc w:val="center"/>
              <w:spacing w:after="0"/>
              <w:rPr>
                <w:sz w:val="20"/>
                <w:szCs w:val="20"/>
                <w:color w:val="auto"/>
              </w:rPr>
            </w:pPr>
            <w:r>
              <w:rPr>
                <w:rFonts w:ascii="Times New Roman" w:cs="Times New Roman" w:eastAsia="Times New Roman" w:hAnsi="Times New Roman"/>
                <w:sz w:val="14"/>
                <w:szCs w:val="14"/>
                <w:b w:val="1"/>
                <w:bCs w:val="1"/>
                <w:color w:val="auto"/>
              </w:rPr>
              <w:t>OCI Impact on Derivatives-Gains (Losses) recorded</w:t>
            </w:r>
          </w:p>
        </w:tc>
      </w:tr>
      <w:tr>
        <w:trPr>
          <w:trHeight w:val="187"/>
        </w:trPr>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12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on Derivative Instruments</w:t>
            </w: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3"/>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in OCI</w:t>
            </w: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31"/>
        </w:trPr>
        <w:tc>
          <w:tcPr>
            <w:tcW w:w="12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gridSpan w:val="4"/>
          </w:tcPr>
          <w:p>
            <w:pPr>
              <w:jc w:val="right"/>
              <w:ind w:right="88"/>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gridSpan w:val="4"/>
          </w:tcPr>
          <w:p>
            <w:pPr>
              <w:jc w:val="right"/>
              <w:ind w:right="128"/>
              <w:spacing w:after="0" w:line="131"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3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gridSpan w:val="4"/>
          </w:tcPr>
          <w:p>
            <w:pPr>
              <w:jc w:val="right"/>
              <w:ind w:right="48"/>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4"/>
          </w:tcPr>
          <w:p>
            <w:pPr>
              <w:jc w:val="right"/>
              <w:ind w:right="88"/>
              <w:spacing w:after="0" w:line="131" w:lineRule="exact"/>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4"/>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4"/>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4"/>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4"/>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223"/>
        </w:trPr>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4"/>
        </w:trPr>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(Dollars</w:t>
            </w:r>
          </w:p>
        </w:tc>
        <w:tc>
          <w:tcPr>
            <w:tcW w:w="2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w:t>
            </w:r>
          </w:p>
        </w:tc>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(Dollars</w:t>
            </w:r>
          </w:p>
        </w:tc>
        <w:tc>
          <w:tcPr>
            <w:tcW w:w="2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w:t>
            </w:r>
          </w:p>
        </w:tc>
        <w:tc>
          <w:tcPr>
            <w:tcW w:w="6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704"/>
        </w:trPr>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4,286</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3,790</w:t>
            </w:r>
          </w:p>
        </w:tc>
        <w:tc>
          <w:tcPr>
            <w:tcW w:w="3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12,070</w:t>
            </w:r>
          </w:p>
        </w:tc>
        <w:tc>
          <w:tcPr>
            <w:tcW w:w="2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4,236</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(20,430 )</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9,708</w:t>
            </w:r>
          </w:p>
        </w:tc>
        <w:tc>
          <w:tcPr>
            <w:tcW w:w="3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(5,671 )</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17,554</w:t>
            </w:r>
          </w:p>
        </w:tc>
      </w:tr>
      <w:tr>
        <w:trPr>
          <w:trHeight w:val="307"/>
        </w:trPr>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892</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1,988</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(4,869 )</w:t>
            </w: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(3,754 )</w:t>
            </w: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r>
      <w:tr>
        <w:trPr>
          <w:trHeight w:val="196"/>
        </w:trPr>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5,178</w:t>
            </w:r>
          </w:p>
        </w:tc>
        <w:tc>
          <w:tcPr>
            <w:tcW w:w="2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3,790</w:t>
            </w:r>
          </w:p>
        </w:tc>
        <w:tc>
          <w:tcPr>
            <w:tcW w:w="24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14,058</w:t>
            </w:r>
          </w:p>
        </w:tc>
        <w:tc>
          <w:tcPr>
            <w:tcW w:w="2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4,236</w:t>
            </w:r>
          </w:p>
        </w:tc>
        <w:tc>
          <w:tcPr>
            <w:tcW w:w="3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(25,299 )</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9,708</w:t>
            </w:r>
          </w:p>
        </w:tc>
        <w:tc>
          <w:tcPr>
            <w:tcW w:w="3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(9,425 )</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17,554</w:t>
            </w: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-2521585</wp:posOffset>
            </wp:positionH>
            <wp:positionV relativeFrom="paragraph">
              <wp:posOffset>-770890</wp:posOffset>
            </wp:positionV>
            <wp:extent cx="7132320" cy="20574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1014095</wp:posOffset>
            </wp:positionH>
            <wp:positionV relativeFrom="paragraph">
              <wp:posOffset>-1315085</wp:posOffset>
            </wp:positionV>
            <wp:extent cx="102235" cy="24828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02235" cy="248285"/>
                    </a:xfrm>
                    <a:prstGeom prst="rect">
                      <a:avLst/>
                    </a:prstGeom>
                    <a:noFill/>
                  </pic:spPr>
                </pic:pic>
              </a:graphicData>
            </a:graphic>
          </wp:anchor>
        </w:drawing>
        <w:drawing>
          <wp:anchor simplePos="0" relativeHeight="251657728" behindDoc="1" locked="0" layoutInCell="0" allowOverlap="1">
            <wp:simplePos x="0" y="0"/>
            <wp:positionH relativeFrom="column">
              <wp:posOffset>2197100</wp:posOffset>
            </wp:positionH>
            <wp:positionV relativeFrom="paragraph">
              <wp:posOffset>-1315085</wp:posOffset>
            </wp:positionV>
            <wp:extent cx="93980" cy="24828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93980" cy="248285"/>
                    </a:xfrm>
                    <a:prstGeom prst="rect">
                      <a:avLst/>
                    </a:prstGeom>
                    <a:noFill/>
                  </pic:spPr>
                </pic:pic>
              </a:graphicData>
            </a:graphic>
          </wp:anchor>
        </w:drawing>
        <w:drawing>
          <wp:anchor simplePos="0" relativeHeight="251657728" behindDoc="1" locked="0" layoutInCell="0" allowOverlap="1">
            <wp:simplePos x="0" y="0"/>
            <wp:positionH relativeFrom="column">
              <wp:posOffset>3414395</wp:posOffset>
            </wp:positionH>
            <wp:positionV relativeFrom="paragraph">
              <wp:posOffset>-1315085</wp:posOffset>
            </wp:positionV>
            <wp:extent cx="93980" cy="24828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93980" cy="248285"/>
                    </a:xfrm>
                    <a:prstGeom prst="rect">
                      <a:avLst/>
                    </a:prstGeom>
                    <a:noFill/>
                  </pic:spPr>
                </pic:pic>
              </a:graphicData>
            </a:graphic>
          </wp:anchor>
        </w:drawing>
        <w:drawing>
          <wp:anchor simplePos="0" relativeHeight="251657728" behindDoc="1" locked="0" layoutInCell="0" allowOverlap="1">
            <wp:simplePos x="0" y="0"/>
            <wp:positionH relativeFrom="column">
              <wp:posOffset>4528820</wp:posOffset>
            </wp:positionH>
            <wp:positionV relativeFrom="paragraph">
              <wp:posOffset>-1315085</wp:posOffset>
            </wp:positionV>
            <wp:extent cx="93980" cy="24828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93980" cy="248285"/>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-359410</wp:posOffset>
            </wp:positionV>
            <wp:extent cx="7132320" cy="20574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178"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484505</wp:posOffset>
            </wp:positionV>
            <wp:extent cx="7157720"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3680" w:space="280"/>
            <w:col w:w="7160"/>
          </w:cols>
          <w:pgMar w:left="340" w:top="1100" w:right="439" w:bottom="1440" w:gutter="0" w:footer="0" w:header="0"/>
        </w:sectPr>
      </w:pPr>
    </w:p>
    <w:bookmarkStart w:id="35" w:name="page36"/>
    <w:bookmarkEnd w:id="35"/>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OTHER COMPREHENSIVE INCOME</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table below provides a summary of the components of other comprehensive income (“OCI”) for the periods presented.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8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7"/>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8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Before-tax</w:t>
            </w:r>
          </w:p>
        </w:tc>
        <w:tc>
          <w:tcPr>
            <w:tcW w:w="12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Tax effect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After-tax</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Before-tax</w:t>
            </w:r>
          </w:p>
        </w:tc>
        <w:tc>
          <w:tcPr>
            <w:tcW w:w="100" w:type="dxa"/>
            <w:vAlign w:val="bottom"/>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97"/>
              </w:rPr>
              <w:t>Tax effect</w:t>
            </w:r>
          </w:p>
        </w:tc>
        <w:tc>
          <w:tcPr>
            <w:tcW w:w="1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After-tax</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8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i w:val="1"/>
                <w:iCs w:val="1"/>
                <w:color w:val="auto"/>
              </w:rPr>
              <w:t>(Dollars</w:t>
            </w:r>
          </w:p>
        </w:tc>
        <w:tc>
          <w:tcPr>
            <w:tcW w:w="240" w:type="dxa"/>
            <w:vAlign w:val="bottom"/>
          </w:tcPr>
          <w:p>
            <w:pPr>
              <w:jc w:val="right"/>
              <w:ind w:right="109"/>
              <w:spacing w:after="0"/>
              <w:rPr>
                <w:sz w:val="20"/>
                <w:szCs w:val="20"/>
                <w:color w:val="auto"/>
              </w:rPr>
            </w:pPr>
            <w:r>
              <w:rPr>
                <w:rFonts w:ascii="Times New Roman" w:cs="Times New Roman" w:eastAsia="Times New Roman" w:hAnsi="Times New Roman"/>
                <w:sz w:val="10"/>
                <w:szCs w:val="10"/>
                <w:i w:val="1"/>
                <w:iCs w:val="1"/>
                <w:color w:val="auto"/>
                <w:w w:val="76"/>
              </w:rPr>
              <w:t>in</w:t>
            </w:r>
          </w:p>
        </w:tc>
        <w:tc>
          <w:tcPr>
            <w:tcW w:w="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w:t>
            </w:r>
          </w:p>
        </w:tc>
        <w:tc>
          <w:tcPr>
            <w:tcW w:w="2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Investment securities:</w:t>
            </w:r>
          </w:p>
        </w:tc>
        <w:tc>
          <w:tcPr>
            <w:tcW w:w="8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change in fair value recorded in accumulated OCI</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108,634</w:t>
            </w:r>
          </w:p>
        </w:tc>
        <w:tc>
          <w:tcPr>
            <w:tcW w:w="24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(32,116 )</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76,518</w:t>
            </w:r>
          </w:p>
        </w:tc>
        <w:tc>
          <w:tcPr>
            <w:tcW w:w="240" w:type="dxa"/>
            <w:vAlign w:val="bottom"/>
          </w:tcPr>
          <w:p>
            <w:pPr>
              <w:spacing w:after="0"/>
              <w:rPr>
                <w:sz w:val="15"/>
                <w:szCs w:val="15"/>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(130,768 )</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38,660</w:t>
            </w:r>
          </w:p>
        </w:tc>
        <w:tc>
          <w:tcPr>
            <w:tcW w:w="2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(92,108 )</w:t>
            </w:r>
          </w:p>
        </w:tc>
        <w:tc>
          <w:tcPr>
            <w:tcW w:w="0" w:type="dxa"/>
            <w:vAlign w:val="bottom"/>
          </w:tcPr>
          <w:p>
            <w:pPr>
              <w:spacing w:after="0"/>
              <w:rPr>
                <w:sz w:val="1"/>
                <w:szCs w:val="1"/>
                <w:color w:val="auto"/>
              </w:rPr>
            </w:pPr>
          </w:p>
        </w:tc>
      </w:tr>
      <w:tr>
        <w:trPr>
          <w:trHeight w:val="176"/>
        </w:trPr>
        <w:tc>
          <w:tcPr>
            <w:tcW w:w="4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Net realized loss on investment securities reclassified into earnings</w:t>
            </w:r>
          </w:p>
        </w:tc>
        <w:tc>
          <w:tcPr>
            <w:tcW w:w="8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11,582</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(3,424 )</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8,158</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486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Amortization of net unrealized losses on securities</w:t>
            </w:r>
          </w:p>
        </w:tc>
        <w:tc>
          <w:tcPr>
            <w:tcW w:w="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(52 )</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(3,096 )</w:t>
            </w:r>
          </w:p>
        </w:tc>
        <w:tc>
          <w:tcPr>
            <w:tcW w:w="1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3,234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860" w:type="dxa"/>
            <w:vAlign w:val="bottom"/>
          </w:tcPr>
          <w:p>
            <w:pPr>
              <w:jc w:val="right"/>
              <w:ind w:right="1368"/>
              <w:spacing w:after="0"/>
              <w:rPr>
                <w:sz w:val="20"/>
                <w:szCs w:val="20"/>
                <w:color w:val="auto"/>
              </w:rPr>
            </w:pPr>
            <w:r>
              <w:rPr>
                <w:rFonts w:ascii="Times New Roman" w:cs="Times New Roman" w:eastAsia="Times New Roman" w:hAnsi="Times New Roman"/>
                <w:sz w:val="14"/>
                <w:szCs w:val="14"/>
                <w:color w:val="auto"/>
              </w:rPr>
              <w:t>transferred from available-for-sale to held-to-maturity</w:t>
            </w: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Derivatives designated as hedging instruments:</w:t>
            </w:r>
          </w:p>
        </w:tc>
        <w:tc>
          <w:tcPr>
            <w:tcW w:w="8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Fair value hedges:</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60" w:type="dxa"/>
            <w:vAlign w:val="bottom"/>
            <w:shd w:val="clear" w:color="auto" w:fill="CFF0FC"/>
          </w:tcPr>
          <w:p>
            <w:pPr>
              <w:jc w:val="right"/>
              <w:ind w:right="1388"/>
              <w:spacing w:after="0"/>
              <w:rPr>
                <w:sz w:val="20"/>
                <w:szCs w:val="20"/>
                <w:color w:val="auto"/>
              </w:rPr>
            </w:pPr>
            <w:r>
              <w:rPr>
                <w:rFonts w:ascii="Times New Roman" w:cs="Times New Roman" w:eastAsia="Times New Roman" w:hAnsi="Times New Roman"/>
                <w:sz w:val="14"/>
                <w:szCs w:val="14"/>
                <w:color w:val="auto"/>
              </w:rPr>
              <w:t>Net change in fair value recorded in accumulated OCI</w:t>
            </w:r>
          </w:p>
        </w:tc>
        <w:tc>
          <w:tcPr>
            <w:tcW w:w="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(28,688 )</w:t>
            </w: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8,258</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29"/>
              <w:spacing w:after="0"/>
              <w:rPr>
                <w:sz w:val="20"/>
                <w:szCs w:val="20"/>
                <w:color w:val="auto"/>
              </w:rPr>
            </w:pPr>
            <w:r>
              <w:rPr>
                <w:rFonts w:ascii="Times New Roman" w:cs="Times New Roman" w:eastAsia="Times New Roman" w:hAnsi="Times New Roman"/>
                <w:sz w:val="14"/>
                <w:szCs w:val="14"/>
                <w:color w:val="auto"/>
              </w:rPr>
              <w:t>(20,430 )</w:t>
            </w: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13,739</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(4,031 )</w:t>
            </w: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9,708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Cash flow hedges:</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60" w:type="dxa"/>
            <w:vAlign w:val="bottom"/>
            <w:shd w:val="clear" w:color="auto" w:fill="CFF0FC"/>
          </w:tcPr>
          <w:p>
            <w:pPr>
              <w:jc w:val="right"/>
              <w:ind w:right="1388"/>
              <w:spacing w:after="0"/>
              <w:rPr>
                <w:sz w:val="20"/>
                <w:szCs w:val="20"/>
                <w:color w:val="auto"/>
              </w:rPr>
            </w:pPr>
            <w:r>
              <w:rPr>
                <w:rFonts w:ascii="Times New Roman" w:cs="Times New Roman" w:eastAsia="Times New Roman" w:hAnsi="Times New Roman"/>
                <w:sz w:val="14"/>
                <w:szCs w:val="14"/>
                <w:color w:val="auto"/>
              </w:rPr>
              <w:t>Net change in fair value recorded in accumulated OCI</w:t>
            </w:r>
          </w:p>
        </w:tc>
        <w:tc>
          <w:tcPr>
            <w:tcW w:w="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(6,913 )</w:t>
            </w: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2,044</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29"/>
              <w:spacing w:after="0"/>
              <w:rPr>
                <w:sz w:val="20"/>
                <w:szCs w:val="20"/>
                <w:color w:val="auto"/>
              </w:rPr>
            </w:pPr>
            <w:r>
              <w:rPr>
                <w:rFonts w:ascii="Times New Roman" w:cs="Times New Roman" w:eastAsia="Times New Roman" w:hAnsi="Times New Roman"/>
                <w:sz w:val="14"/>
                <w:szCs w:val="14"/>
                <w:color w:val="auto"/>
              </w:rPr>
              <w:t>(4,869 )</w:t>
            </w:r>
          </w:p>
        </w:tc>
        <w:tc>
          <w:tcPr>
            <w:tcW w:w="10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8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860" w:type="dxa"/>
            <w:vAlign w:val="bottom"/>
          </w:tcPr>
          <w:p>
            <w:pPr>
              <w:ind w:left="560"/>
              <w:spacing w:after="0" w:line="155" w:lineRule="exact"/>
              <w:rPr>
                <w:sz w:val="20"/>
                <w:szCs w:val="20"/>
                <w:color w:val="auto"/>
              </w:rPr>
            </w:pPr>
            <w:r>
              <w:rPr>
                <w:rFonts w:ascii="Times New Roman" w:cs="Times New Roman" w:eastAsia="Times New Roman" w:hAnsi="Times New Roman"/>
                <w:sz w:val="14"/>
                <w:szCs w:val="14"/>
                <w:color w:val="auto"/>
              </w:rPr>
              <w:t>Net change</w:t>
            </w:r>
          </w:p>
        </w:tc>
        <w:tc>
          <w:tcPr>
            <w:tcW w:w="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84,789</w:t>
            </w:r>
          </w:p>
        </w:tc>
        <w:tc>
          <w:tcPr>
            <w:tcW w:w="240" w:type="dxa"/>
            <w:vAlign w:val="bottom"/>
          </w:tcPr>
          <w:p>
            <w:pPr>
              <w:spacing w:after="0"/>
              <w:rPr>
                <w:sz w:val="14"/>
                <w:szCs w:val="14"/>
                <w:color w:val="auto"/>
              </w:rPr>
            </w:pPr>
          </w:p>
        </w:tc>
        <w:tc>
          <w:tcPr>
            <w:tcW w:w="1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(25,290 )</w:t>
            </w:r>
          </w:p>
        </w:tc>
        <w:tc>
          <w:tcPr>
            <w:tcW w:w="280" w:type="dxa"/>
            <w:vAlign w:val="bottom"/>
            <w:gridSpan w:val="2"/>
          </w:tcPr>
          <w:p>
            <w:pPr>
              <w:jc w:val="right"/>
              <w:ind w:right="40"/>
              <w:spacing w:after="0" w:line="155"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59,499</w:t>
            </w:r>
          </w:p>
        </w:tc>
        <w:tc>
          <w:tcPr>
            <w:tcW w:w="240" w:type="dxa"/>
            <w:vAlign w:val="bottom"/>
          </w:tcPr>
          <w:p>
            <w:pPr>
              <w:spacing w:after="0"/>
              <w:rPr>
                <w:sz w:val="14"/>
                <w:szCs w:val="14"/>
                <w:color w:val="auto"/>
              </w:rPr>
            </w:pPr>
          </w:p>
        </w:tc>
        <w:tc>
          <w:tcPr>
            <w:tcW w:w="10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60"/>
              <w:spacing w:after="0" w:line="155" w:lineRule="exact"/>
              <w:rPr>
                <w:sz w:val="20"/>
                <w:szCs w:val="20"/>
                <w:color w:val="auto"/>
              </w:rPr>
            </w:pPr>
            <w:r>
              <w:rPr>
                <w:rFonts w:ascii="Times New Roman" w:cs="Times New Roman" w:eastAsia="Times New Roman" w:hAnsi="Times New Roman"/>
                <w:sz w:val="14"/>
                <w:szCs w:val="14"/>
                <w:color w:val="auto"/>
              </w:rPr>
              <w:t>(120,125 )</w:t>
            </w:r>
          </w:p>
        </w:tc>
        <w:tc>
          <w:tcPr>
            <w:tcW w:w="1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37,863</w:t>
            </w:r>
          </w:p>
        </w:tc>
        <w:tc>
          <w:tcPr>
            <w:tcW w:w="220" w:type="dxa"/>
            <w:vAlign w:val="bottom"/>
          </w:tcPr>
          <w:p>
            <w:pPr>
              <w:spacing w:after="0"/>
              <w:rPr>
                <w:sz w:val="14"/>
                <w:szCs w:val="14"/>
                <w:color w:val="auto"/>
              </w:rPr>
            </w:pPr>
          </w:p>
        </w:tc>
        <w:tc>
          <w:tcPr>
            <w:tcW w:w="1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40"/>
              <w:spacing w:after="0" w:line="155" w:lineRule="exact"/>
              <w:rPr>
                <w:sz w:val="20"/>
                <w:szCs w:val="20"/>
                <w:color w:val="auto"/>
              </w:rPr>
            </w:pPr>
            <w:r>
              <w:rPr>
                <w:rFonts w:ascii="Times New Roman" w:cs="Times New Roman" w:eastAsia="Times New Roman" w:hAnsi="Times New Roman"/>
                <w:sz w:val="14"/>
                <w:szCs w:val="14"/>
                <w:color w:val="auto"/>
              </w:rPr>
              <w:t>(82,262 )</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-144780</wp:posOffset>
            </wp:positionV>
            <wp:extent cx="76835"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-144780</wp:posOffset>
            </wp:positionV>
            <wp:extent cx="7747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-144780</wp:posOffset>
            </wp:positionV>
            <wp:extent cx="6858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-144780</wp:posOffset>
            </wp:positionV>
            <wp:extent cx="6858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-144780</wp:posOffset>
            </wp:positionV>
            <wp:extent cx="6858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8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7"/>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8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Before-tax</w:t>
            </w:r>
          </w:p>
        </w:tc>
        <w:tc>
          <w:tcPr>
            <w:tcW w:w="12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Tax effect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After-tax</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Before-tax</w:t>
            </w:r>
          </w:p>
        </w:tc>
        <w:tc>
          <w:tcPr>
            <w:tcW w:w="100" w:type="dxa"/>
            <w:vAlign w:val="bottom"/>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97"/>
              </w:rPr>
              <w:t>Tax effect</w:t>
            </w:r>
          </w:p>
        </w:tc>
        <w:tc>
          <w:tcPr>
            <w:tcW w:w="1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After-tax</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8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i w:val="1"/>
                <w:iCs w:val="1"/>
                <w:color w:val="auto"/>
              </w:rPr>
              <w:t>(Dollars</w:t>
            </w:r>
          </w:p>
        </w:tc>
        <w:tc>
          <w:tcPr>
            <w:tcW w:w="240" w:type="dxa"/>
            <w:vAlign w:val="bottom"/>
          </w:tcPr>
          <w:p>
            <w:pPr>
              <w:jc w:val="right"/>
              <w:ind w:right="109"/>
              <w:spacing w:after="0"/>
              <w:rPr>
                <w:sz w:val="20"/>
                <w:szCs w:val="20"/>
                <w:color w:val="auto"/>
              </w:rPr>
            </w:pPr>
            <w:r>
              <w:rPr>
                <w:rFonts w:ascii="Times New Roman" w:cs="Times New Roman" w:eastAsia="Times New Roman" w:hAnsi="Times New Roman"/>
                <w:sz w:val="10"/>
                <w:szCs w:val="10"/>
                <w:i w:val="1"/>
                <w:iCs w:val="1"/>
                <w:color w:val="auto"/>
                <w:w w:val="76"/>
              </w:rPr>
              <w:t>in</w:t>
            </w:r>
          </w:p>
        </w:tc>
        <w:tc>
          <w:tcPr>
            <w:tcW w:w="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w:t>
            </w:r>
          </w:p>
        </w:tc>
        <w:tc>
          <w:tcPr>
            <w:tcW w:w="2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Investment securities:</w:t>
            </w:r>
          </w:p>
        </w:tc>
        <w:tc>
          <w:tcPr>
            <w:tcW w:w="8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change in fair value recorded in accumulated OCI</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70,485</w:t>
            </w:r>
          </w:p>
        </w:tc>
        <w:tc>
          <w:tcPr>
            <w:tcW w:w="24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(20,838 )</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49,647</w:t>
            </w:r>
          </w:p>
        </w:tc>
        <w:tc>
          <w:tcPr>
            <w:tcW w:w="240" w:type="dxa"/>
            <w:vAlign w:val="bottom"/>
          </w:tcPr>
          <w:p>
            <w:pPr>
              <w:spacing w:after="0"/>
              <w:rPr>
                <w:sz w:val="15"/>
                <w:szCs w:val="15"/>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(128,340 )</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37,942</w:t>
            </w:r>
          </w:p>
        </w:tc>
        <w:tc>
          <w:tcPr>
            <w:tcW w:w="2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(90,398 )</w:t>
            </w:r>
          </w:p>
        </w:tc>
        <w:tc>
          <w:tcPr>
            <w:tcW w:w="0" w:type="dxa"/>
            <w:vAlign w:val="bottom"/>
          </w:tcPr>
          <w:p>
            <w:pPr>
              <w:spacing w:after="0"/>
              <w:rPr>
                <w:sz w:val="1"/>
                <w:szCs w:val="1"/>
                <w:color w:val="auto"/>
              </w:rPr>
            </w:pPr>
          </w:p>
        </w:tc>
      </w:tr>
      <w:tr>
        <w:trPr>
          <w:trHeight w:val="176"/>
        </w:trPr>
        <w:tc>
          <w:tcPr>
            <w:tcW w:w="4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Net realized loss on investment securities reclassified into earnings</w:t>
            </w:r>
          </w:p>
        </w:tc>
        <w:tc>
          <w:tcPr>
            <w:tcW w:w="8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11,582</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(3,424 )</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8,158</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486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Amortization of net unrealized losses on securities</w:t>
            </w:r>
          </w:p>
        </w:tc>
        <w:tc>
          <w:tcPr>
            <w:tcW w:w="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512</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(152 )</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714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(212 )</w:t>
            </w:r>
          </w:p>
        </w:tc>
        <w:tc>
          <w:tcPr>
            <w:tcW w:w="1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860" w:type="dxa"/>
            <w:vAlign w:val="bottom"/>
          </w:tcPr>
          <w:p>
            <w:pPr>
              <w:jc w:val="right"/>
              <w:ind w:right="1368"/>
              <w:spacing w:after="0"/>
              <w:rPr>
                <w:sz w:val="20"/>
                <w:szCs w:val="20"/>
                <w:color w:val="auto"/>
              </w:rPr>
            </w:pPr>
            <w:r>
              <w:rPr>
                <w:rFonts w:ascii="Times New Roman" w:cs="Times New Roman" w:eastAsia="Times New Roman" w:hAnsi="Times New Roman"/>
                <w:sz w:val="14"/>
                <w:szCs w:val="14"/>
                <w:color w:val="auto"/>
              </w:rPr>
              <w:t>transferred from available-for-sale to held-to-maturity</w:t>
            </w: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Derivatives designated as hedging instruments:</w:t>
            </w:r>
          </w:p>
        </w:tc>
        <w:tc>
          <w:tcPr>
            <w:tcW w:w="8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Fair value hedges:</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60" w:type="dxa"/>
            <w:vAlign w:val="bottom"/>
            <w:shd w:val="clear" w:color="auto" w:fill="CFF0FC"/>
          </w:tcPr>
          <w:p>
            <w:pPr>
              <w:jc w:val="right"/>
              <w:ind w:right="1388"/>
              <w:spacing w:after="0"/>
              <w:rPr>
                <w:sz w:val="20"/>
                <w:szCs w:val="20"/>
                <w:color w:val="auto"/>
              </w:rPr>
            </w:pPr>
            <w:r>
              <w:rPr>
                <w:rFonts w:ascii="Times New Roman" w:cs="Times New Roman" w:eastAsia="Times New Roman" w:hAnsi="Times New Roman"/>
                <w:sz w:val="14"/>
                <w:szCs w:val="14"/>
                <w:color w:val="auto"/>
              </w:rPr>
              <w:t>Net change in fair value recorded in accumulated OCI</w:t>
            </w:r>
          </w:p>
        </w:tc>
        <w:tc>
          <w:tcPr>
            <w:tcW w:w="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(8,021 )</w:t>
            </w: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2,350</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29"/>
              <w:spacing w:after="0"/>
              <w:rPr>
                <w:sz w:val="20"/>
                <w:szCs w:val="20"/>
                <w:color w:val="auto"/>
              </w:rPr>
            </w:pPr>
            <w:r>
              <w:rPr>
                <w:rFonts w:ascii="Times New Roman" w:cs="Times New Roman" w:eastAsia="Times New Roman" w:hAnsi="Times New Roman"/>
                <w:sz w:val="14"/>
                <w:szCs w:val="14"/>
                <w:color w:val="auto"/>
              </w:rPr>
              <w:t>(5,671 )</w:t>
            </w: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24,868</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(7,314 )</w:t>
            </w: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17,554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Cash flow hedges:</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60" w:type="dxa"/>
            <w:vAlign w:val="bottom"/>
            <w:shd w:val="clear" w:color="auto" w:fill="CFF0FC"/>
          </w:tcPr>
          <w:p>
            <w:pPr>
              <w:jc w:val="right"/>
              <w:ind w:right="1388"/>
              <w:spacing w:after="0"/>
              <w:rPr>
                <w:sz w:val="20"/>
                <w:szCs w:val="20"/>
                <w:color w:val="auto"/>
              </w:rPr>
            </w:pPr>
            <w:r>
              <w:rPr>
                <w:rFonts w:ascii="Times New Roman" w:cs="Times New Roman" w:eastAsia="Times New Roman" w:hAnsi="Times New Roman"/>
                <w:sz w:val="14"/>
                <w:szCs w:val="14"/>
                <w:color w:val="auto"/>
              </w:rPr>
              <w:t>Net change in fair value recorded in accumulated OCI</w:t>
            </w:r>
          </w:p>
        </w:tc>
        <w:tc>
          <w:tcPr>
            <w:tcW w:w="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(5,329 )</w:t>
            </w: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1,575</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29"/>
              <w:spacing w:after="0"/>
              <w:rPr>
                <w:sz w:val="20"/>
                <w:szCs w:val="20"/>
                <w:color w:val="auto"/>
              </w:rPr>
            </w:pPr>
            <w:r>
              <w:rPr>
                <w:rFonts w:ascii="Times New Roman" w:cs="Times New Roman" w:eastAsia="Times New Roman" w:hAnsi="Times New Roman"/>
                <w:sz w:val="14"/>
                <w:szCs w:val="14"/>
                <w:color w:val="auto"/>
              </w:rPr>
              <w:t>(3,754 )</w:t>
            </w:r>
          </w:p>
        </w:tc>
        <w:tc>
          <w:tcPr>
            <w:tcW w:w="10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8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860" w:type="dxa"/>
            <w:vAlign w:val="bottom"/>
          </w:tcPr>
          <w:p>
            <w:pPr>
              <w:ind w:left="560"/>
              <w:spacing w:after="0" w:line="155" w:lineRule="exact"/>
              <w:rPr>
                <w:sz w:val="20"/>
                <w:szCs w:val="20"/>
                <w:color w:val="auto"/>
              </w:rPr>
            </w:pPr>
            <w:r>
              <w:rPr>
                <w:rFonts w:ascii="Times New Roman" w:cs="Times New Roman" w:eastAsia="Times New Roman" w:hAnsi="Times New Roman"/>
                <w:sz w:val="14"/>
                <w:szCs w:val="14"/>
                <w:color w:val="auto"/>
              </w:rPr>
              <w:t>Net change</w:t>
            </w:r>
          </w:p>
        </w:tc>
        <w:tc>
          <w:tcPr>
            <w:tcW w:w="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69,229</w:t>
            </w:r>
          </w:p>
        </w:tc>
        <w:tc>
          <w:tcPr>
            <w:tcW w:w="240" w:type="dxa"/>
            <w:vAlign w:val="bottom"/>
          </w:tcPr>
          <w:p>
            <w:pPr>
              <w:spacing w:after="0"/>
              <w:rPr>
                <w:sz w:val="14"/>
                <w:szCs w:val="14"/>
                <w:color w:val="auto"/>
              </w:rPr>
            </w:pPr>
          </w:p>
        </w:tc>
        <w:tc>
          <w:tcPr>
            <w:tcW w:w="1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40"/>
              <w:spacing w:after="0" w:line="155" w:lineRule="exact"/>
              <w:rPr>
                <w:sz w:val="20"/>
                <w:szCs w:val="20"/>
                <w:color w:val="auto"/>
              </w:rPr>
            </w:pPr>
            <w:r>
              <w:rPr>
                <w:rFonts w:ascii="Times New Roman" w:cs="Times New Roman" w:eastAsia="Times New Roman" w:hAnsi="Times New Roman"/>
                <w:sz w:val="14"/>
                <w:szCs w:val="14"/>
                <w:color w:val="auto"/>
              </w:rPr>
              <w:t>(20,489 )</w:t>
            </w:r>
          </w:p>
        </w:tc>
        <w:tc>
          <w:tcPr>
            <w:tcW w:w="260" w:type="dxa"/>
            <w:vAlign w:val="bottom"/>
            <w:gridSpan w:val="2"/>
          </w:tcPr>
          <w:p>
            <w:pPr>
              <w:jc w:val="right"/>
              <w:ind w:right="40"/>
              <w:spacing w:after="0" w:line="155"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48,740</w:t>
            </w:r>
          </w:p>
        </w:tc>
        <w:tc>
          <w:tcPr>
            <w:tcW w:w="240" w:type="dxa"/>
            <w:vAlign w:val="bottom"/>
          </w:tcPr>
          <w:p>
            <w:pPr>
              <w:spacing w:after="0"/>
              <w:rPr>
                <w:sz w:val="14"/>
                <w:szCs w:val="14"/>
                <w:color w:val="auto"/>
              </w:rPr>
            </w:pPr>
          </w:p>
        </w:tc>
        <w:tc>
          <w:tcPr>
            <w:tcW w:w="10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60"/>
              <w:spacing w:after="0" w:line="155" w:lineRule="exact"/>
              <w:rPr>
                <w:sz w:val="20"/>
                <w:szCs w:val="20"/>
                <w:color w:val="auto"/>
              </w:rPr>
            </w:pPr>
            <w:r>
              <w:rPr>
                <w:rFonts w:ascii="Times New Roman" w:cs="Times New Roman" w:eastAsia="Times New Roman" w:hAnsi="Times New Roman"/>
                <w:sz w:val="14"/>
                <w:szCs w:val="14"/>
                <w:color w:val="auto"/>
              </w:rPr>
              <w:t>(102,758 )</w:t>
            </w:r>
          </w:p>
        </w:tc>
        <w:tc>
          <w:tcPr>
            <w:tcW w:w="1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30,416</w:t>
            </w:r>
          </w:p>
        </w:tc>
        <w:tc>
          <w:tcPr>
            <w:tcW w:w="220" w:type="dxa"/>
            <w:vAlign w:val="bottom"/>
          </w:tcPr>
          <w:p>
            <w:pPr>
              <w:spacing w:after="0"/>
              <w:rPr>
                <w:sz w:val="14"/>
                <w:szCs w:val="14"/>
                <w:color w:val="auto"/>
              </w:rPr>
            </w:pPr>
          </w:p>
        </w:tc>
        <w:tc>
          <w:tcPr>
            <w:tcW w:w="1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40"/>
              <w:spacing w:after="0" w:line="155" w:lineRule="exact"/>
              <w:rPr>
                <w:sz w:val="20"/>
                <w:szCs w:val="20"/>
                <w:color w:val="auto"/>
              </w:rPr>
            </w:pPr>
            <w:r>
              <w:rPr>
                <w:rFonts w:ascii="Times New Roman" w:cs="Times New Roman" w:eastAsia="Times New Roman" w:hAnsi="Times New Roman"/>
                <w:sz w:val="14"/>
                <w:szCs w:val="14"/>
                <w:color w:val="auto"/>
              </w:rPr>
              <w:t>(72,342 )</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-145415</wp:posOffset>
            </wp:positionV>
            <wp:extent cx="76835"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-145415</wp:posOffset>
            </wp:positionV>
            <wp:extent cx="7747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-145415</wp:posOffset>
            </wp:positionV>
            <wp:extent cx="6858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-145415</wp:posOffset>
            </wp:positionV>
            <wp:extent cx="6858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-145415</wp:posOffset>
            </wp:positionV>
            <wp:extent cx="6858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BALANCE SHEET OFFSETTING</w:t>
      </w:r>
    </w:p>
    <w:p>
      <w:pPr>
        <w:spacing w:after="0" w:line="229" w:lineRule="exact"/>
        <w:rPr>
          <w:sz w:val="20"/>
          <w:szCs w:val="20"/>
          <w:color w:val="auto"/>
        </w:rPr>
      </w:pPr>
    </w:p>
    <w:p>
      <w:pPr>
        <w:ind w:right="60" w:firstLine="374"/>
        <w:spacing w:after="0" w:line="254" w:lineRule="auto"/>
        <w:rPr>
          <w:sz w:val="20"/>
          <w:szCs w:val="20"/>
          <w:color w:val="auto"/>
        </w:rPr>
      </w:pPr>
      <w:r>
        <w:rPr>
          <w:rFonts w:ascii="Times New Roman" w:cs="Times New Roman" w:eastAsia="Times New Roman" w:hAnsi="Times New Roman"/>
          <w:sz w:val="18"/>
          <w:szCs w:val="18"/>
          <w:color w:val="auto"/>
        </w:rPr>
        <w:t>Assets and liabilities relating to certain financial instruments, including, derivatives and securities sold under repurchase agreements (“repurchase agreements”), may be eligible for offset in the condensed consolidated balance sheets as permitted under accounting guidance. As noted above, our interest rate swap derivatives are subject to master netting arrangements. Our interest rate swap derivatives require the Company to pledge investment securities as collateral based on certain risk thresholds. Investment securities that have been pledged by the Company to counterparties continue to be reported in the Company’s condensed consolidated balance sheets unless the Company defaults. We offer a repurchase agreement product to our customers, which include master netting agreements that allow for the netting of collateral positions. This product, known as Citizens Sweep Manager, sells certain of our securities overnight to our customers under an agreement to repurchase them the next day. The repurchase agreements are not offset in the Company’s condensed consolidated balances.</w:t>
      </w:r>
    </w:p>
    <w:p>
      <w:pPr>
        <w:spacing w:after="0" w:line="192" w:lineRule="exact"/>
        <w:rPr>
          <w:sz w:val="20"/>
          <w:szCs w:val="20"/>
          <w:color w:val="auto"/>
        </w:rPr>
      </w:pPr>
    </w:p>
    <w:p>
      <w:pPr>
        <w:ind w:right="380" w:firstLine="464"/>
        <w:spacing w:after="0" w:line="266" w:lineRule="auto"/>
        <w:rPr>
          <w:sz w:val="20"/>
          <w:szCs w:val="20"/>
          <w:color w:val="auto"/>
        </w:rPr>
      </w:pPr>
      <w:r>
        <w:rPr>
          <w:rFonts w:ascii="Times New Roman" w:cs="Times New Roman" w:eastAsia="Times New Roman" w:hAnsi="Times New Roman"/>
          <w:sz w:val="18"/>
          <w:szCs w:val="18"/>
          <w:color w:val="auto"/>
        </w:rPr>
        <w:t>In June 2023, fair value hedging transactions were executed in which $1 billion notional pay-fixed interest rate swaps were consummated with original maturities ranging from four to five years, wherein the Company pays a weighted average fixed rate of approximately 3.8% and receives daily SOFR. The fair value of these instruments totaled $15.0 million and were reflected as a liability on September 30, 2024.</w:t>
      </w:r>
    </w:p>
    <w:p>
      <w:pPr>
        <w:spacing w:after="0" w:line="176" w:lineRule="exact"/>
        <w:rPr>
          <w:sz w:val="20"/>
          <w:szCs w:val="20"/>
          <w:color w:val="auto"/>
        </w:rPr>
      </w:pPr>
    </w:p>
    <w:p>
      <w:pPr>
        <w:jc w:val="both"/>
        <w:ind w:right="280" w:firstLine="464"/>
        <w:spacing w:after="0" w:line="266" w:lineRule="auto"/>
        <w:rPr>
          <w:sz w:val="20"/>
          <w:szCs w:val="20"/>
          <w:color w:val="auto"/>
        </w:rPr>
      </w:pPr>
      <w:r>
        <w:rPr>
          <w:rFonts w:ascii="Times New Roman" w:cs="Times New Roman" w:eastAsia="Times New Roman" w:hAnsi="Times New Roman"/>
          <w:sz w:val="18"/>
          <w:szCs w:val="18"/>
          <w:color w:val="auto"/>
        </w:rPr>
        <w:t>During the first quarter of 2024, cash flow hedging transactions were executed in which $300 million notional pay-fixed interest rate swaps were consummated with maturities of three years, wherein the Company pays a weighted average fixed rate of approximately 4.2% and receives daily SOFR. The fair value of these instruments totaled $5.3 million and were reflected as a liability on September 30, 2024.</w:t>
      </w:r>
    </w:p>
    <w:p>
      <w:pPr>
        <w:spacing w:after="0" w:line="176" w:lineRule="exact"/>
        <w:rPr>
          <w:sz w:val="20"/>
          <w:szCs w:val="20"/>
          <w:color w:val="auto"/>
        </w:rPr>
      </w:pPr>
    </w:p>
    <w:p>
      <w:pPr>
        <w:ind w:right="580" w:firstLine="464"/>
        <w:spacing w:after="0" w:line="261" w:lineRule="auto"/>
        <w:rPr>
          <w:sz w:val="20"/>
          <w:szCs w:val="20"/>
          <w:color w:val="auto"/>
        </w:rPr>
      </w:pPr>
      <w:r>
        <w:rPr>
          <w:rFonts w:ascii="Times New Roman" w:cs="Times New Roman" w:eastAsia="Times New Roman" w:hAnsi="Times New Roman"/>
          <w:sz w:val="18"/>
          <w:szCs w:val="18"/>
          <w:color w:val="auto"/>
        </w:rPr>
        <w:t>Refer to Note 9 - Derivative Financial Instruments of the notes to the unaudited condensed consolidated financial statements of this report for additional information.</w:t>
      </w: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3"/>
                <w:szCs w:val="13"/>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240" w:type="dxa"/>
            <w:vAlign w:val="bottom"/>
          </w:tcPr>
          <w:p>
            <w:pPr>
              <w:spacing w:after="0"/>
              <w:rPr>
                <w:sz w:val="13"/>
                <w:szCs w:val="13"/>
                <w:color w:val="auto"/>
              </w:rPr>
            </w:pPr>
          </w:p>
        </w:tc>
        <w:tc>
          <w:tcPr>
            <w:tcW w:w="136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100" w:type="dxa"/>
            <w:vAlign w:val="bottom"/>
          </w:tcPr>
          <w:p>
            <w:pPr>
              <w:spacing w:after="0"/>
              <w:rPr>
                <w:sz w:val="13"/>
                <w:szCs w:val="13"/>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Net Amounts</w:t>
            </w:r>
          </w:p>
        </w:tc>
        <w:tc>
          <w:tcPr>
            <w:tcW w:w="140" w:type="dxa"/>
            <w:vAlign w:val="bottom"/>
          </w:tcPr>
          <w:p>
            <w:pPr>
              <w:spacing w:after="0"/>
              <w:rPr>
                <w:sz w:val="13"/>
                <w:szCs w:val="13"/>
                <w:color w:val="auto"/>
              </w:rPr>
            </w:pPr>
          </w:p>
        </w:tc>
        <w:tc>
          <w:tcPr>
            <w:tcW w:w="248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Gross Amounts Not Offset</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11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Recognized in the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132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Presented in the</w:t>
            </w:r>
          </w:p>
        </w:tc>
        <w:tc>
          <w:tcPr>
            <w:tcW w:w="140" w:type="dxa"/>
            <w:vAlign w:val="bottom"/>
          </w:tcPr>
          <w:p>
            <w:pPr>
              <w:spacing w:after="0"/>
              <w:rPr>
                <w:sz w:val="12"/>
                <w:szCs w:val="12"/>
                <w:color w:val="auto"/>
              </w:rPr>
            </w:pPr>
          </w:p>
        </w:tc>
        <w:tc>
          <w:tcPr>
            <w:tcW w:w="2480" w:type="dxa"/>
            <w:vAlign w:val="bottom"/>
            <w:gridSpan w:val="5"/>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in the Condensed Consolidated</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Condensed</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Condensed</w:t>
            </w:r>
          </w:p>
        </w:tc>
        <w:tc>
          <w:tcPr>
            <w:tcW w:w="100" w:type="dxa"/>
            <w:vAlign w:val="bottom"/>
          </w:tcPr>
          <w:p>
            <w:pPr>
              <w:spacing w:after="0"/>
              <w:rPr>
                <w:sz w:val="15"/>
                <w:szCs w:val="15"/>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Condensed</w:t>
            </w:r>
          </w:p>
        </w:tc>
        <w:tc>
          <w:tcPr>
            <w:tcW w:w="140" w:type="dxa"/>
            <w:vAlign w:val="bottom"/>
          </w:tcPr>
          <w:p>
            <w:pPr>
              <w:spacing w:after="0"/>
              <w:rPr>
                <w:sz w:val="15"/>
                <w:szCs w:val="15"/>
                <w:color w:val="auto"/>
              </w:rPr>
            </w:pPr>
          </w:p>
        </w:tc>
        <w:tc>
          <w:tcPr>
            <w:tcW w:w="248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Balance Sheets</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ind w:right="68"/>
              <w:spacing w:after="0" w:line="131"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jc w:val="center"/>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00" w:type="dxa"/>
            <w:vAlign w:val="bottom"/>
          </w:tcPr>
          <w:p>
            <w:pPr>
              <w:spacing w:after="0"/>
              <w:rPr>
                <w:sz w:val="11"/>
                <w:szCs w:val="11"/>
                <w:color w:val="auto"/>
              </w:rPr>
            </w:pPr>
          </w:p>
        </w:tc>
        <w:tc>
          <w:tcPr>
            <w:tcW w:w="1220" w:type="dxa"/>
            <w:vAlign w:val="bottom"/>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208"/>
              <w:spacing w:after="0" w:line="131" w:lineRule="exact"/>
              <w:rPr>
                <w:sz w:val="20"/>
                <w:szCs w:val="20"/>
                <w:color w:val="auto"/>
              </w:rPr>
            </w:pPr>
            <w:r>
              <w:rPr>
                <w:rFonts w:ascii="Times New Roman" w:cs="Times New Roman" w:eastAsia="Times New Roman" w:hAnsi="Times New Roman"/>
                <w:sz w:val="14"/>
                <w:szCs w:val="14"/>
                <w:b w:val="1"/>
                <w:bCs w:val="1"/>
                <w:color w:val="auto"/>
              </w:rPr>
              <w:t>Financial</w:t>
            </w:r>
          </w:p>
        </w:tc>
        <w:tc>
          <w:tcPr>
            <w:tcW w:w="2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168"/>
              <w:spacing w:after="0" w:line="131" w:lineRule="exact"/>
              <w:rPr>
                <w:sz w:val="20"/>
                <w:szCs w:val="20"/>
                <w:color w:val="auto"/>
              </w:rPr>
            </w:pPr>
            <w:r>
              <w:rPr>
                <w:rFonts w:ascii="Times New Roman" w:cs="Times New Roman" w:eastAsia="Times New Roman" w:hAnsi="Times New Roman"/>
                <w:sz w:val="14"/>
                <w:szCs w:val="14"/>
                <w:b w:val="1"/>
                <w:bCs w:val="1"/>
                <w:color w:val="auto"/>
              </w:rPr>
              <w:t>Collateral</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10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33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Balance Sheets</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Balance Sheets</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Balance Sheets</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Pledged</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4"/>
          </w:tcPr>
          <w:p>
            <w:pPr>
              <w:jc w:val="right"/>
              <w:ind w:right="528"/>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assets:</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Derivatives not designated as hedging instruments</w:t>
            </w: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Interest rate swaps</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Derivatives designated as hedging instruments</w:t>
            </w: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Fair value hedges: interest rate swaps</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336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Cash flow hedges: interest rate swaps</w:t>
            </w:r>
          </w:p>
        </w:tc>
        <w:tc>
          <w:tcPr>
            <w:tcW w:w="10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3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liabilities:</w:t>
            </w: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3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Derivatives not designated as hedging instruments</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Interest rate swaps</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33,320</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(32,956 )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32,956</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7,949</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41,269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336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Derivatives designated as</w:t>
            </w: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3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hedging instruments:</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3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Fair value hedges: interest rate swaps</w:t>
            </w: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14,959</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14,959</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14,959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Cash flow hedges: interest rate swaps</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5,329</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5,329</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Repurchase agreements</w:t>
            </w:r>
          </w:p>
        </w:tc>
        <w:tc>
          <w:tcPr>
            <w:tcW w:w="10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394,515</w:t>
            </w:r>
          </w:p>
        </w:tc>
        <w:tc>
          <w:tcPr>
            <w:tcW w:w="2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394,515</w:t>
            </w:r>
          </w:p>
        </w:tc>
        <w:tc>
          <w:tcPr>
            <w:tcW w:w="2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469,027</w:t>
            </w:r>
          </w:p>
        </w:tc>
        <w:tc>
          <w:tcPr>
            <w:tcW w:w="2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863,542</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3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448,123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(32,956 )</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394,879</w:t>
            </w:r>
          </w:p>
        </w:tc>
        <w:tc>
          <w:tcPr>
            <w:tcW w:w="2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53,244</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476,976</w:t>
            </w:r>
          </w:p>
        </w:tc>
        <w:tc>
          <w:tcPr>
            <w:tcW w:w="2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925,099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assets:</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Derivatives not designated as hedging instruments</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Derivatives designated as hedging instruments</w:t>
            </w: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3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33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liabilities:</w:t>
            </w: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Derivatives not designated as hedging instruments</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42,613</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(42,501 )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42,501</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(11,659 )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30,954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3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Derivatives designated as hedging instruments</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6,938</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6,938</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6,938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3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Repurchase agreements</w:t>
            </w:r>
          </w:p>
        </w:tc>
        <w:tc>
          <w:tcPr>
            <w:tcW w:w="10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271,642</w:t>
            </w:r>
          </w:p>
        </w:tc>
        <w:tc>
          <w:tcPr>
            <w:tcW w:w="2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271,642</w:t>
            </w:r>
          </w:p>
        </w:tc>
        <w:tc>
          <w:tcPr>
            <w:tcW w:w="2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362,505</w:t>
            </w:r>
          </w:p>
        </w:tc>
        <w:tc>
          <w:tcPr>
            <w:tcW w:w="2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634,147</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3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321,193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(42,501 )</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271,754</w:t>
            </w:r>
          </w:p>
        </w:tc>
        <w:tc>
          <w:tcPr>
            <w:tcW w:w="2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49,439</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350,846</w:t>
            </w:r>
          </w:p>
        </w:tc>
        <w:tc>
          <w:tcPr>
            <w:tcW w:w="2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672,039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-2682240</wp:posOffset>
            </wp:positionV>
            <wp:extent cx="7747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-2682240</wp:posOffset>
            </wp:positionV>
            <wp:extent cx="76835"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-2682240</wp:posOffset>
            </wp:positionV>
            <wp:extent cx="6858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-2682240</wp:posOffset>
            </wp:positionV>
            <wp:extent cx="6858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-2682240</wp:posOffset>
            </wp:positionV>
            <wp:extent cx="6858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-2682240</wp:posOffset>
            </wp:positionV>
            <wp:extent cx="6858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-1550670</wp:posOffset>
            </wp:positionV>
            <wp:extent cx="7747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-1550670</wp:posOffset>
            </wp:positionV>
            <wp:extent cx="76835"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-1550670</wp:posOffset>
            </wp:positionV>
            <wp:extent cx="6858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-1550670</wp:posOffset>
            </wp:positionV>
            <wp:extent cx="6858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-1550670</wp:posOffset>
            </wp:positionV>
            <wp:extent cx="6858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-1550670</wp:posOffset>
            </wp:positionV>
            <wp:extent cx="6858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-727710</wp:posOffset>
            </wp:positionV>
            <wp:extent cx="7747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-710565</wp:posOffset>
            </wp:positionV>
            <wp:extent cx="7747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-727710</wp:posOffset>
            </wp:positionV>
            <wp:extent cx="76835"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-710565</wp:posOffset>
            </wp:positionV>
            <wp:extent cx="76835"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-727710</wp:posOffset>
            </wp:positionV>
            <wp:extent cx="6858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-710565</wp:posOffset>
            </wp:positionV>
            <wp:extent cx="6858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-727710</wp:posOffset>
            </wp:positionV>
            <wp:extent cx="6858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-710565</wp:posOffset>
            </wp:positionV>
            <wp:extent cx="6858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-727710</wp:posOffset>
            </wp:positionV>
            <wp:extent cx="6858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-710565</wp:posOffset>
            </wp:positionV>
            <wp:extent cx="6858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-727710</wp:posOffset>
            </wp:positionV>
            <wp:extent cx="6858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-710565</wp:posOffset>
            </wp:positionV>
            <wp:extent cx="6858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-145415</wp:posOffset>
            </wp:positionV>
            <wp:extent cx="7747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-145415</wp:posOffset>
            </wp:positionV>
            <wp:extent cx="76835"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-145415</wp:posOffset>
            </wp:positionV>
            <wp:extent cx="6858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-145415</wp:posOffset>
            </wp:positionV>
            <wp:extent cx="6858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-145415</wp:posOffset>
            </wp:positionV>
            <wp:extent cx="6858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LEASES</w:t>
      </w:r>
    </w:p>
    <w:p>
      <w:pPr>
        <w:spacing w:after="0" w:line="229" w:lineRule="exact"/>
        <w:rPr>
          <w:sz w:val="20"/>
          <w:szCs w:val="20"/>
          <w:color w:val="auto"/>
        </w:rPr>
      </w:pPr>
    </w:p>
    <w:p>
      <w:pPr>
        <w:ind w:right="100" w:firstLine="374"/>
        <w:spacing w:after="0" w:line="289" w:lineRule="auto"/>
        <w:rPr>
          <w:sz w:val="20"/>
          <w:szCs w:val="20"/>
          <w:color w:val="auto"/>
        </w:rPr>
      </w:pPr>
      <w:r>
        <w:rPr>
          <w:rFonts w:ascii="Times New Roman" w:cs="Times New Roman" w:eastAsia="Times New Roman" w:hAnsi="Times New Roman"/>
          <w:sz w:val="17"/>
          <w:szCs w:val="17"/>
          <w:color w:val="auto"/>
        </w:rPr>
        <w:t>The Company’s operating leases, where the Company is a lessee, include real estate, such as office space and banking centers. Lease expense for operating leases is recognized on a straight-line basis over the term of the lease and is reflected in the consolidated statement of earnings. Right-of-use (“ROU”) assets and lease liabilities are included in other assets and other liabilities, respectively, on the Company’s condensed consolidated balance sheet.</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While the Company has, as a lessor, certain equipment finance leases, such leases are not material to the Company’s consolidated financial statements.</w:t>
      </w:r>
    </w:p>
    <w:p>
      <w:pPr>
        <w:spacing w:after="0" w:line="23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tables below present the components of lease costs and supplemental information related to leases as of and for the periods presented.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384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33"/>
        </w:trPr>
        <w:tc>
          <w:tcPr>
            <w:tcW w:w="384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80" w:type="dxa"/>
            <w:vAlign w:val="bottom"/>
            <w:gridSpan w:val="5"/>
          </w:tcPr>
          <w:p>
            <w:pPr>
              <w:ind w:left="7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r>
      <w:tr>
        <w:trPr>
          <w:trHeight w:val="253"/>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Lease Assets and Liabilities</w:t>
            </w:r>
          </w:p>
        </w:tc>
        <w:tc>
          <w:tcPr>
            <w:tcW w:w="40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3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ROU assets</w:t>
            </w:r>
          </w:p>
        </w:tc>
        <w:tc>
          <w:tcPr>
            <w:tcW w:w="4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32,516</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21,655</w:t>
            </w:r>
          </w:p>
        </w:tc>
        <w:tc>
          <w:tcPr>
            <w:tcW w:w="100" w:type="dxa"/>
            <w:vAlign w:val="bottom"/>
          </w:tcPr>
          <w:p>
            <w:pPr>
              <w:spacing w:after="0"/>
              <w:rPr>
                <w:sz w:val="20"/>
                <w:szCs w:val="20"/>
                <w:color w:val="auto"/>
              </w:rPr>
            </w:pPr>
          </w:p>
        </w:tc>
      </w:tr>
      <w:tr>
        <w:trPr>
          <w:trHeight w:val="247"/>
        </w:trPr>
        <w:tc>
          <w:tcPr>
            <w:tcW w:w="3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lease liabilities</w:t>
            </w:r>
          </w:p>
        </w:tc>
        <w:tc>
          <w:tcPr>
            <w:tcW w:w="40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34,943</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24,056</w:t>
            </w:r>
          </w:p>
        </w:tc>
        <w:tc>
          <w:tcPr>
            <w:tcW w:w="100" w:type="dxa"/>
            <w:vAlign w:val="bottom"/>
            <w:shd w:val="clear" w:color="auto" w:fill="CFF0FC"/>
          </w:tcPr>
          <w:p>
            <w:pPr>
              <w:spacing w:after="0"/>
              <w:rPr>
                <w:sz w:val="21"/>
                <w:szCs w:val="21"/>
                <w:color w:val="auto"/>
              </w:rPr>
            </w:pPr>
          </w:p>
        </w:tc>
      </w:tr>
      <w:tr>
        <w:trPr>
          <w:trHeight w:val="432"/>
        </w:trPr>
        <w:tc>
          <w:tcPr>
            <w:tcW w:w="3840" w:type="dxa"/>
            <w:vAlign w:val="bottom"/>
          </w:tcPr>
          <w:p>
            <w:pPr>
              <w:spacing w:after="0"/>
              <w:rPr>
                <w:sz w:val="24"/>
                <w:szCs w:val="24"/>
                <w:color w:val="auto"/>
              </w:rPr>
            </w:pPr>
          </w:p>
        </w:tc>
        <w:tc>
          <w:tcPr>
            <w:tcW w:w="4060" w:type="dxa"/>
            <w:vAlign w:val="bottom"/>
          </w:tcPr>
          <w:p>
            <w:pPr>
              <w:jc w:val="right"/>
              <w:ind w:right="2090"/>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3840" w:type="dxa"/>
            <w:vAlign w:val="bottom"/>
            <w:tcBorders>
              <w:bottom w:val="single" w:sz="8" w:color="9A9A9A"/>
            </w:tcBorders>
          </w:tcPr>
          <w:p>
            <w:pPr>
              <w:spacing w:after="0"/>
              <w:rPr>
                <w:sz w:val="24"/>
                <w:szCs w:val="24"/>
                <w:color w:val="auto"/>
              </w:rPr>
            </w:pPr>
          </w:p>
        </w:tc>
        <w:tc>
          <w:tcPr>
            <w:tcW w:w="40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3300" w:type="dxa"/>
            <w:vAlign w:val="bottom"/>
            <w:gridSpan w:val="5"/>
          </w:tcPr>
          <w:p>
            <w:pPr>
              <w:jc w:val="right"/>
              <w:ind w:right="752"/>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78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5"/>
        </w:trPr>
        <w:tc>
          <w:tcPr>
            <w:tcW w:w="4320" w:type="dxa"/>
            <w:vAlign w:val="bottom"/>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2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432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2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29"/>
        </w:trPr>
        <w:tc>
          <w:tcPr>
            <w:tcW w:w="4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3"/>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100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expense (1)</w:t>
            </w:r>
          </w:p>
        </w:tc>
        <w:tc>
          <w:tcPr>
            <w:tcW w:w="10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w:t>
            </w:r>
          </w:p>
        </w:tc>
        <w:tc>
          <w:tcPr>
            <w:tcW w:w="7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8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5,650</w:t>
            </w:r>
          </w:p>
        </w:tc>
        <w:tc>
          <w:tcPr>
            <w:tcW w:w="7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5,513</w:t>
            </w:r>
          </w:p>
        </w:tc>
        <w:tc>
          <w:tcPr>
            <w:tcW w:w="100" w:type="dxa"/>
            <w:vAlign w:val="bottom"/>
          </w:tcPr>
          <w:p>
            <w:pPr>
              <w:spacing w:after="0"/>
              <w:rPr>
                <w:sz w:val="20"/>
                <w:szCs w:val="20"/>
                <w:color w:val="auto"/>
              </w:rPr>
            </w:pPr>
          </w:p>
        </w:tc>
      </w:tr>
      <w:tr>
        <w:trPr>
          <w:trHeight w:val="247"/>
        </w:trPr>
        <w:tc>
          <w:tcPr>
            <w:tcW w:w="43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Sublease income</w:t>
            </w:r>
          </w:p>
        </w:tc>
        <w:tc>
          <w:tcPr>
            <w:tcW w:w="1000" w:type="dxa"/>
            <w:vAlign w:val="bottom"/>
            <w:tcBorders>
              <w:bottom w:val="single" w:sz="8" w:color="auto"/>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4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lease expense</w:t>
            </w:r>
          </w:p>
        </w:tc>
        <w:tc>
          <w:tcPr>
            <w:tcW w:w="10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w:t>
            </w:r>
          </w:p>
        </w:tc>
        <w:tc>
          <w:tcPr>
            <w:tcW w:w="7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8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5,650</w:t>
            </w:r>
          </w:p>
        </w:tc>
        <w:tc>
          <w:tcPr>
            <w:tcW w:w="7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5,513</w:t>
            </w:r>
          </w:p>
        </w:tc>
        <w:tc>
          <w:tcPr>
            <w:tcW w:w="100" w:type="dxa"/>
            <w:vAlign w:val="bottom"/>
          </w:tcPr>
          <w:p>
            <w:pPr>
              <w:spacing w:after="0"/>
              <w:rPr>
                <w:sz w:val="20"/>
                <w:szCs w:val="20"/>
                <w:color w:val="auto"/>
              </w:rPr>
            </w:pPr>
          </w:p>
        </w:tc>
      </w:tr>
      <w:tr>
        <w:trPr>
          <w:trHeight w:val="20"/>
        </w:trPr>
        <w:tc>
          <w:tcPr>
            <w:tcW w:w="43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-187960</wp:posOffset>
            </wp:positionV>
            <wp:extent cx="7747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-187960</wp:posOffset>
            </wp:positionV>
            <wp:extent cx="6858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-187960</wp:posOffset>
            </wp:positionV>
            <wp:extent cx="6858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left="1140" w:hanging="383"/>
        <w:spacing w:after="0"/>
        <w:tabs>
          <w:tab w:leader="none" w:pos="11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short-term leases and variable lease costs, which are immaterial.</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116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11"/>
        </w:trPr>
        <w:tc>
          <w:tcPr>
            <w:tcW w:w="3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paid for amounts included in the</w:t>
            </w:r>
          </w:p>
        </w:tc>
        <w:tc>
          <w:tcPr>
            <w:tcW w:w="1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1"/>
        </w:trPr>
        <w:tc>
          <w:tcPr>
            <w:tcW w:w="3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measurement of lease liabilities:</w:t>
            </w:r>
          </w:p>
        </w:tc>
        <w:tc>
          <w:tcPr>
            <w:tcW w:w="1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8"/>
        </w:trPr>
        <w:tc>
          <w:tcPr>
            <w:tcW w:w="37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Operating cash outflows from operating</w:t>
            </w:r>
          </w:p>
        </w:tc>
        <w:tc>
          <w:tcPr>
            <w:tcW w:w="11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48"/>
        </w:trPr>
        <w:tc>
          <w:tcPr>
            <w:tcW w:w="37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leases, net</w:t>
            </w:r>
          </w:p>
        </w:tc>
        <w:tc>
          <w:tcPr>
            <w:tcW w:w="116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1,948</w:t>
            </w:r>
          </w:p>
        </w:tc>
        <w:tc>
          <w:tcPr>
            <w:tcW w:w="760" w:type="dxa"/>
            <w:vAlign w:val="bottom"/>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1,682</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5,726</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4,951</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396"/>
        </w:trPr>
        <w:tc>
          <w:tcPr>
            <w:tcW w:w="3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00" w:type="dxa"/>
            <w:vAlign w:val="bottom"/>
          </w:tcPr>
          <w:p>
            <w:pPr>
              <w:spacing w:after="0"/>
              <w:rPr>
                <w:sz w:val="24"/>
                <w:szCs w:val="24"/>
                <w:color w:val="auto"/>
              </w:rPr>
            </w:pPr>
          </w:p>
        </w:tc>
        <w:tc>
          <w:tcPr>
            <w:tcW w:w="15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37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Lease Term and Discount Rate</w:t>
            </w:r>
          </w:p>
        </w:tc>
        <w:tc>
          <w:tcPr>
            <w:tcW w:w="116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11"/>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1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3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(years)</w:t>
            </w:r>
          </w:p>
        </w:tc>
        <w:tc>
          <w:tcPr>
            <w:tcW w:w="1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5.26 %</w:t>
            </w:r>
          </w:p>
        </w:tc>
        <w:tc>
          <w:tcPr>
            <w:tcW w:w="200" w:type="dxa"/>
            <w:vAlign w:val="bottom"/>
          </w:tcPr>
          <w:p>
            <w:pPr>
              <w:spacing w:after="0"/>
              <w:rPr>
                <w:sz w:val="21"/>
                <w:szCs w:val="21"/>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5430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1" w:lineRule="exact"/>
        <w:rPr>
          <w:sz w:val="20"/>
          <w:szCs w:val="20"/>
          <w:color w:val="auto"/>
        </w:rPr>
      </w:pPr>
    </w:p>
    <w:p>
      <w:pPr>
        <w:ind w:right="240" w:firstLine="374"/>
        <w:spacing w:after="0" w:line="261" w:lineRule="auto"/>
        <w:rPr>
          <w:sz w:val="20"/>
          <w:szCs w:val="20"/>
          <w:color w:val="auto"/>
        </w:rPr>
      </w:pPr>
      <w:r>
        <w:rPr>
          <w:rFonts w:ascii="Times New Roman" w:cs="Times New Roman" w:eastAsia="Times New Roman" w:hAnsi="Times New Roman"/>
          <w:sz w:val="18"/>
          <w:szCs w:val="18"/>
          <w:color w:val="auto"/>
        </w:rPr>
        <w:t>During the third quarter of 2024, the Bank executed sale-leaseback transactions with the sale of two properties for an aggregate sale price of $17 million. The Bank simultaneously entered into lease agreements with the respective purchasers for initial terms of 15 and 18 years with specified renewal options for each respective lease. These sale-leaseback transactions resulted in a pre-tax net gain of $9.1 million for the third quarter of 2024. The Bank also recorded ROU assets and corresponding operating lease liabilities each totaling $11.2 million.</w:t>
      </w:r>
    </w:p>
    <w:p>
      <w:pPr>
        <w:spacing w:after="0" w:line="180" w:lineRule="exact"/>
        <w:rPr>
          <w:sz w:val="20"/>
          <w:szCs w:val="20"/>
          <w:color w:val="auto"/>
        </w:rPr>
      </w:pPr>
    </w:p>
    <w:p>
      <w:pPr>
        <w:jc w:val="both"/>
        <w:ind w:right="240" w:firstLine="374"/>
        <w:spacing w:after="0" w:line="261" w:lineRule="auto"/>
        <w:rPr>
          <w:sz w:val="20"/>
          <w:szCs w:val="20"/>
          <w:color w:val="auto"/>
        </w:rPr>
      </w:pPr>
      <w:r>
        <w:rPr>
          <w:rFonts w:ascii="Times New Roman" w:cs="Times New Roman" w:eastAsia="Times New Roman" w:hAnsi="Times New Roman"/>
          <w:sz w:val="18"/>
          <w:szCs w:val="18"/>
          <w:color w:val="auto"/>
        </w:rPr>
        <w:t>The Company’s lease arrangements that have not yet commenced as of September 30, 2024 and the Company’s short-term lease costs and variable lease costs, for the nine months ended September 30, 2024 and 2023 are not material to the consolidated financial statements. The future lease payments required for leases that have initial or remaining non-cancelable lease terms in excess of one year as of September 30, 2024, excluding property taxes and insurance, are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54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0" w:type="dxa"/>
            <w:vAlign w:val="bottom"/>
          </w:tcPr>
          <w:p>
            <w:pPr>
              <w:spacing w:after="0"/>
              <w:rPr>
                <w:sz w:val="1"/>
                <w:szCs w:val="1"/>
                <w:color w:val="auto"/>
              </w:rPr>
            </w:pPr>
          </w:p>
        </w:tc>
      </w:tr>
      <w:tr>
        <w:trPr>
          <w:trHeight w:val="199"/>
        </w:trPr>
        <w:tc>
          <w:tcPr>
            <w:tcW w:w="20" w:type="dxa"/>
            <w:vAlign w:val="bottom"/>
            <w:shd w:val="clear" w:color="auto" w:fill="CFF0FC"/>
          </w:tcPr>
          <w:p>
            <w:pPr>
              <w:spacing w:after="0"/>
              <w:rPr>
                <w:sz w:val="17"/>
                <w:szCs w:val="17"/>
                <w:color w:val="auto"/>
              </w:rPr>
            </w:pPr>
          </w:p>
        </w:tc>
        <w:tc>
          <w:tcPr>
            <w:tcW w:w="4960" w:type="dxa"/>
            <w:vAlign w:val="bottom"/>
            <w:gridSpan w:val="2"/>
            <w:shd w:val="clear" w:color="auto" w:fill="CFF0FC"/>
          </w:tcPr>
          <w:p>
            <w:pPr>
              <w:spacing w:after="0" w:line="199" w:lineRule="exact"/>
              <w:rPr>
                <w:sz w:val="20"/>
                <w:szCs w:val="20"/>
                <w:color w:val="auto"/>
              </w:rPr>
            </w:pPr>
            <w:r>
              <w:rPr>
                <w:rFonts w:ascii="Times New Roman" w:cs="Times New Roman" w:eastAsia="Times New Roman" w:hAnsi="Times New Roman"/>
                <w:sz w:val="18"/>
                <w:szCs w:val="18"/>
                <w:b w:val="1"/>
                <w:bCs w:val="1"/>
                <w:color w:val="auto"/>
              </w:rPr>
              <w:t>Year:</w:t>
            </w:r>
          </w:p>
        </w:tc>
        <w:tc>
          <w:tcPr>
            <w:tcW w:w="4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CFF0FC"/>
            </w:tcBorders>
            <w:shd w:val="clear" w:color="auto" w:fill="CFF0FC"/>
          </w:tcPr>
          <w:p>
            <w:pPr>
              <w:spacing w:after="0"/>
              <w:rPr>
                <w:sz w:val="2"/>
                <w:szCs w:val="2"/>
                <w:color w:val="auto"/>
              </w:rPr>
            </w:pPr>
          </w:p>
        </w:tc>
        <w:tc>
          <w:tcPr>
            <w:tcW w:w="420" w:type="dxa"/>
            <w:vAlign w:val="bottom"/>
            <w:tcBorders>
              <w:top w:val="single" w:sz="8" w:color="auto"/>
            </w:tcBorders>
            <w:shd w:val="clear" w:color="auto" w:fill="CFF0FC"/>
          </w:tcPr>
          <w:p>
            <w:pPr>
              <w:spacing w:after="0"/>
              <w:rPr>
                <w:sz w:val="2"/>
                <w:szCs w:val="2"/>
                <w:color w:val="auto"/>
              </w:rPr>
            </w:pPr>
          </w:p>
        </w:tc>
        <w:tc>
          <w:tcPr>
            <w:tcW w:w="4540" w:type="dxa"/>
            <w:vAlign w:val="bottom"/>
            <w:tcBorders>
              <w:top w:val="single" w:sz="8" w:color="CFF0FC"/>
            </w:tcBorders>
            <w:shd w:val="clear" w:color="auto" w:fill="CFF0FC"/>
          </w:tcPr>
          <w:p>
            <w:pPr>
              <w:spacing w:after="0"/>
              <w:rPr>
                <w:sz w:val="2"/>
                <w:szCs w:val="2"/>
                <w:color w:val="auto"/>
              </w:rPr>
            </w:pPr>
          </w:p>
        </w:tc>
        <w:tc>
          <w:tcPr>
            <w:tcW w:w="426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74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20" w:type="dxa"/>
            <w:vAlign w:val="bottom"/>
          </w:tcPr>
          <w:p>
            <w:pPr>
              <w:spacing w:after="0"/>
              <w:rPr>
                <w:sz w:val="20"/>
                <w:szCs w:val="20"/>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2024 (excluding the nine months ended September 30, 2024)</w:t>
            </w:r>
          </w:p>
        </w:tc>
        <w:tc>
          <w:tcPr>
            <w:tcW w:w="4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540" w:type="dxa"/>
            <w:vAlign w:val="bottom"/>
            <w:shd w:val="clear" w:color="auto" w:fill="CFF0FC"/>
          </w:tcPr>
          <w:p>
            <w:pPr>
              <w:spacing w:after="0"/>
              <w:rPr>
                <w:sz w:val="21"/>
                <w:szCs w:val="21"/>
                <w:color w:val="auto"/>
              </w:rPr>
            </w:pPr>
          </w:p>
        </w:tc>
        <w:tc>
          <w:tcPr>
            <w:tcW w:w="4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8,524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54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540" w:type="dxa"/>
            <w:vAlign w:val="bottom"/>
            <w:shd w:val="clear" w:color="auto" w:fill="CFF0FC"/>
          </w:tcPr>
          <w:p>
            <w:pPr>
              <w:spacing w:after="0"/>
              <w:rPr>
                <w:sz w:val="21"/>
                <w:szCs w:val="21"/>
                <w:color w:val="auto"/>
              </w:rPr>
            </w:pPr>
          </w:p>
        </w:tc>
        <w:tc>
          <w:tcPr>
            <w:tcW w:w="4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54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98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16,988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4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shd w:val="clear" w:color="auto" w:fill="CFF0FC"/>
          </w:tcPr>
          <w:p>
            <w:pPr>
              <w:spacing w:after="0"/>
              <w:rPr>
                <w:sz w:val="21"/>
                <w:szCs w:val="21"/>
                <w:color w:val="auto"/>
              </w:rPr>
            </w:pPr>
          </w:p>
        </w:tc>
        <w:tc>
          <w:tcPr>
            <w:tcW w:w="49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Less: Imputed interest</w:t>
            </w:r>
          </w:p>
        </w:tc>
        <w:tc>
          <w:tcPr>
            <w:tcW w:w="4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(10,254 )</w:t>
            </w:r>
          </w:p>
        </w:tc>
        <w:tc>
          <w:tcPr>
            <w:tcW w:w="0" w:type="dxa"/>
            <w:vAlign w:val="bottom"/>
          </w:tcPr>
          <w:p>
            <w:pPr>
              <w:spacing w:after="0"/>
              <w:rPr>
                <w:sz w:val="1"/>
                <w:szCs w:val="1"/>
                <w:color w:val="auto"/>
              </w:rPr>
            </w:pPr>
          </w:p>
        </w:tc>
      </w:tr>
      <w:tr>
        <w:trPr>
          <w:trHeight w:val="236"/>
        </w:trPr>
        <w:tc>
          <w:tcPr>
            <w:tcW w:w="4980" w:type="dxa"/>
            <w:vAlign w:val="bottom"/>
            <w:tcBorders>
              <w:top w:val="single" w:sz="8" w:color="CFF0FC"/>
            </w:tcBorders>
            <w:gridSpan w:val="3"/>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4260" w:type="dxa"/>
            <w:vAlign w:val="bottom"/>
            <w:tcBorders>
              <w:top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34,943</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4260" w:type="dxa"/>
            <w:vAlign w:val="bottom"/>
            <w:vMerge w:val="restart"/>
          </w:tcPr>
          <w:p>
            <w:pPr>
              <w:jc w:val="right"/>
              <w:ind w:right="3430"/>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42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540" w:type="dxa"/>
            <w:vAlign w:val="bottom"/>
            <w:tcBorders>
              <w:bottom w:val="single" w:sz="8" w:color="9A9A9A"/>
            </w:tcBorders>
          </w:tcPr>
          <w:p>
            <w:pPr>
              <w:spacing w:after="0"/>
              <w:rPr>
                <w:sz w:val="24"/>
                <w:szCs w:val="24"/>
                <w:color w:val="auto"/>
              </w:rPr>
            </w:pPr>
          </w:p>
        </w:tc>
        <w:tc>
          <w:tcPr>
            <w:tcW w:w="4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-1414145</wp:posOffset>
            </wp:positionV>
            <wp:extent cx="6858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-1096645</wp:posOffset>
            </wp:positionV>
            <wp:extent cx="6858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1319" w:right="2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13.  REVENUE RECOGNITION</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presents noninterest income, segregated by revenue streams in-scope and out-of-scope of Topic 606, for the periods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60" w:type="dxa"/>
            <w:vAlign w:val="bottom"/>
            <w:gridSpan w:val="4"/>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2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5"/>
        </w:trPr>
        <w:tc>
          <w:tcPr>
            <w:tcW w:w="51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4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5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r>
      <w:tr>
        <w:trPr>
          <w:trHeight w:val="229"/>
        </w:trPr>
        <w:tc>
          <w:tcPr>
            <w:tcW w:w="5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700" w:type="dxa"/>
            <w:vAlign w:val="bottom"/>
            <w:gridSpan w:val="5"/>
          </w:tcPr>
          <w:p>
            <w:pPr>
              <w:jc w:val="right"/>
              <w:ind w:right="100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3"/>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Noninterest income:</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0"/>
        </w:trPr>
        <w:tc>
          <w:tcPr>
            <w:tcW w:w="518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In-scope of Topic 606:</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6"/>
        </w:trPr>
        <w:tc>
          <w:tcPr>
            <w:tcW w:w="51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Service charges on deposit accounts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5,120</w:t>
            </w:r>
          </w:p>
        </w:tc>
        <w:tc>
          <w:tcPr>
            <w:tcW w:w="34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5,062</w:t>
            </w:r>
          </w:p>
        </w:tc>
        <w:tc>
          <w:tcPr>
            <w:tcW w:w="6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15,273</w:t>
            </w: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15,244</w:t>
            </w:r>
          </w:p>
        </w:tc>
        <w:tc>
          <w:tcPr>
            <w:tcW w:w="100" w:type="dxa"/>
            <w:vAlign w:val="bottom"/>
            <w:shd w:val="clear" w:color="auto" w:fill="CFF0FC"/>
          </w:tcPr>
          <w:p>
            <w:pPr>
              <w:spacing w:after="0"/>
              <w:rPr>
                <w:sz w:val="21"/>
                <w:szCs w:val="21"/>
                <w:color w:val="auto"/>
              </w:rPr>
            </w:pPr>
          </w:p>
        </w:tc>
      </w:tr>
      <w:tr>
        <w:trPr>
          <w:trHeight w:val="239"/>
        </w:trPr>
        <w:tc>
          <w:tcPr>
            <w:tcW w:w="5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Trust and investment services</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3,565</w:t>
            </w: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3,246</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10,217</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9,475</w:t>
            </w:r>
          </w:p>
        </w:tc>
        <w:tc>
          <w:tcPr>
            <w:tcW w:w="100" w:type="dxa"/>
            <w:vAlign w:val="bottom"/>
          </w:tcPr>
          <w:p>
            <w:pPr>
              <w:spacing w:after="0"/>
              <w:rPr>
                <w:sz w:val="20"/>
                <w:szCs w:val="20"/>
                <w:color w:val="auto"/>
              </w:rPr>
            </w:pPr>
          </w:p>
        </w:tc>
      </w:tr>
      <w:tr>
        <w:trPr>
          <w:trHeight w:val="247"/>
        </w:trPr>
        <w:tc>
          <w:tcPr>
            <w:tcW w:w="51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Bankcard services</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3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3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100" w:type="dxa"/>
            <w:vAlign w:val="bottom"/>
            <w:shd w:val="clear" w:color="auto" w:fill="CFF0FC"/>
          </w:tcPr>
          <w:p>
            <w:pPr>
              <w:spacing w:after="0"/>
              <w:rPr>
                <w:sz w:val="21"/>
                <w:szCs w:val="21"/>
                <w:color w:val="auto"/>
              </w:rPr>
            </w:pPr>
          </w:p>
        </w:tc>
      </w:tr>
      <w:tr>
        <w:trPr>
          <w:trHeight w:val="239"/>
        </w:trPr>
        <w:tc>
          <w:tcPr>
            <w:tcW w:w="5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Loss on sale of investment securities</w:t>
            </w:r>
          </w:p>
        </w:tc>
        <w:tc>
          <w:tcPr>
            <w:tcW w:w="280" w:type="dxa"/>
            <w:vAlign w:val="bottom"/>
          </w:tcPr>
          <w:p>
            <w:pPr>
              <w:spacing w:after="0"/>
              <w:rPr>
                <w:sz w:val="20"/>
                <w:szCs w:val="20"/>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(11,582 )</w:t>
            </w: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(11,582 )</w:t>
            </w:r>
          </w:p>
        </w:tc>
        <w:tc>
          <w:tcPr>
            <w:tcW w:w="44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1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Gain on sale leaseback transactions</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9,106</w:t>
            </w:r>
          </w:p>
        </w:tc>
        <w:tc>
          <w:tcPr>
            <w:tcW w:w="3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9,106</w:t>
            </w: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Gain/(loss) on sale of other investments</w:t>
            </w:r>
          </w:p>
        </w:tc>
        <w:tc>
          <w:tcPr>
            <w:tcW w:w="280" w:type="dxa"/>
            <w:vAlign w:val="bottom"/>
          </w:tcPr>
          <w:p>
            <w:pPr>
              <w:spacing w:after="0"/>
              <w:rPr>
                <w:sz w:val="20"/>
                <w:szCs w:val="20"/>
                <w:color w:val="auto"/>
              </w:rPr>
            </w:pP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2,575</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2,575</w:t>
            </w:r>
          </w:p>
        </w:tc>
        <w:tc>
          <w:tcPr>
            <w:tcW w:w="100" w:type="dxa"/>
            <w:vAlign w:val="bottom"/>
          </w:tcPr>
          <w:p>
            <w:pPr>
              <w:spacing w:after="0"/>
              <w:rPr>
                <w:sz w:val="20"/>
                <w:szCs w:val="20"/>
                <w:color w:val="auto"/>
              </w:rPr>
            </w:pPr>
          </w:p>
        </w:tc>
      </w:tr>
      <w:tr>
        <w:trPr>
          <w:trHeight w:val="243"/>
        </w:trPr>
        <w:tc>
          <w:tcPr>
            <w:tcW w:w="518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2,771</w:t>
            </w:r>
          </w:p>
        </w:tc>
        <w:tc>
          <w:tcPr>
            <w:tcW w:w="34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3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7,213</w:t>
            </w:r>
          </w:p>
        </w:tc>
        <w:tc>
          <w:tcPr>
            <w:tcW w:w="28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Noninterest Income (in-scope of Topic 606)</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9,335</w:t>
            </w: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12,761</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31,337</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35,333</w:t>
            </w:r>
          </w:p>
        </w:tc>
        <w:tc>
          <w:tcPr>
            <w:tcW w:w="100" w:type="dxa"/>
            <w:vAlign w:val="bottom"/>
          </w:tcPr>
          <w:p>
            <w:pPr>
              <w:spacing w:after="0"/>
              <w:rPr>
                <w:sz w:val="20"/>
                <w:szCs w:val="20"/>
                <w:color w:val="auto"/>
              </w:rPr>
            </w:pPr>
          </w:p>
        </w:tc>
      </w:tr>
      <w:tr>
        <w:trPr>
          <w:trHeight w:val="243"/>
        </w:trPr>
        <w:tc>
          <w:tcPr>
            <w:tcW w:w="518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Noninterest Income (out-of-scope of Topic 606)</w:t>
            </w:r>
          </w:p>
        </w:tc>
        <w:tc>
          <w:tcPr>
            <w:tcW w:w="2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3,499</w:t>
            </w:r>
          </w:p>
        </w:tc>
        <w:tc>
          <w:tcPr>
            <w:tcW w:w="34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3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10,034</w:t>
            </w:r>
          </w:p>
        </w:tc>
        <w:tc>
          <w:tcPr>
            <w:tcW w:w="28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518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Total noninterest income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12,834</w:t>
            </w:r>
          </w:p>
        </w:tc>
        <w:tc>
          <w:tcPr>
            <w:tcW w:w="34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14,309</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41,371</w:t>
            </w:r>
          </w:p>
        </w:tc>
        <w:tc>
          <w:tcPr>
            <w:tcW w:w="28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40,167</w:t>
            </w:r>
          </w:p>
        </w:tc>
        <w:tc>
          <w:tcPr>
            <w:tcW w:w="100" w:type="dxa"/>
            <w:vAlign w:val="bottom"/>
          </w:tcPr>
          <w:p>
            <w:pPr>
              <w:spacing w:after="0"/>
              <w:rPr>
                <w:sz w:val="20"/>
                <w:szCs w:val="20"/>
                <w:color w:val="auto"/>
              </w:rPr>
            </w:pPr>
          </w:p>
        </w:tc>
      </w:tr>
      <w:tr>
        <w:trPr>
          <w:trHeight w:val="20"/>
        </w:trPr>
        <w:tc>
          <w:tcPr>
            <w:tcW w:w="5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-505460</wp:posOffset>
            </wp:positionV>
            <wp:extent cx="76835"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-505460</wp:posOffset>
            </wp:positionV>
            <wp:extent cx="6858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-505460</wp:posOffset>
            </wp:positionV>
            <wp:extent cx="6858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-505460</wp:posOffset>
            </wp:positionV>
            <wp:extent cx="6858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-187960</wp:posOffset>
            </wp:positionV>
            <wp:extent cx="76835"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-187960</wp:posOffset>
            </wp:positionV>
            <wp:extent cx="68580"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-187960</wp:posOffset>
            </wp:positionV>
            <wp:extent cx="6858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ind w:right="40" w:firstLine="469"/>
        <w:spacing w:after="0" w:line="284" w:lineRule="auto"/>
        <w:rPr>
          <w:sz w:val="20"/>
          <w:szCs w:val="20"/>
          <w:color w:val="auto"/>
        </w:rPr>
      </w:pPr>
      <w:r>
        <w:rPr>
          <w:rFonts w:ascii="Times New Roman" w:cs="Times New Roman" w:eastAsia="Times New Roman" w:hAnsi="Times New Roman"/>
          <w:sz w:val="18"/>
          <w:szCs w:val="18"/>
          <w:color w:val="auto"/>
        </w:rPr>
        <w:t xml:space="preserve">Refer to Note 3 –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and Note 23 –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xml:space="preserve"> included in our Annual Report on Form 10-K for the year ended December 31, 2023 for a more detailed discussion about noninterest revenue streams that are in-scope of Topic 606.</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SUBSEQUENT EVENTS</w:t>
      </w:r>
    </w:p>
    <w:p>
      <w:pPr>
        <w:spacing w:after="0" w:line="229" w:lineRule="exact"/>
        <w:rPr>
          <w:sz w:val="20"/>
          <w:szCs w:val="20"/>
          <w:color w:val="auto"/>
        </w:rPr>
      </w:pPr>
    </w:p>
    <w:p>
      <w:pPr>
        <w:ind w:right="420" w:firstLine="464"/>
        <w:spacing w:after="0" w:line="261" w:lineRule="auto"/>
        <w:rPr>
          <w:sz w:val="20"/>
          <w:szCs w:val="20"/>
          <w:color w:val="auto"/>
        </w:rPr>
      </w:pPr>
      <w:r>
        <w:rPr>
          <w:rFonts w:ascii="Times New Roman" w:cs="Times New Roman" w:eastAsia="Times New Roman" w:hAnsi="Times New Roman"/>
          <w:sz w:val="18"/>
          <w:szCs w:val="18"/>
          <w:color w:val="auto"/>
        </w:rPr>
        <w:t>Subsequent to September 30, 2024, the Bank executed sale-leaseback transactions during October of 2024, with the sale of two buildings for an aggregate sale price of approximately $30 million. These building sales resulted in a combined pre-tax net gain of $16.8 million.</w:t>
      </w: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9" w:name="page40"/>
    <w:bookmarkEnd w:id="39"/>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right="140" w:firstLine="469"/>
        <w:spacing w:after="0" w:line="256" w:lineRule="auto"/>
        <w:rPr>
          <w:sz w:val="20"/>
          <w:szCs w:val="20"/>
          <w:color w:val="auto"/>
        </w:rPr>
      </w:pPr>
      <w:r>
        <w:rPr>
          <w:rFonts w:ascii="Times New Roman" w:cs="Times New Roman" w:eastAsia="Times New Roman" w:hAnsi="Times New Roman"/>
          <w:sz w:val="18"/>
          <w:szCs w:val="18"/>
          <w:color w:val="auto"/>
        </w:rPr>
        <w:t>The following discussion provides information about the results of operations, financial condition, liquidity and capital resources of CVB Financial Corp. (referred to herein on an unconsolidated basis as “CVB” and on a consolidated basis as “we,” “our” or the “Company”) and its wholly owned bank subsidiary, Citizens Business Bank (the “Bank” or “CBB”). This information is intended to facilitate the understanding and assessment of significant changes and trends related to our financial condition and the results of our operations. This discussion and analysis should be read in conjunction with our Annual Report on Form 10-K for the year ended December 31, 2023 and the unaudited condensed consolidated financial statements and accompanying notes presented elsewhere in this report.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ind w:right="40" w:firstLine="469"/>
        <w:spacing w:after="0" w:line="258" w:lineRule="auto"/>
        <w:rPr>
          <w:sz w:val="20"/>
          <w:szCs w:val="20"/>
          <w:color w:val="auto"/>
        </w:rPr>
      </w:pPr>
      <w:r>
        <w:rPr>
          <w:rFonts w:ascii="Times New Roman" w:cs="Times New Roman" w:eastAsia="Times New Roman" w:hAnsi="Times New Roman"/>
          <w:sz w:val="18"/>
          <w:szCs w:val="18"/>
          <w:color w:val="auto"/>
        </w:rPr>
        <w:t>The discussion and analysis of the Company’s unaudited condensed consolidated financial statements are based upon the Company’s unaudited condensed consolidated financial statements, which have been prepared in accordance with accounting principles generally accepted in the United States of America. The preparation of these unaudited condensed consolidated financial statements requires management to make estimates and judgments that affect the reported amounts of assets and liabilities, revenues and expenses, and related disclosures of contingent assets and liabilities at the date of our financial statements. Actual results may differ from these estimates under different assumptions or conditions.</w:t>
      </w:r>
    </w:p>
    <w:p>
      <w:pPr>
        <w:spacing w:after="0" w:line="183" w:lineRule="exact"/>
        <w:rPr>
          <w:sz w:val="20"/>
          <w:szCs w:val="20"/>
          <w:color w:val="auto"/>
        </w:rPr>
      </w:pPr>
    </w:p>
    <w:p>
      <w:pPr>
        <w:ind w:right="260" w:firstLine="469"/>
        <w:spacing w:after="0" w:line="258" w:lineRule="auto"/>
        <w:rPr>
          <w:sz w:val="20"/>
          <w:szCs w:val="20"/>
          <w:color w:val="auto"/>
        </w:rPr>
      </w:pPr>
      <w:r>
        <w:rPr>
          <w:rFonts w:ascii="Times New Roman" w:cs="Times New Roman" w:eastAsia="Times New Roman" w:hAnsi="Times New Roman"/>
          <w:sz w:val="18"/>
          <w:szCs w:val="18"/>
          <w:color w:val="auto"/>
        </w:rPr>
        <w:t>Critical accounting policies are defined as those that are reflective of significant judgments and uncertainties, and are essential to understanding Management’s Discussion and Analysis of Financial Condition and Results of Operations. The following is a summary of the more judgmental and complex accounting estimates and principles. In each area, we have identified the variables we believe are most important in our estimation process. We utilize information available to us to make the necessary estimates to value the related assets and liabilities. Actual performance that differs from our estimates and future changes in the key variables and information could change future valuations and impact the results of operations.</w:t>
      </w:r>
    </w:p>
    <w:p>
      <w:pPr>
        <w:spacing w:after="0" w:line="183" w:lineRule="exact"/>
        <w:rPr>
          <w:sz w:val="20"/>
          <w:szCs w:val="20"/>
          <w:color w:val="auto"/>
        </w:rPr>
      </w:pPr>
    </w:p>
    <w:p>
      <w:pPr>
        <w:ind w:left="1040" w:hanging="470"/>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Allowance for Credit Losses (“ACL”)</w:t>
      </w:r>
    </w:p>
    <w:p>
      <w:pPr>
        <w:spacing w:after="0" w:line="27" w:lineRule="exact"/>
        <w:rPr>
          <w:rFonts w:ascii="Times New Roman" w:cs="Times New Roman" w:eastAsia="Times New Roman" w:hAnsi="Times New Roman"/>
          <w:sz w:val="18"/>
          <w:szCs w:val="18"/>
          <w:color w:val="auto"/>
        </w:rPr>
      </w:pPr>
    </w:p>
    <w:p>
      <w:pPr>
        <w:ind w:left="1040" w:hanging="470"/>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Combinations</w:t>
      </w:r>
    </w:p>
    <w:p>
      <w:pPr>
        <w:spacing w:after="0" w:line="9" w:lineRule="exact"/>
        <w:rPr>
          <w:rFonts w:ascii="Times New Roman" w:cs="Times New Roman" w:eastAsia="Times New Roman" w:hAnsi="Times New Roman"/>
          <w:sz w:val="18"/>
          <w:szCs w:val="18"/>
          <w:color w:val="auto"/>
        </w:rPr>
      </w:pPr>
    </w:p>
    <w:p>
      <w:pPr>
        <w:ind w:left="1040" w:hanging="462"/>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and Recoverability of Goodwill</w:t>
      </w:r>
    </w:p>
    <w:p>
      <w:pPr>
        <w:spacing w:after="0" w:line="315" w:lineRule="exact"/>
        <w:rPr>
          <w:sz w:val="20"/>
          <w:szCs w:val="20"/>
          <w:color w:val="auto"/>
        </w:rPr>
      </w:pPr>
    </w:p>
    <w:p>
      <w:pPr>
        <w:ind w:right="220" w:firstLine="464"/>
        <w:spacing w:after="0" w:line="261" w:lineRule="auto"/>
        <w:rPr>
          <w:sz w:val="20"/>
          <w:szCs w:val="20"/>
          <w:color w:val="auto"/>
        </w:rPr>
      </w:pPr>
      <w:r>
        <w:rPr>
          <w:rFonts w:ascii="Times New Roman" w:cs="Times New Roman" w:eastAsia="Times New Roman" w:hAnsi="Times New Roman"/>
          <w:sz w:val="18"/>
          <w:szCs w:val="18"/>
          <w:color w:val="auto"/>
        </w:rPr>
        <w:t>Our significant accounting policies are described in greater detail in our 2023 Annual Report on Form 10-K in the “Critical Accounting Policies” section of Management’s Discussion and Analysis of Financial Condition and Results of Operations and in Note 3 – Summary of Significant Accounting Policies, included in our Annual Report on Form 10-K for the year ended December 31, 2023, which are essential to understanding Management’s Discussion and Analysis of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but Not Adopted as of September 30, 2024</w:t>
      </w:r>
    </w:p>
    <w:p>
      <w:pPr>
        <w:sectPr>
          <w:pgSz w:w="11900" w:h="16838" w:orient="portrait"/>
          <w:cols w:equalWidth="0" w:num="1">
            <w:col w:w="11240"/>
          </w:cols>
          <w:pgMar w:left="320" w:top="1089" w:right="339" w:bottom="1440" w:gutter="0" w:footer="0" w:header="0"/>
        </w:sectPr>
      </w:pPr>
    </w:p>
    <w:p>
      <w:pPr>
        <w:spacing w:after="0" w:line="38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1217295"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1217295" cy="8890"/>
                    </a:xfrm>
                    <a:prstGeom prst="rect">
                      <a:avLst/>
                    </a:prstGeom>
                    <a:noFill/>
                  </pic:spPr>
                </pic:pic>
              </a:graphicData>
            </a:graphic>
          </wp:anchor>
        </w:drawing>
      </w:r>
    </w:p>
    <w:p>
      <w:pPr>
        <w:spacing w:after="0" w:line="10" w:lineRule="exact"/>
        <w:rPr>
          <w:sz w:val="20"/>
          <w:szCs w:val="20"/>
          <w:color w:val="auto"/>
        </w:rPr>
      </w:pPr>
    </w:p>
    <w:p>
      <w:pPr>
        <w:ind w:left="20"/>
        <w:spacing w:after="0" w:line="241" w:lineRule="auto"/>
        <w:rPr>
          <w:sz w:val="20"/>
          <w:szCs w:val="20"/>
          <w:color w:val="auto"/>
        </w:rPr>
      </w:pPr>
      <w:r>
        <w:rPr>
          <w:rFonts w:ascii="Times New Roman" w:cs="Times New Roman" w:eastAsia="Times New Roman" w:hAnsi="Times New Roman"/>
          <w:sz w:val="14"/>
          <w:szCs w:val="14"/>
          <w:color w:val="auto"/>
        </w:rPr>
        <w:t>ASU 2023-09 Income Taxes (Topic 740): Improvements to Income Tax Disclosures</w:t>
      </w:r>
    </w:p>
    <w:p>
      <w:pPr>
        <w:spacing w:after="0" w:line="1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Issued December 2023</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4560" w:type="dxa"/>
            <w:vAlign w:val="bottom"/>
            <w:vMerge w:val="restart"/>
          </w:tcPr>
          <w:p>
            <w:pPr>
              <w:ind w:left="19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Adoption</w:t>
            </w:r>
          </w:p>
        </w:tc>
        <w:tc>
          <w:tcPr>
            <w:tcW w:w="3660" w:type="dxa"/>
            <w:vAlign w:val="bottom"/>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Impact on Financial Statements</w:t>
            </w:r>
          </w:p>
        </w:tc>
        <w:tc>
          <w:tcPr>
            <w:tcW w:w="0" w:type="dxa"/>
            <w:vAlign w:val="bottom"/>
          </w:tcPr>
          <w:p>
            <w:pPr>
              <w:spacing w:after="0"/>
              <w:rPr>
                <w:sz w:val="1"/>
                <w:szCs w:val="1"/>
                <w:color w:val="auto"/>
              </w:rPr>
            </w:pPr>
          </w:p>
        </w:tc>
      </w:tr>
      <w:tr>
        <w:trPr>
          <w:trHeight w:val="187"/>
        </w:trPr>
        <w:tc>
          <w:tcPr>
            <w:tcW w:w="456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Timing</w:t>
            </w:r>
          </w:p>
        </w:tc>
        <w:tc>
          <w:tcPr>
            <w:tcW w:w="3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560" w:type="dxa"/>
            <w:vAlign w:val="bottom"/>
          </w:tcPr>
          <w:p>
            <w:pPr>
              <w:ind w:left="20"/>
              <w:spacing w:after="0" w:line="133" w:lineRule="exact"/>
              <w:rPr>
                <w:sz w:val="20"/>
                <w:szCs w:val="20"/>
                <w:color w:val="auto"/>
              </w:rPr>
            </w:pPr>
            <w:r>
              <w:rPr>
                <w:rFonts w:ascii="Times New Roman" w:cs="Times New Roman" w:eastAsia="Times New Roman" w:hAnsi="Times New Roman"/>
                <w:sz w:val="14"/>
                <w:szCs w:val="14"/>
                <w:color w:val="auto"/>
              </w:rPr>
              <w:t>On December 14, 2023, the FASB issued ASU 2023-09 Income Taxes (Topic</w:t>
            </w:r>
          </w:p>
        </w:tc>
        <w:tc>
          <w:tcPr>
            <w:tcW w:w="140" w:type="dxa"/>
            <w:vAlign w:val="bottom"/>
          </w:tcPr>
          <w:p>
            <w:pPr>
              <w:spacing w:after="0"/>
              <w:rPr>
                <w:sz w:val="11"/>
                <w:szCs w:val="11"/>
                <w:color w:val="auto"/>
              </w:rPr>
            </w:pPr>
          </w:p>
        </w:tc>
        <w:tc>
          <w:tcPr>
            <w:tcW w:w="82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color w:val="auto"/>
              </w:rPr>
              <w:t>1st Quarter</w:t>
            </w:r>
          </w:p>
        </w:tc>
        <w:tc>
          <w:tcPr>
            <w:tcW w:w="3660" w:type="dxa"/>
            <w:vAlign w:val="bottom"/>
          </w:tcPr>
          <w:p>
            <w:pPr>
              <w:ind w:left="120"/>
              <w:spacing w:after="0" w:line="133" w:lineRule="exact"/>
              <w:rPr>
                <w:sz w:val="20"/>
                <w:szCs w:val="20"/>
                <w:color w:val="auto"/>
              </w:rPr>
            </w:pPr>
            <w:r>
              <w:rPr>
                <w:rFonts w:ascii="Times New Roman" w:cs="Times New Roman" w:eastAsia="Times New Roman" w:hAnsi="Times New Roman"/>
                <w:sz w:val="14"/>
                <w:szCs w:val="14"/>
                <w:color w:val="auto"/>
              </w:rPr>
              <w:t>The adoption of this ASU is not expected to have a material</w:t>
            </w:r>
          </w:p>
        </w:tc>
        <w:tc>
          <w:tcPr>
            <w:tcW w:w="0" w:type="dxa"/>
            <w:vAlign w:val="bottom"/>
          </w:tcPr>
          <w:p>
            <w:pPr>
              <w:spacing w:after="0"/>
              <w:rPr>
                <w:sz w:val="1"/>
                <w:szCs w:val="1"/>
                <w:color w:val="auto"/>
              </w:rPr>
            </w:pPr>
          </w:p>
        </w:tc>
      </w:tr>
      <w:tr>
        <w:trPr>
          <w:trHeight w:val="149"/>
        </w:trPr>
        <w:tc>
          <w:tcPr>
            <w:tcW w:w="4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740) - Improvements to Income Tax Disclosures. This ASU enhances annual</w:t>
            </w:r>
          </w:p>
        </w:tc>
        <w:tc>
          <w:tcPr>
            <w:tcW w:w="960" w:type="dxa"/>
            <w:vAlign w:val="bottom"/>
            <w:gridSpan w:val="2"/>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w w:val="99"/>
              </w:rPr>
              <w:t>2025</w:t>
            </w:r>
          </w:p>
        </w:tc>
        <w:tc>
          <w:tcPr>
            <w:tcW w:w="36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impact on our consolidated financial statements.</w:t>
            </w:r>
          </w:p>
        </w:tc>
        <w:tc>
          <w:tcPr>
            <w:tcW w:w="0" w:type="dxa"/>
            <w:vAlign w:val="bottom"/>
          </w:tcPr>
          <w:p>
            <w:pPr>
              <w:spacing w:after="0"/>
              <w:rPr>
                <w:sz w:val="1"/>
                <w:szCs w:val="1"/>
                <w:color w:val="auto"/>
              </w:rPr>
            </w:pPr>
          </w:p>
        </w:tc>
      </w:tr>
      <w:tr>
        <w:trPr>
          <w:trHeight w:val="148"/>
        </w:trPr>
        <w:tc>
          <w:tcPr>
            <w:tcW w:w="4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income tax disclosures to address investor requests for more detailed</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information about tax risks and improved transparency of income tax</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disclosures. The two primary enhancements disaggregate existing income tax</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disclosures related to the effective tax rate reconciliation and information on</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income taxes paid disaggregated by jurisdiction. This ASU is effective for</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annual reporting periods beginning after December 15, 2024 and are to be</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applied on a prospective basis; early adoption is permitted.</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-1302385</wp:posOffset>
            </wp:positionH>
            <wp:positionV relativeFrom="paragraph">
              <wp:posOffset>109220</wp:posOffset>
            </wp:positionV>
            <wp:extent cx="7132320"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40" w:space="320"/>
            <w:col w:w="9180"/>
          </w:cols>
          <w:pgMar w:left="320" w:top="1089" w:right="339" w:bottom="1440" w:gutter="0" w:footer="0" w:header="0"/>
          <w:type w:val="continuous"/>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40" w:name="page41"/>
    <w:bookmarkEnd w:id="4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80" w:firstLine="469"/>
        <w:spacing w:after="0" w:line="258" w:lineRule="auto"/>
        <w:rPr>
          <w:sz w:val="20"/>
          <w:szCs w:val="20"/>
          <w:color w:val="auto"/>
        </w:rPr>
      </w:pPr>
      <w:r>
        <w:rPr>
          <w:rFonts w:ascii="Times New Roman" w:cs="Times New Roman" w:eastAsia="Times New Roman" w:hAnsi="Times New Roman"/>
          <w:sz w:val="18"/>
          <w:szCs w:val="18"/>
          <w:color w:val="auto"/>
        </w:rPr>
        <w:t>For the third quarter of 2024, we reported net earnings of $51.2 million, compared with $50.0 million for the second quarter of 2024 and $57.9 million for the third quarter of 2023. Diluted earnings per share were $0.37 for the third quarter, compared to $0.36 for the prior quarter and $0.42 for the same period last year. Net income of $51.2 million for the third quarter of 2024 produced an annualized return on average equity (“ROAE”) of 9.40%, an annualized return on average tangible common equity (“ROATCE”) of 14.93%, and an annualized return on average assets (“ROAA”) of 1.23%. Our net interest margin, tax equivalent (“NIM”), was 3.05% for the third quarter of 2024, while our efficiency ratio was 46.53%.</w:t>
      </w:r>
    </w:p>
    <w:p>
      <w:pPr>
        <w:spacing w:after="0" w:line="183" w:lineRule="exact"/>
        <w:rPr>
          <w:sz w:val="20"/>
          <w:szCs w:val="20"/>
          <w:color w:val="auto"/>
        </w:rPr>
      </w:pPr>
    </w:p>
    <w:p>
      <w:pPr>
        <w:ind w:right="20" w:firstLine="469"/>
        <w:spacing w:after="0" w:line="258" w:lineRule="auto"/>
        <w:rPr>
          <w:sz w:val="20"/>
          <w:szCs w:val="20"/>
          <w:color w:val="auto"/>
        </w:rPr>
      </w:pPr>
      <w:r>
        <w:rPr>
          <w:rFonts w:ascii="Times New Roman" w:cs="Times New Roman" w:eastAsia="Times New Roman" w:hAnsi="Times New Roman"/>
          <w:sz w:val="18"/>
          <w:szCs w:val="18"/>
          <w:color w:val="auto"/>
        </w:rPr>
        <w:t>Net interest income was $113.6 million for the third quarter of 2024. This represented a $2.8 million, or 2.50%, increase from the second quarter of 2024, and a $9.8 million, or 7.90%, decrease from the third quarter of 2023. The quarter-over-quarter increase in net interest income was primarily due to a $7.0 million increase in interest income resulting from a $513 million average increase in our interest-earning balances due from the Federal Reserve, partially offset by a $3.8 million increase in interest on deposits. The decline in net interest income compared to the third quarter of 2023 was primarily due to a 26 basis point decline in net interest margin.</w:t>
      </w:r>
    </w:p>
    <w:p>
      <w:pPr>
        <w:spacing w:after="0" w:line="183" w:lineRule="exact"/>
        <w:rPr>
          <w:sz w:val="20"/>
          <w:szCs w:val="20"/>
          <w:color w:val="auto"/>
        </w:rPr>
      </w:pPr>
    </w:p>
    <w:p>
      <w:pPr>
        <w:ind w:firstLine="469"/>
        <w:spacing w:after="0" w:line="254" w:lineRule="auto"/>
        <w:rPr>
          <w:sz w:val="20"/>
          <w:szCs w:val="20"/>
          <w:color w:val="auto"/>
        </w:rPr>
      </w:pPr>
      <w:r>
        <w:rPr>
          <w:rFonts w:ascii="Times New Roman" w:cs="Times New Roman" w:eastAsia="Times New Roman" w:hAnsi="Times New Roman"/>
          <w:sz w:val="18"/>
          <w:szCs w:val="18"/>
          <w:color w:val="auto"/>
        </w:rPr>
        <w:t>Noninterest income was $12.8 million for the third quarter of 2024, compared with $14.4 million for the second quarter of 2024 and $14.3 million for the third quarter of 2023. During the third quarter of 2024, the Bank executed sale-leaseback transactions with the sale of two buildings, which operate as Banking Centers, and were simultaneously leased back, resulting in a pre-tax net gain of $9.1 million. The gains on selling the buildings were offset by realizing a pre-tax net loss of $11.6 million on the sale of $312 million of AFS securities. Third quarter income from Bank Owned Life Insurance (“BOLI”) increased by $557,000 from the second quarter of 2024 and increased by $2 million compared to the third quarter of 2023. We recognized $320,000 in death benefits that exceeded the asset value on certain policies in the third quarter of 2024, compared to no death benefits in the second quarter of 2024 and no death benefits in the third quarter of 2023. The year-over-year increase of $2 million in BOLI income was primarily due to the restructuring and enhancements in BOLI policies during the fourth quarter of 2023.</w:t>
      </w:r>
    </w:p>
    <w:p>
      <w:pPr>
        <w:spacing w:after="0" w:line="192" w:lineRule="exact"/>
        <w:rPr>
          <w:sz w:val="20"/>
          <w:szCs w:val="20"/>
          <w:color w:val="auto"/>
        </w:rPr>
      </w:pPr>
    </w:p>
    <w:p>
      <w:pPr>
        <w:ind w:right="20" w:firstLine="469"/>
        <w:spacing w:after="0" w:line="254" w:lineRule="auto"/>
        <w:rPr>
          <w:sz w:val="20"/>
          <w:szCs w:val="20"/>
          <w:color w:val="auto"/>
        </w:rPr>
      </w:pPr>
      <w:r>
        <w:rPr>
          <w:rFonts w:ascii="Times New Roman" w:cs="Times New Roman" w:eastAsia="Times New Roman" w:hAnsi="Times New Roman"/>
          <w:sz w:val="18"/>
          <w:szCs w:val="18"/>
          <w:color w:val="auto"/>
        </w:rPr>
        <w:t>Noninterest expense for the third quarter of 2024 was $58.8 million, compared to $56.5 million for the second quarter of 2024 and $55.0 million for the third quarter of 2023. The $2.3 million quarter-over-quarter increase included a $1.2 million increase in staff related expense, as annual salary increases took effect in July. The $690,000 quarter-over-quarter increase in regulatory assessments was due to the $700,000 accrual adjustment in the second quarter of 2024 related the FDIC special assessment. There was a $750,000 recapture of provision for unfunded loan commitments in the third quarter of 2024, compared to a $500,000 recapture of provision in the second quarter of 2024 and $900,000 recaptured in the third quarter of 2023. The $3.8 million increase in noninterest expense for the third quarter of 2024 compared to the third quarter of 2023 included increased staff related expenses of $1.9 million, or 5.48%. Compared to the third quarter of 2023, professional services increased $738,000, including a $627,000 increase in legal expense, and occupancy and equipment expense increased by $586,000.</w:t>
      </w:r>
    </w:p>
    <w:p>
      <w:pPr>
        <w:spacing w:after="0" w:line="192" w:lineRule="exact"/>
        <w:rPr>
          <w:sz w:val="20"/>
          <w:szCs w:val="20"/>
          <w:color w:val="auto"/>
        </w:rPr>
      </w:pPr>
    </w:p>
    <w:p>
      <w:pPr>
        <w:ind w:right="200" w:firstLine="469"/>
        <w:spacing w:after="0" w:line="261" w:lineRule="auto"/>
        <w:rPr>
          <w:sz w:val="20"/>
          <w:szCs w:val="20"/>
          <w:color w:val="auto"/>
        </w:rPr>
      </w:pPr>
      <w:r>
        <w:rPr>
          <w:rFonts w:ascii="Times New Roman" w:cs="Times New Roman" w:eastAsia="Times New Roman" w:hAnsi="Times New Roman"/>
          <w:sz w:val="18"/>
          <w:szCs w:val="18"/>
          <w:color w:val="auto"/>
        </w:rPr>
        <w:t>At September 30, 2024, total assets of $15.40 billion decreased by $617.8 million, or 3.86%, from total assets of $16.02 billion at December 31, 2023. Interest-earning assets of $13.74 billion at September 30, 2024 decreased by $723.2 million, or 5.0%, when compared with $14.46 billion at December 31, 2023. The decrease in interest-earning assets was primarily due to a $549.9 million decrease in investment securities, and a $328.4 million decrease in net loans, partially offset by a $142.9 million increase in interest-earning balances due from the Federal Reserve.</w:t>
      </w:r>
    </w:p>
    <w:p>
      <w:pPr>
        <w:spacing w:after="0" w:line="180" w:lineRule="exact"/>
        <w:rPr>
          <w:sz w:val="20"/>
          <w:szCs w:val="20"/>
          <w:color w:val="auto"/>
        </w:rPr>
      </w:pPr>
    </w:p>
    <w:p>
      <w:pPr>
        <w:ind w:right="40" w:firstLine="469"/>
        <w:spacing w:after="0" w:line="261" w:lineRule="auto"/>
        <w:rPr>
          <w:sz w:val="20"/>
          <w:szCs w:val="20"/>
          <w:color w:val="auto"/>
        </w:rPr>
      </w:pPr>
      <w:r>
        <w:rPr>
          <w:rFonts w:ascii="Times New Roman" w:cs="Times New Roman" w:eastAsia="Times New Roman" w:hAnsi="Times New Roman"/>
          <w:sz w:val="18"/>
          <w:szCs w:val="18"/>
          <w:color w:val="auto"/>
        </w:rPr>
        <w:t>During the third quarter of 2024, the Bank executed sale-leaseback transactions with the sale of two buildings, that are utilized as Banking Centers, for an aggregate sale price of $17 million. The Bank simultaneously entered into lease agreements with the respective purchasers for initial terms of 15 and 18 years. These sale-leaseback transactions resulted in a pre-tax net gain of $9.1 million for the third quarter of 2024. The Bank also recorded Right of Use (“ROU”) assets and corresponding operating lease liabilities each totaling $11.2 million.</w:t>
      </w:r>
    </w:p>
    <w:p>
      <w:pPr>
        <w:spacing w:after="0" w:line="18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Total investment securities were $4.87 billion at September 30, 2024, a decrease of $549.9 million, or 10.14%, from $5.42 billion at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 At September 30, 2024, investment securities held-to-maturity (“HTM”) totaled $2.41 billion, a $59.4 million, or 2.41%, decline from December 31,</w:t>
      </w:r>
    </w:p>
    <w:p>
      <w:pPr>
        <w:spacing w:after="0" w:line="9"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2023. At September 30, 2024, investment securities available-for-sale (“AFS”) totaled $2.47 billion, inclusive of a pre-tax net unrealized loss of $367.7 million. AFS securities decreased by $490.5 million, or 16.59%, from $2.96 billion at December 31, 2023, including the impact of the sale of $312 million of AFS securities, during the third quarter of 2024. The sale of these securities resulted in a net pre-tax loss of $11.6 million. The pre-tax unrealized loss declined by $82.1 million from December 31, 2023. Fair value hedges in which $1 billion notional pay-fixed interest rate swaps with maturities ranging from 2027 to 2028, wherein the Company pays a weighted average fixed rate of approximately 3.8% and receives daily SOFR, had a fair value totaling</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41" w:name="page42"/>
    <w:bookmarkEnd w:id="41"/>
    <w:p>
      <w:pPr>
        <w:ind w:right="180"/>
        <w:spacing w:after="0" w:line="266" w:lineRule="auto"/>
        <w:rPr>
          <w:sz w:val="20"/>
          <w:szCs w:val="20"/>
          <w:color w:val="auto"/>
        </w:rPr>
      </w:pPr>
      <w:r>
        <w:rPr>
          <w:rFonts w:ascii="Times New Roman" w:cs="Times New Roman" w:eastAsia="Times New Roman" w:hAnsi="Times New Roman"/>
          <w:sz w:val="18"/>
          <w:szCs w:val="18"/>
          <w:color w:val="auto"/>
        </w:rPr>
        <w:t>$15.0 million and were reflected as a liability at September 30, 2024. The fair value of these pay fixed interest rate swaps decreased by $8.0 million from December 31, 2023. Our tax equivalent yield on investments was 2.67% for the quarter ended September 30, 2024, compared to 2.71% for the second quarter of 2024 and 2.64% for the third quarter of 2023.</w:t>
      </w:r>
    </w:p>
    <w:p>
      <w:pPr>
        <w:spacing w:after="0" w:line="176" w:lineRule="exact"/>
        <w:rPr>
          <w:sz w:val="20"/>
          <w:szCs w:val="20"/>
          <w:color w:val="auto"/>
        </w:rPr>
      </w:pPr>
    </w:p>
    <w:p>
      <w:pPr>
        <w:ind w:right="80" w:firstLine="469"/>
        <w:spacing w:after="0" w:line="256" w:lineRule="auto"/>
        <w:rPr>
          <w:sz w:val="20"/>
          <w:szCs w:val="20"/>
          <w:color w:val="auto"/>
        </w:rPr>
      </w:pPr>
      <w:r>
        <w:rPr>
          <w:rFonts w:ascii="Times New Roman" w:cs="Times New Roman" w:eastAsia="Times New Roman" w:hAnsi="Times New Roman"/>
          <w:sz w:val="18"/>
          <w:szCs w:val="18"/>
          <w:color w:val="auto"/>
        </w:rPr>
        <w:t>Total loans and leases, at amortized cost, of $8.57 billion at September 30, 2024, decreased by $332.3 million, or 3.73%, from December 31, 2023. The decrease in total loans included decreases of $165.9 million in commercial real estate loans, $70.5 million in dairy &amp; livestock and agribusiness loans, $52.0 million in construction loans, and $33.4 million in commercial and industrial loans. The decline in dairy &amp; livestock loans primarily relates to the seasonal peak in line utilization at the end of every calendar year, demonstrated by a decline in utilization from 80% at December 31, 2023 to 71% at September 30, 2024. Our yield on loans was 5.31% for the quarter ended September 30, 2024, compared to 5.26% for the quarter ended June 30, 2024 and 5.07% for the third quarter of 2023.</w:t>
      </w:r>
    </w:p>
    <w:p>
      <w:pPr>
        <w:spacing w:after="0" w:line="187" w:lineRule="exact"/>
        <w:rPr>
          <w:sz w:val="20"/>
          <w:szCs w:val="20"/>
          <w:color w:val="auto"/>
        </w:rPr>
      </w:pPr>
    </w:p>
    <w:p>
      <w:pPr>
        <w:ind w:right="320" w:firstLine="469"/>
        <w:spacing w:after="0" w:line="266" w:lineRule="auto"/>
        <w:rPr>
          <w:sz w:val="20"/>
          <w:szCs w:val="20"/>
          <w:color w:val="auto"/>
        </w:rPr>
      </w:pPr>
      <w:r>
        <w:rPr>
          <w:rFonts w:ascii="Times New Roman" w:cs="Times New Roman" w:eastAsia="Times New Roman" w:hAnsi="Times New Roman"/>
          <w:sz w:val="18"/>
          <w:szCs w:val="18"/>
          <w:color w:val="auto"/>
        </w:rPr>
        <w:t>The allowance for credit losses totaled $82.9 million at September 30, 2024, compared to $86.8 million at December 31, 2023. There was no provision for credit losses in the first three quarters of 2024. The decline in the allowance was due to $4 million of net charge-offs in the first quarter of 2024, primarily due to two borrowers in which specific loan loss reserves were previously established in 2023.</w:t>
      </w:r>
    </w:p>
    <w:p>
      <w:pPr>
        <w:spacing w:after="0" w:line="176" w:lineRule="exact"/>
        <w:rPr>
          <w:sz w:val="20"/>
          <w:szCs w:val="20"/>
          <w:color w:val="auto"/>
        </w:rPr>
      </w:pPr>
    </w:p>
    <w:p>
      <w:pPr>
        <w:ind w:right="300" w:firstLine="469"/>
        <w:spacing w:after="0" w:line="312" w:lineRule="auto"/>
        <w:rPr>
          <w:sz w:val="20"/>
          <w:szCs w:val="20"/>
          <w:color w:val="auto"/>
        </w:rPr>
      </w:pPr>
      <w:r>
        <w:rPr>
          <w:rFonts w:ascii="Times New Roman" w:cs="Times New Roman" w:eastAsia="Times New Roman" w:hAnsi="Times New Roman"/>
          <w:sz w:val="17"/>
          <w:szCs w:val="17"/>
          <w:color w:val="auto"/>
        </w:rPr>
        <w:t>Noninterest-bearing deposits were $7.14 billion at September 30, 2024, a decrease of $69.4 million, or 0.96%, when compared to $7.21 billion at December 31, 2023. At September 30, 2024, noninterest-bearing deposits were 59.12% of total deposits, compared to 63.03% at December 31, 2023.</w:t>
      </w:r>
    </w:p>
    <w:p>
      <w:pPr>
        <w:spacing w:after="0" w:line="140" w:lineRule="exact"/>
        <w:rPr>
          <w:sz w:val="20"/>
          <w:szCs w:val="20"/>
          <w:color w:val="auto"/>
        </w:rPr>
      </w:pPr>
    </w:p>
    <w:p>
      <w:pPr>
        <w:ind w:right="40" w:firstLine="469"/>
        <w:spacing w:after="0" w:line="256" w:lineRule="auto"/>
        <w:rPr>
          <w:sz w:val="20"/>
          <w:szCs w:val="20"/>
          <w:color w:val="auto"/>
        </w:rPr>
      </w:pPr>
      <w:r>
        <w:rPr>
          <w:rFonts w:ascii="Times New Roman" w:cs="Times New Roman" w:eastAsia="Times New Roman" w:hAnsi="Times New Roman"/>
          <w:sz w:val="18"/>
          <w:szCs w:val="18"/>
          <w:color w:val="auto"/>
        </w:rPr>
        <w:t>Interest-bearing deposits were $4.94 billion at September 30, 2024, an increase of $708.2 million, or 16.75%, when compared to $4.23 billion at December 31, 2023. The increase in interest-bearing deposits included $400 million in new brokered time deposits issued during the first quarter of 2024. These brokered time deposits mature every 90 days. $300 million of these time deposits were combined with $300 million in cash flow hedges during the first quarter of 2024, resulting in a fixed rate of approximately 4.2%. Customer repurchase agreements totaled $394.5 million at September 30, 2024, compared to $271.6 million at December 31, 2023. Our average cost of total deposits including customer repurchase agreements was 1.01% for the quarter ended September 30, 2024, compared to 0.87% for the quarter ended June 30, 2024 and 0.51% for the third quarter of 2023.</w:t>
      </w:r>
    </w:p>
    <w:p>
      <w:pPr>
        <w:spacing w:after="0" w:line="187" w:lineRule="exact"/>
        <w:rPr>
          <w:sz w:val="20"/>
          <w:szCs w:val="20"/>
          <w:color w:val="auto"/>
        </w:rPr>
      </w:pPr>
    </w:p>
    <w:p>
      <w:pPr>
        <w:ind w:firstLine="464"/>
        <w:spacing w:after="0" w:line="261" w:lineRule="auto"/>
        <w:rPr>
          <w:sz w:val="20"/>
          <w:szCs w:val="20"/>
          <w:color w:val="auto"/>
        </w:rPr>
      </w:pPr>
      <w:r>
        <w:rPr>
          <w:rFonts w:ascii="Times New Roman" w:cs="Times New Roman" w:eastAsia="Times New Roman" w:hAnsi="Times New Roman"/>
          <w:sz w:val="18"/>
          <w:szCs w:val="18"/>
          <w:color w:val="auto"/>
        </w:rPr>
        <w:t>At September 30, 2024, total borrowings consisted of $500 million of FHLB advances. The FHLB advances include maturities of $300 million, at an average cost of approximately 4.73%, maturing in May of 2026, and $200 million, at a cost of 4.27% maturing in May of 2027. During the third quarter of 2024, we repaid $1.3 billion of borrowings from the Federal Reserve’s Bank Term Funding Program, with a cost of 4.76%, that were scheduled to mature in January of 2025.</w:t>
      </w:r>
    </w:p>
    <w:p>
      <w:pPr>
        <w:spacing w:after="0" w:line="180" w:lineRule="exact"/>
        <w:rPr>
          <w:sz w:val="20"/>
          <w:szCs w:val="20"/>
          <w:color w:val="auto"/>
        </w:rPr>
      </w:pPr>
    </w:p>
    <w:p>
      <w:pPr>
        <w:ind w:right="60" w:firstLine="464"/>
        <w:spacing w:after="0" w:line="281" w:lineRule="auto"/>
        <w:rPr>
          <w:sz w:val="20"/>
          <w:szCs w:val="20"/>
          <w:color w:val="auto"/>
        </w:rPr>
      </w:pPr>
      <w:r>
        <w:rPr>
          <w:rFonts w:ascii="Times New Roman" w:cs="Times New Roman" w:eastAsia="Times New Roman" w:hAnsi="Times New Roman"/>
          <w:sz w:val="17"/>
          <w:szCs w:val="17"/>
          <w:color w:val="auto"/>
        </w:rPr>
        <w:t>The Company’s total equity was $2.20 billion at September 30, 2024. This represented an overall increase of $119.9 million from total equity of $2.08 billion at December 31, 2023. Increases to equity included $149.9 million in net earnings and a $48.7 million increase in other comprehensive income from the tax effected impact of the net increase in market value of available-for-sale securities, that were partially offset by $83.9 million in cash dividends. We engaged in no stock repurchases during the first nine months of 2024. Our tangible book value per share at September 30, 2024 was $10.17.</w:t>
      </w:r>
    </w:p>
    <w:p>
      <w:pPr>
        <w:spacing w:after="0" w:line="164" w:lineRule="exact"/>
        <w:rPr>
          <w:sz w:val="20"/>
          <w:szCs w:val="20"/>
          <w:color w:val="auto"/>
        </w:rPr>
      </w:pPr>
    </w:p>
    <w:p>
      <w:pPr>
        <w:ind w:right="20" w:firstLine="469"/>
        <w:spacing w:after="0" w:line="257" w:lineRule="auto"/>
        <w:rPr>
          <w:sz w:val="20"/>
          <w:szCs w:val="20"/>
          <w:color w:val="auto"/>
        </w:rPr>
      </w:pPr>
      <w:r>
        <w:rPr>
          <w:rFonts w:ascii="Times New Roman" w:cs="Times New Roman" w:eastAsia="Times New Roman" w:hAnsi="Times New Roman"/>
          <w:sz w:val="18"/>
          <w:szCs w:val="18"/>
          <w:color w:val="auto"/>
        </w:rPr>
        <w:t xml:space="preserve">Our capital ratios under the revised capital framework referred to as Basel III remain well-above regulatory requirements. As of September 30, 2024, the Company’s Tier 1 leverage capital ratio was 10.60%, common equity Tier 1 ratio was 15.77%, Tier 1 risk-based capital ratio was 15.77%, and total risk-based capital ratio was 16.59%. Refer to our </w:t>
      </w:r>
      <w:r>
        <w:rPr>
          <w:rFonts w:ascii="Times New Roman" w:cs="Times New Roman" w:eastAsia="Times New Roman" w:hAnsi="Times New Roman"/>
          <w:sz w:val="18"/>
          <w:szCs w:val="18"/>
          <w:i w:val="1"/>
          <w:iCs w:val="1"/>
          <w:color w:val="auto"/>
        </w:rPr>
        <w:t>Analysis of Financial Condition – Capital Resources</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2" w:name="page43"/>
    <w:bookmarkEnd w:id="4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ANALYSIS OF THE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Performance</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320" w:type="dxa"/>
            <w:vAlign w:val="bottom"/>
            <w:gridSpan w:val="5"/>
          </w:tcPr>
          <w:p>
            <w:pPr>
              <w:jc w:val="right"/>
              <w:ind w:right="11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19"/>
                <w:szCs w:val="19"/>
                <w:color w:val="auto"/>
              </w:rPr>
            </w:pPr>
          </w:p>
        </w:tc>
        <w:tc>
          <w:tcPr>
            <w:tcW w:w="1400" w:type="dxa"/>
            <w:vAlign w:val="bottom"/>
            <w:gridSpan w:val="3"/>
          </w:tcPr>
          <w:p>
            <w:pPr>
              <w:ind w:left="640"/>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2"/>
        </w:trPr>
        <w:tc>
          <w:tcPr>
            <w:tcW w:w="5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gridSpan w:val="2"/>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40"/>
        </w:trPr>
        <w:tc>
          <w:tcPr>
            <w:tcW w:w="5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2"/>
        </w:trPr>
        <w:tc>
          <w:tcPr>
            <w:tcW w:w="5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20" w:type="dxa"/>
            <w:vAlign w:val="bottom"/>
            <w:gridSpan w:val="9"/>
          </w:tcPr>
          <w:p>
            <w:pPr>
              <w:ind w:left="1220"/>
              <w:spacing w:after="0"/>
              <w:rPr>
                <w:sz w:val="20"/>
                <w:szCs w:val="20"/>
                <w:color w:val="auto"/>
              </w:rPr>
            </w:pPr>
            <w:r>
              <w:rPr>
                <w:rFonts w:ascii="Times New Roman" w:cs="Times New Roman" w:eastAsia="Times New Roman" w:hAnsi="Times New Roman"/>
                <w:sz w:val="16"/>
                <w:szCs w:val="16"/>
                <w:i w:val="1"/>
                <w:iCs w:val="1"/>
                <w:color w:val="auto"/>
              </w:rPr>
              <w:t>(Dollars in thousands, except per share amounts)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7"/>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interest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113,619</w:t>
            </w:r>
          </w:p>
        </w:tc>
        <w:tc>
          <w:tcPr>
            <w:tcW w:w="32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110,849</w:t>
            </w:r>
          </w:p>
        </w:tc>
        <w:tc>
          <w:tcPr>
            <w:tcW w:w="28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2,770</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2.50 %</w:t>
            </w: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180" w:type="dxa"/>
            <w:vAlign w:val="bottom"/>
          </w:tcPr>
          <w:p>
            <w:pPr>
              <w:spacing w:after="0"/>
              <w:rPr>
                <w:sz w:val="19"/>
                <w:szCs w:val="19"/>
                <w:color w:val="auto"/>
              </w:rPr>
            </w:pPr>
          </w:p>
        </w:tc>
        <w:tc>
          <w:tcPr>
            <w:tcW w:w="168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400" w:type="dxa"/>
            <w:vAlign w:val="bottom"/>
            <w:gridSpan w:val="3"/>
          </w:tcPr>
          <w:p>
            <w:pPr>
              <w:jc w:val="right"/>
              <w:ind w:right="6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Noninterest income</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12,834</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14,424</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(1,590 )</w:t>
            </w:r>
          </w:p>
        </w:tc>
        <w:tc>
          <w:tcPr>
            <w:tcW w:w="36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-11.02 %</w:t>
            </w: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Noninterest expense</w:t>
            </w:r>
          </w:p>
        </w:tc>
        <w:tc>
          <w:tcPr>
            <w:tcW w:w="180" w:type="dxa"/>
            <w:vAlign w:val="bottom"/>
          </w:tcPr>
          <w:p>
            <w:pPr>
              <w:spacing w:after="0"/>
              <w:rPr>
                <w:sz w:val="19"/>
                <w:szCs w:val="19"/>
                <w:color w:val="auto"/>
              </w:rPr>
            </w:pPr>
          </w:p>
        </w:tc>
        <w:tc>
          <w:tcPr>
            <w:tcW w:w="16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(58,835 )</w:t>
            </w:r>
          </w:p>
        </w:tc>
        <w:tc>
          <w:tcPr>
            <w:tcW w:w="240" w:type="dxa"/>
            <w:vAlign w:val="bottom"/>
          </w:tcPr>
          <w:p>
            <w:pPr>
              <w:spacing w:after="0"/>
              <w:rPr>
                <w:sz w:val="19"/>
                <w:szCs w:val="19"/>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(56,497 )</w:t>
            </w:r>
          </w:p>
        </w:tc>
        <w:tc>
          <w:tcPr>
            <w:tcW w:w="3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(2,338 )</w:t>
            </w:r>
          </w:p>
        </w:tc>
        <w:tc>
          <w:tcPr>
            <w:tcW w:w="36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-4.14 %</w:t>
            </w:r>
          </w:p>
        </w:tc>
      </w:tr>
      <w:tr>
        <w:trPr>
          <w:trHeight w:val="246"/>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taxes</w:t>
            </w:r>
          </w:p>
        </w:tc>
        <w:tc>
          <w:tcPr>
            <w:tcW w:w="180" w:type="dxa"/>
            <w:vAlign w:val="bottom"/>
          </w:tcPr>
          <w:p>
            <w:pPr>
              <w:spacing w:after="0"/>
              <w:rPr>
                <w:sz w:val="21"/>
                <w:szCs w:val="21"/>
                <w:color w:val="auto"/>
              </w:rPr>
            </w:pPr>
          </w:p>
        </w:tc>
        <w:tc>
          <w:tcPr>
            <w:tcW w:w="16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(16,394 )</w:t>
            </w:r>
          </w:p>
        </w:tc>
        <w:tc>
          <w:tcPr>
            <w:tcW w:w="24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(18,741 )</w:t>
            </w: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2,347</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12.52 %</w:t>
            </w:r>
          </w:p>
        </w:tc>
      </w:tr>
      <w:tr>
        <w:trPr>
          <w:trHeight w:val="226"/>
        </w:trPr>
        <w:tc>
          <w:tcPr>
            <w:tcW w:w="5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earnings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51,224</w:t>
            </w:r>
          </w:p>
        </w:tc>
        <w:tc>
          <w:tcPr>
            <w:tcW w:w="3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50,035</w:t>
            </w:r>
          </w:p>
        </w:tc>
        <w:tc>
          <w:tcPr>
            <w:tcW w:w="2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1,189</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2.38 %</w:t>
            </w:r>
          </w:p>
        </w:tc>
      </w:tr>
      <w:tr>
        <w:trPr>
          <w:trHeight w:val="20"/>
        </w:trPr>
        <w:tc>
          <w:tcPr>
            <w:tcW w:w="5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Earnings per common share:</w:t>
            </w: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20"/>
        </w:trPr>
        <w:tc>
          <w:tcPr>
            <w:tcW w:w="5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0.37</w:t>
            </w:r>
          </w:p>
        </w:tc>
        <w:tc>
          <w:tcPr>
            <w:tcW w:w="32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0.36</w:t>
            </w:r>
          </w:p>
        </w:tc>
        <w:tc>
          <w:tcPr>
            <w:tcW w:w="28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9"/>
        </w:trPr>
        <w:tc>
          <w:tcPr>
            <w:tcW w:w="51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0.37</w:t>
            </w:r>
          </w:p>
        </w:tc>
        <w:tc>
          <w:tcPr>
            <w:tcW w:w="3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0.36</w:t>
            </w: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20"/>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Return on average assets</w:t>
            </w:r>
          </w:p>
        </w:tc>
        <w:tc>
          <w:tcPr>
            <w:tcW w:w="180" w:type="dxa"/>
            <w:vAlign w:val="bottom"/>
          </w:tcPr>
          <w:p>
            <w:pPr>
              <w:spacing w:after="0"/>
              <w:rPr>
                <w:sz w:val="19"/>
                <w:szCs w:val="19"/>
                <w:color w:val="auto"/>
              </w:rPr>
            </w:pP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1.23 %</w:t>
            </w:r>
          </w:p>
        </w:tc>
        <w:tc>
          <w:tcPr>
            <w:tcW w:w="240" w:type="dxa"/>
            <w:vAlign w:val="bottom"/>
          </w:tcPr>
          <w:p>
            <w:pPr>
              <w:spacing w:after="0"/>
              <w:rPr>
                <w:sz w:val="19"/>
                <w:szCs w:val="19"/>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1.24 %</w:t>
            </w:r>
          </w:p>
        </w:tc>
        <w:tc>
          <w:tcPr>
            <w:tcW w:w="30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-0.01 %</w:t>
            </w: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9"/>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Return on average shareholders' equity</w:t>
            </w:r>
          </w:p>
        </w:tc>
        <w:tc>
          <w:tcPr>
            <w:tcW w:w="180" w:type="dxa"/>
            <w:vAlign w:val="bottom"/>
            <w:shd w:val="clear" w:color="auto" w:fill="CFF0FC"/>
          </w:tcPr>
          <w:p>
            <w:pPr>
              <w:spacing w:after="0"/>
              <w:rPr>
                <w:sz w:val="20"/>
                <w:szCs w:val="20"/>
                <w:color w:val="auto"/>
              </w:rPr>
            </w:pPr>
          </w:p>
        </w:tc>
        <w:tc>
          <w:tcPr>
            <w:tcW w:w="16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9.40 %</w:t>
            </w:r>
          </w:p>
        </w:tc>
        <w:tc>
          <w:tcPr>
            <w:tcW w:w="24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9.57 %</w:t>
            </w:r>
          </w:p>
        </w:tc>
        <w:tc>
          <w:tcPr>
            <w:tcW w:w="3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-0.17 %</w:t>
            </w:r>
          </w:p>
        </w:tc>
        <w:tc>
          <w:tcPr>
            <w:tcW w:w="3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20"/>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Efficiency ratio</w:t>
            </w:r>
          </w:p>
        </w:tc>
        <w:tc>
          <w:tcPr>
            <w:tcW w:w="180" w:type="dxa"/>
            <w:vAlign w:val="bottom"/>
          </w:tcPr>
          <w:p>
            <w:pPr>
              <w:spacing w:after="0"/>
              <w:rPr>
                <w:sz w:val="19"/>
                <w:szCs w:val="19"/>
                <w:color w:val="auto"/>
              </w:rPr>
            </w:pP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46.53 %</w:t>
            </w:r>
          </w:p>
        </w:tc>
        <w:tc>
          <w:tcPr>
            <w:tcW w:w="240" w:type="dxa"/>
            <w:vAlign w:val="bottom"/>
          </w:tcPr>
          <w:p>
            <w:pPr>
              <w:spacing w:after="0"/>
              <w:rPr>
                <w:sz w:val="19"/>
                <w:szCs w:val="19"/>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45.10 %</w:t>
            </w:r>
          </w:p>
        </w:tc>
        <w:tc>
          <w:tcPr>
            <w:tcW w:w="30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1.43 %</w:t>
            </w: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9"/>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Noninterest expense to average assets</w:t>
            </w:r>
          </w:p>
        </w:tc>
        <w:tc>
          <w:tcPr>
            <w:tcW w:w="180" w:type="dxa"/>
            <w:vAlign w:val="bottom"/>
            <w:shd w:val="clear" w:color="auto" w:fill="CFF0FC"/>
          </w:tcPr>
          <w:p>
            <w:pPr>
              <w:spacing w:after="0"/>
              <w:rPr>
                <w:sz w:val="20"/>
                <w:szCs w:val="20"/>
                <w:color w:val="auto"/>
              </w:rPr>
            </w:pPr>
          </w:p>
        </w:tc>
        <w:tc>
          <w:tcPr>
            <w:tcW w:w="16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1.42 %</w:t>
            </w:r>
          </w:p>
        </w:tc>
        <w:tc>
          <w:tcPr>
            <w:tcW w:w="24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1.40 %</w:t>
            </w:r>
          </w:p>
        </w:tc>
        <w:tc>
          <w:tcPr>
            <w:tcW w:w="3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0.02 %</w:t>
            </w:r>
          </w:p>
        </w:tc>
        <w:tc>
          <w:tcPr>
            <w:tcW w:w="3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-1928495</wp:posOffset>
            </wp:positionV>
            <wp:extent cx="7132320" cy="14605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-1636395</wp:posOffset>
            </wp:positionV>
            <wp:extent cx="7132320" cy="14605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-1344930</wp:posOffset>
            </wp:positionV>
            <wp:extent cx="7132320" cy="15430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43"/>
        </w:trPr>
        <w:tc>
          <w:tcPr>
            <w:tcW w:w="51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gridSpan w:val="3"/>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6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23"/>
        </w:trPr>
        <w:tc>
          <w:tcPr>
            <w:tcW w:w="51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2"/>
        </w:trPr>
        <w:tc>
          <w:tcPr>
            <w:tcW w:w="5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60" w:type="dxa"/>
            <w:vAlign w:val="bottom"/>
            <w:gridSpan w:val="9"/>
          </w:tcPr>
          <w:p>
            <w:pPr>
              <w:ind w:left="1060"/>
              <w:spacing w:after="0"/>
              <w:rPr>
                <w:sz w:val="20"/>
                <w:szCs w:val="20"/>
                <w:color w:val="auto"/>
              </w:rPr>
            </w:pPr>
            <w:r>
              <w:rPr>
                <w:rFonts w:ascii="Times New Roman" w:cs="Times New Roman" w:eastAsia="Times New Roman" w:hAnsi="Times New Roman"/>
                <w:sz w:val="16"/>
                <w:szCs w:val="16"/>
                <w:i w:val="1"/>
                <w:iCs w:val="1"/>
                <w:color w:val="auto"/>
              </w:rPr>
              <w:t>(Dollars in thousands, except per share amounts)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7"/>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interest income</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113,619</w:t>
            </w:r>
          </w:p>
        </w:tc>
        <w:tc>
          <w:tcPr>
            <w:tcW w:w="320" w:type="dxa"/>
            <w:vAlign w:val="bottom"/>
          </w:tcPr>
          <w:p>
            <w:pPr>
              <w:spacing w:after="0"/>
              <w:rPr>
                <w:sz w:val="19"/>
                <w:szCs w:val="19"/>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123,371</w:t>
            </w:r>
          </w:p>
        </w:tc>
        <w:tc>
          <w:tcPr>
            <w:tcW w:w="28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(9,752 )</w:t>
            </w:r>
          </w:p>
        </w:tc>
        <w:tc>
          <w:tcPr>
            <w:tcW w:w="36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-7.90 %</w:t>
            </w: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340" w:type="dxa"/>
            <w:vAlign w:val="bottom"/>
          </w:tcPr>
          <w:p>
            <w:pPr>
              <w:spacing w:after="0"/>
              <w:rPr>
                <w:sz w:val="19"/>
                <w:szCs w:val="19"/>
                <w:color w:val="auto"/>
              </w:rPr>
            </w:pPr>
          </w:p>
        </w:tc>
        <w:tc>
          <w:tcPr>
            <w:tcW w:w="15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(2,000 )</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100.00 %</w:t>
            </w: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Noninterest income</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12,834</w:t>
            </w: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14,309</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(1,475 )</w:t>
            </w:r>
          </w:p>
        </w:tc>
        <w:tc>
          <w:tcPr>
            <w:tcW w:w="36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-10.31 %</w:t>
            </w: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Noninterest expense</w:t>
            </w:r>
          </w:p>
        </w:tc>
        <w:tc>
          <w:tcPr>
            <w:tcW w:w="340" w:type="dxa"/>
            <w:vAlign w:val="bottom"/>
          </w:tcPr>
          <w:p>
            <w:pPr>
              <w:spacing w:after="0"/>
              <w:rPr>
                <w:sz w:val="19"/>
                <w:szCs w:val="19"/>
                <w:color w:val="auto"/>
              </w:rPr>
            </w:pPr>
          </w:p>
        </w:tc>
        <w:tc>
          <w:tcPr>
            <w:tcW w:w="15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(58,835 )</w:t>
            </w:r>
          </w:p>
        </w:tc>
        <w:tc>
          <w:tcPr>
            <w:tcW w:w="5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(55,058 )</w:t>
            </w:r>
          </w:p>
        </w:tc>
        <w:tc>
          <w:tcPr>
            <w:tcW w:w="3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(3,777 )</w:t>
            </w:r>
          </w:p>
        </w:tc>
        <w:tc>
          <w:tcPr>
            <w:tcW w:w="36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-6.86 %</w:t>
            </w:r>
          </w:p>
        </w:tc>
      </w:tr>
      <w:tr>
        <w:trPr>
          <w:trHeight w:val="246"/>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taxes</w:t>
            </w:r>
          </w:p>
        </w:tc>
        <w:tc>
          <w:tcPr>
            <w:tcW w:w="340" w:type="dxa"/>
            <w:vAlign w:val="bottom"/>
          </w:tcPr>
          <w:p>
            <w:pPr>
              <w:spacing w:after="0"/>
              <w:rPr>
                <w:sz w:val="21"/>
                <w:szCs w:val="21"/>
                <w:color w:val="auto"/>
              </w:rPr>
            </w:pPr>
          </w:p>
        </w:tc>
        <w:tc>
          <w:tcPr>
            <w:tcW w:w="15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(16,394 )</w:t>
            </w:r>
          </w:p>
        </w:tc>
        <w:tc>
          <w:tcPr>
            <w:tcW w:w="50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(22,735 )</w:t>
            </w: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6,341</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27.89 %</w:t>
            </w:r>
          </w:p>
        </w:tc>
      </w:tr>
      <w:tr>
        <w:trPr>
          <w:trHeight w:val="20"/>
        </w:trPr>
        <w:tc>
          <w:tcPr>
            <w:tcW w:w="5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6"/>
        </w:trPr>
        <w:tc>
          <w:tcPr>
            <w:tcW w:w="5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earnings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51,224</w:t>
            </w:r>
          </w:p>
        </w:tc>
        <w:tc>
          <w:tcPr>
            <w:tcW w:w="320" w:type="dxa"/>
            <w:vAlign w:val="bottom"/>
          </w:tcPr>
          <w:p>
            <w:pPr>
              <w:spacing w:after="0"/>
              <w:rPr>
                <w:sz w:val="19"/>
                <w:szCs w:val="19"/>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57,887</w:t>
            </w:r>
          </w:p>
        </w:tc>
        <w:tc>
          <w:tcPr>
            <w:tcW w:w="28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(6,663 )</w:t>
            </w:r>
          </w:p>
        </w:tc>
        <w:tc>
          <w:tcPr>
            <w:tcW w:w="36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-11.51 %</w:t>
            </w:r>
          </w:p>
        </w:tc>
      </w:tr>
      <w:tr>
        <w:trPr>
          <w:trHeight w:val="20"/>
        </w:trPr>
        <w:tc>
          <w:tcPr>
            <w:tcW w:w="5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Earnings per common share:</w:t>
            </w: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20"/>
        </w:trPr>
        <w:tc>
          <w:tcPr>
            <w:tcW w:w="5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0.37</w:t>
            </w:r>
          </w:p>
        </w:tc>
        <w:tc>
          <w:tcPr>
            <w:tcW w:w="320" w:type="dxa"/>
            <w:vAlign w:val="bottom"/>
          </w:tcPr>
          <w:p>
            <w:pPr>
              <w:spacing w:after="0"/>
              <w:rPr>
                <w:sz w:val="19"/>
                <w:szCs w:val="19"/>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0.42</w:t>
            </w:r>
          </w:p>
        </w:tc>
        <w:tc>
          <w:tcPr>
            <w:tcW w:w="28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(0.05 )</w:t>
            </w: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9"/>
        </w:trPr>
        <w:tc>
          <w:tcPr>
            <w:tcW w:w="51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34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0.37</w:t>
            </w:r>
          </w:p>
        </w:tc>
        <w:tc>
          <w:tcPr>
            <w:tcW w:w="320" w:type="dxa"/>
            <w:vAlign w:val="bottom"/>
            <w:shd w:val="clear" w:color="auto" w:fill="CFF0FC"/>
          </w:tcPr>
          <w:p>
            <w:pPr>
              <w:spacing w:after="0"/>
              <w:rPr>
                <w:sz w:val="20"/>
                <w:szCs w:val="20"/>
                <w:color w:val="auto"/>
              </w:rPr>
            </w:pPr>
          </w:p>
        </w:tc>
        <w:tc>
          <w:tcPr>
            <w:tcW w:w="500" w:type="dxa"/>
            <w:vAlign w:val="bottom"/>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0.42</w:t>
            </w: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(0.05 )</w:t>
            </w:r>
          </w:p>
        </w:tc>
        <w:tc>
          <w:tcPr>
            <w:tcW w:w="3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20"/>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Return on average assets</w:t>
            </w:r>
          </w:p>
        </w:tc>
        <w:tc>
          <w:tcPr>
            <w:tcW w:w="3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1.23 %</w:t>
            </w:r>
          </w:p>
        </w:tc>
        <w:tc>
          <w:tcPr>
            <w:tcW w:w="5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1.40 %</w:t>
            </w:r>
          </w:p>
        </w:tc>
        <w:tc>
          <w:tcPr>
            <w:tcW w:w="30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-0.17 %</w:t>
            </w: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9"/>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Return on average shareholders' equity</w:t>
            </w:r>
          </w:p>
        </w:tc>
        <w:tc>
          <w:tcPr>
            <w:tcW w:w="34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9.40 %</w:t>
            </w:r>
          </w:p>
        </w:tc>
        <w:tc>
          <w:tcPr>
            <w:tcW w:w="5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11.33 %</w:t>
            </w:r>
          </w:p>
        </w:tc>
        <w:tc>
          <w:tcPr>
            <w:tcW w:w="3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-1.93 %</w:t>
            </w:r>
          </w:p>
        </w:tc>
        <w:tc>
          <w:tcPr>
            <w:tcW w:w="3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20"/>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Efficiency ratio</w:t>
            </w:r>
          </w:p>
        </w:tc>
        <w:tc>
          <w:tcPr>
            <w:tcW w:w="3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46.53 %</w:t>
            </w:r>
          </w:p>
        </w:tc>
        <w:tc>
          <w:tcPr>
            <w:tcW w:w="5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39.99 %</w:t>
            </w:r>
          </w:p>
        </w:tc>
        <w:tc>
          <w:tcPr>
            <w:tcW w:w="30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6.54 %</w:t>
            </w: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9"/>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Noninterest expense to average assets</w:t>
            </w:r>
          </w:p>
        </w:tc>
        <w:tc>
          <w:tcPr>
            <w:tcW w:w="34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1.42 %</w:t>
            </w:r>
          </w:p>
        </w:tc>
        <w:tc>
          <w:tcPr>
            <w:tcW w:w="5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1.33 %</w:t>
            </w:r>
          </w:p>
        </w:tc>
        <w:tc>
          <w:tcPr>
            <w:tcW w:w="3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0.09 %</w:t>
            </w:r>
          </w:p>
        </w:tc>
        <w:tc>
          <w:tcPr>
            <w:tcW w:w="3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-1927860</wp:posOffset>
            </wp:positionV>
            <wp:extent cx="7132320" cy="14541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-1636395</wp:posOffset>
            </wp:positionV>
            <wp:extent cx="7132320" cy="14605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-1344930</wp:posOffset>
            </wp:positionV>
            <wp:extent cx="7132320" cy="15430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43"/>
        </w:trPr>
        <w:tc>
          <w:tcPr>
            <w:tcW w:w="51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gridSpan w:val="3"/>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8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23"/>
        </w:trPr>
        <w:tc>
          <w:tcPr>
            <w:tcW w:w="51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2"/>
        </w:trPr>
        <w:tc>
          <w:tcPr>
            <w:tcW w:w="5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60" w:type="dxa"/>
            <w:vAlign w:val="bottom"/>
            <w:gridSpan w:val="9"/>
          </w:tcPr>
          <w:p>
            <w:pPr>
              <w:ind w:left="1060"/>
              <w:spacing w:after="0"/>
              <w:rPr>
                <w:sz w:val="20"/>
                <w:szCs w:val="20"/>
                <w:color w:val="auto"/>
              </w:rPr>
            </w:pPr>
            <w:r>
              <w:rPr>
                <w:rFonts w:ascii="Times New Roman" w:cs="Times New Roman" w:eastAsia="Times New Roman" w:hAnsi="Times New Roman"/>
                <w:sz w:val="16"/>
                <w:szCs w:val="16"/>
                <w:i w:val="1"/>
                <w:iCs w:val="1"/>
                <w:color w:val="auto"/>
              </w:rPr>
              <w:t>(Dollars in thousands, except per share amounts)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7"/>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interest income</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336,929</w:t>
            </w:r>
          </w:p>
        </w:tc>
        <w:tc>
          <w:tcPr>
            <w:tcW w:w="320" w:type="dxa"/>
            <w:vAlign w:val="bottom"/>
          </w:tcPr>
          <w:p>
            <w:pPr>
              <w:spacing w:after="0"/>
              <w:rPr>
                <w:sz w:val="19"/>
                <w:szCs w:val="19"/>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368,634</w:t>
            </w:r>
          </w:p>
        </w:tc>
        <w:tc>
          <w:tcPr>
            <w:tcW w:w="28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(31,705 )</w:t>
            </w:r>
          </w:p>
        </w:tc>
        <w:tc>
          <w:tcPr>
            <w:tcW w:w="36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-8.60 %</w:t>
            </w: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340" w:type="dxa"/>
            <w:vAlign w:val="bottom"/>
          </w:tcPr>
          <w:p>
            <w:pPr>
              <w:spacing w:after="0"/>
              <w:rPr>
                <w:sz w:val="19"/>
                <w:szCs w:val="19"/>
                <w:color w:val="auto"/>
              </w:rPr>
            </w:pPr>
          </w:p>
        </w:tc>
        <w:tc>
          <w:tcPr>
            <w:tcW w:w="15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(4,000 )</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-100.00 %</w:t>
            </w: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Noninterest income</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41,371</w:t>
            </w: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40,167</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1,204</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3.00 %</w:t>
            </w: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Noninterest expense</w:t>
            </w:r>
          </w:p>
        </w:tc>
        <w:tc>
          <w:tcPr>
            <w:tcW w:w="340" w:type="dxa"/>
            <w:vAlign w:val="bottom"/>
          </w:tcPr>
          <w:p>
            <w:pPr>
              <w:spacing w:after="0"/>
              <w:rPr>
                <w:sz w:val="19"/>
                <w:szCs w:val="19"/>
                <w:color w:val="auto"/>
              </w:rPr>
            </w:pPr>
          </w:p>
        </w:tc>
        <w:tc>
          <w:tcPr>
            <w:tcW w:w="15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(175,103 )</w:t>
            </w:r>
          </w:p>
        </w:tc>
        <w:tc>
          <w:tcPr>
            <w:tcW w:w="4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(163,956 )</w:t>
            </w:r>
          </w:p>
        </w:tc>
        <w:tc>
          <w:tcPr>
            <w:tcW w:w="3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(11,147 )</w:t>
            </w:r>
          </w:p>
        </w:tc>
        <w:tc>
          <w:tcPr>
            <w:tcW w:w="36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-6.80 %</w:t>
            </w:r>
          </w:p>
        </w:tc>
      </w:tr>
      <w:tr>
        <w:trPr>
          <w:trHeight w:val="246"/>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taxes</w:t>
            </w:r>
          </w:p>
        </w:tc>
        <w:tc>
          <w:tcPr>
            <w:tcW w:w="340" w:type="dxa"/>
            <w:vAlign w:val="bottom"/>
          </w:tcPr>
          <w:p>
            <w:pPr>
              <w:spacing w:after="0"/>
              <w:rPr>
                <w:sz w:val="21"/>
                <w:szCs w:val="21"/>
                <w:color w:val="auto"/>
              </w:rPr>
            </w:pPr>
          </w:p>
        </w:tc>
        <w:tc>
          <w:tcPr>
            <w:tcW w:w="15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(53,339 )</w:t>
            </w:r>
          </w:p>
        </w:tc>
        <w:tc>
          <w:tcPr>
            <w:tcW w:w="4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(67,918 )</w:t>
            </w: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14,579</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21.47 %</w:t>
            </w:r>
          </w:p>
        </w:tc>
      </w:tr>
      <w:tr>
        <w:trPr>
          <w:trHeight w:val="20"/>
        </w:trPr>
        <w:tc>
          <w:tcPr>
            <w:tcW w:w="5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6"/>
        </w:trPr>
        <w:tc>
          <w:tcPr>
            <w:tcW w:w="5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earnings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149,858</w:t>
            </w:r>
          </w:p>
        </w:tc>
        <w:tc>
          <w:tcPr>
            <w:tcW w:w="320" w:type="dxa"/>
            <w:vAlign w:val="bottom"/>
          </w:tcPr>
          <w:p>
            <w:pPr>
              <w:spacing w:after="0"/>
              <w:rPr>
                <w:sz w:val="19"/>
                <w:szCs w:val="19"/>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172,927</w:t>
            </w:r>
          </w:p>
        </w:tc>
        <w:tc>
          <w:tcPr>
            <w:tcW w:w="28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(23,069 )</w:t>
            </w:r>
          </w:p>
        </w:tc>
        <w:tc>
          <w:tcPr>
            <w:tcW w:w="36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-13.34 %</w:t>
            </w:r>
          </w:p>
        </w:tc>
      </w:tr>
      <w:tr>
        <w:trPr>
          <w:trHeight w:val="20"/>
        </w:trPr>
        <w:tc>
          <w:tcPr>
            <w:tcW w:w="5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Earnings per common share:</w:t>
            </w: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20"/>
        </w:trPr>
        <w:tc>
          <w:tcPr>
            <w:tcW w:w="5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320" w:type="dxa"/>
            <w:vAlign w:val="bottom"/>
          </w:tcPr>
          <w:p>
            <w:pPr>
              <w:spacing w:after="0"/>
              <w:rPr>
                <w:sz w:val="19"/>
                <w:szCs w:val="19"/>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28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(0.17 )</w:t>
            </w: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9"/>
        </w:trPr>
        <w:tc>
          <w:tcPr>
            <w:tcW w:w="51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34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320" w:type="dxa"/>
            <w:vAlign w:val="bottom"/>
            <w:shd w:val="clear" w:color="auto" w:fill="CFF0FC"/>
          </w:tcPr>
          <w:p>
            <w:pPr>
              <w:spacing w:after="0"/>
              <w:rPr>
                <w:sz w:val="20"/>
                <w:szCs w:val="20"/>
                <w:color w:val="auto"/>
              </w:rPr>
            </w:pPr>
          </w:p>
        </w:tc>
        <w:tc>
          <w:tcPr>
            <w:tcW w:w="480" w:type="dxa"/>
            <w:vAlign w:val="bottom"/>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(0.17 )</w:t>
            </w:r>
          </w:p>
        </w:tc>
        <w:tc>
          <w:tcPr>
            <w:tcW w:w="3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20"/>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Return on average assets</w:t>
            </w:r>
          </w:p>
        </w:tc>
        <w:tc>
          <w:tcPr>
            <w:tcW w:w="3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1.23 %</w:t>
            </w:r>
          </w:p>
        </w:tc>
        <w:tc>
          <w:tcPr>
            <w:tcW w:w="48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1.41 %</w:t>
            </w:r>
          </w:p>
        </w:tc>
        <w:tc>
          <w:tcPr>
            <w:tcW w:w="30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-0.18 %</w:t>
            </w: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9"/>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Return on average shareholders' equity</w:t>
            </w:r>
          </w:p>
        </w:tc>
        <w:tc>
          <w:tcPr>
            <w:tcW w:w="34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9.43 %</w:t>
            </w:r>
          </w:p>
        </w:tc>
        <w:tc>
          <w:tcPr>
            <w:tcW w:w="48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11.50 %</w:t>
            </w:r>
          </w:p>
        </w:tc>
        <w:tc>
          <w:tcPr>
            <w:tcW w:w="3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-2.07 %</w:t>
            </w:r>
          </w:p>
        </w:tc>
        <w:tc>
          <w:tcPr>
            <w:tcW w:w="3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20"/>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Efficiency ratio</w:t>
            </w:r>
          </w:p>
        </w:tc>
        <w:tc>
          <w:tcPr>
            <w:tcW w:w="3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46.29 %</w:t>
            </w:r>
          </w:p>
        </w:tc>
        <w:tc>
          <w:tcPr>
            <w:tcW w:w="48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40.11 %</w:t>
            </w:r>
          </w:p>
        </w:tc>
        <w:tc>
          <w:tcPr>
            <w:tcW w:w="30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6.18 %</w:t>
            </w: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9"/>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Noninterest expense to average assets</w:t>
            </w:r>
          </w:p>
        </w:tc>
        <w:tc>
          <w:tcPr>
            <w:tcW w:w="34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1.43 %</w:t>
            </w:r>
          </w:p>
        </w:tc>
        <w:tc>
          <w:tcPr>
            <w:tcW w:w="48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1.34 %</w:t>
            </w:r>
          </w:p>
        </w:tc>
        <w:tc>
          <w:tcPr>
            <w:tcW w:w="3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0.09 %</w:t>
            </w:r>
          </w:p>
        </w:tc>
        <w:tc>
          <w:tcPr>
            <w:tcW w:w="3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-1928495</wp:posOffset>
            </wp:positionV>
            <wp:extent cx="7132320" cy="14605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-1636395</wp:posOffset>
            </wp:positionV>
            <wp:extent cx="7132320" cy="14541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-1344930</wp:posOffset>
            </wp:positionV>
            <wp:extent cx="7132320" cy="15430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1089" w:right="2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Return on Average Tangible Common Equity Reconciliation (Non-GAAP)</w:t>
      </w:r>
    </w:p>
    <w:p>
      <w:pPr>
        <w:spacing w:after="0" w:line="229" w:lineRule="exact"/>
        <w:rPr>
          <w:sz w:val="20"/>
          <w:szCs w:val="20"/>
          <w:color w:val="auto"/>
        </w:rPr>
      </w:pPr>
    </w:p>
    <w:p>
      <w:pPr>
        <w:ind w:right="20" w:firstLine="469"/>
        <w:spacing w:after="0" w:line="261" w:lineRule="auto"/>
        <w:rPr>
          <w:sz w:val="20"/>
          <w:szCs w:val="20"/>
          <w:color w:val="auto"/>
        </w:rPr>
      </w:pPr>
      <w:r>
        <w:rPr>
          <w:rFonts w:ascii="Times New Roman" w:cs="Times New Roman" w:eastAsia="Times New Roman" w:hAnsi="Times New Roman"/>
          <w:sz w:val="18"/>
          <w:szCs w:val="18"/>
          <w:color w:val="auto"/>
        </w:rPr>
        <w:t>The return on average tangible common equity is a non-GAAP disclosure. The Company uses certain non-GAAP financial measures to provide supplemental information regarding the Company's performance. The following is a reconciliation of net income, adjusted for tax-effected amortization of intangibles, to net income computed in accordance with GAAP, a reconciliation of average tangible common equity to the Company's average stockholders' equity computed in accordance with GAAP, as well as a calculation of return on average tangible common equity.</w:t>
      </w:r>
    </w:p>
    <w:p>
      <w:pPr>
        <w:spacing w:after="0" w:line="187" w:lineRule="exact"/>
        <w:rPr>
          <w:sz w:val="20"/>
          <w:szCs w:val="20"/>
          <w:color w:val="auto"/>
        </w:rPr>
      </w:pPr>
    </w:p>
    <w:tbl>
      <w:tblPr>
        <w:tblLayout w:type="fixed"/>
        <w:tblInd w:w="80" w:type="dxa"/>
        <w:tblCellMar>
          <w:top w:w="0" w:type="dxa"/>
          <w:left w:w="0" w:type="dxa"/>
          <w:bottom w:w="0" w:type="dxa"/>
          <w:right w:w="0" w:type="dxa"/>
        </w:tblCellMar>
      </w:tblPr>
      <w:tr>
        <w:trPr>
          <w:trHeight w:val="187"/>
        </w:trPr>
        <w:tc>
          <w:tcPr>
            <w:tcW w:w="4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40" w:type="dxa"/>
            <w:vAlign w:val="bottom"/>
            <w:gridSpan w:val="4"/>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40" w:type="dxa"/>
            <w:vAlign w:val="bottom"/>
            <w:gridSpan w:val="6"/>
          </w:tcPr>
          <w:p>
            <w:pPr>
              <w:ind w:left="4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58"/>
        </w:trPr>
        <w:tc>
          <w:tcPr>
            <w:tcW w:w="42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gridSpan w:val="2"/>
          </w:tcPr>
          <w:p>
            <w:pPr>
              <w:jc w:val="right"/>
              <w:ind w:right="428"/>
              <w:spacing w:after="0" w:line="158"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jc w:val="right"/>
              <w:ind w:right="488"/>
              <w:spacing w:after="0" w:line="158"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48"/>
              <w:spacing w:after="0" w:line="158"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2"/>
          </w:tcPr>
          <w:p>
            <w:pPr>
              <w:jc w:val="right"/>
              <w:ind w:right="380"/>
              <w:spacing w:after="0" w:line="158"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40" w:type="dxa"/>
            <w:vAlign w:val="bottom"/>
            <w:tcBorders>
              <w:top w:val="single" w:sz="8" w:color="auto"/>
            </w:tcBorders>
            <w:gridSpan w:val="2"/>
          </w:tcPr>
          <w:p>
            <w:pPr>
              <w:jc w:val="right"/>
              <w:ind w:right="8"/>
              <w:spacing w:after="0" w:line="158"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Income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51,224</w:t>
            </w:r>
          </w:p>
        </w:tc>
        <w:tc>
          <w:tcPr>
            <w:tcW w:w="28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50,035</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57,887</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149,858</w:t>
            </w: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172,927</w:t>
            </w: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Add: Amortization of intangible assets</w:t>
            </w: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1,286</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1,437</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1,567</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4,161</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Less: Tax effect of amortization of intangible assets [1]</w:t>
            </w:r>
          </w:p>
        </w:tc>
        <w:tc>
          <w:tcPr>
            <w:tcW w:w="14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(380 )</w:t>
            </w:r>
          </w:p>
        </w:tc>
        <w:tc>
          <w:tcPr>
            <w:tcW w:w="18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(425 )</w:t>
            </w:r>
          </w:p>
        </w:tc>
        <w:tc>
          <w:tcPr>
            <w:tcW w:w="10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(463 )</w:t>
            </w:r>
          </w:p>
        </w:tc>
        <w:tc>
          <w:tcPr>
            <w:tcW w:w="1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(1,230 )</w:t>
            </w:r>
          </w:p>
        </w:tc>
        <w:tc>
          <w:tcPr>
            <w:tcW w:w="22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(1,480 )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260" w:type="dxa"/>
            <w:vAlign w:val="bottom"/>
            <w:tcBorders>
              <w:top w:val="single" w:sz="8" w:color="CFF0FC"/>
            </w:tcBorders>
          </w:tcPr>
          <w:p>
            <w:pPr>
              <w:ind w:left="360"/>
              <w:spacing w:after="0" w:line="155" w:lineRule="exact"/>
              <w:rPr>
                <w:sz w:val="20"/>
                <w:szCs w:val="20"/>
                <w:color w:val="auto"/>
              </w:rPr>
            </w:pPr>
            <w:r>
              <w:rPr>
                <w:rFonts w:ascii="Times New Roman" w:cs="Times New Roman" w:eastAsia="Times New Roman" w:hAnsi="Times New Roman"/>
                <w:sz w:val="14"/>
                <w:szCs w:val="14"/>
                <w:color w:val="auto"/>
              </w:rPr>
              <w:t>Tangible net income</w:t>
            </w: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52,130</w:t>
            </w:r>
          </w:p>
        </w:tc>
        <w:tc>
          <w:tcPr>
            <w:tcW w:w="280" w:type="dxa"/>
            <w:vAlign w:val="bottom"/>
            <w:tcBorders>
              <w:top w:val="single" w:sz="8" w:color="CFF0FC"/>
            </w:tcBorders>
          </w:tcPr>
          <w:p>
            <w:pPr>
              <w:spacing w:after="0"/>
              <w:rPr>
                <w:sz w:val="14"/>
                <w:szCs w:val="14"/>
                <w:color w:val="auto"/>
              </w:rPr>
            </w:pPr>
          </w:p>
        </w:tc>
        <w:tc>
          <w:tcPr>
            <w:tcW w:w="1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51,047</w:t>
            </w:r>
          </w:p>
        </w:tc>
        <w:tc>
          <w:tcPr>
            <w:tcW w:w="260" w:type="dxa"/>
            <w:vAlign w:val="bottom"/>
            <w:tcBorders>
              <w:top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58,991</w:t>
            </w:r>
          </w:p>
        </w:tc>
        <w:tc>
          <w:tcPr>
            <w:tcW w:w="260" w:type="dxa"/>
            <w:vAlign w:val="bottom"/>
            <w:tcBorders>
              <w:top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152,789</w:t>
            </w:r>
          </w:p>
        </w:tc>
        <w:tc>
          <w:tcPr>
            <w:tcW w:w="260" w:type="dxa"/>
            <w:vAlign w:val="bottom"/>
            <w:tcBorders>
              <w:top w:val="single" w:sz="8" w:color="CFF0FC"/>
            </w:tcBorders>
          </w:tcPr>
          <w:p>
            <w:pPr>
              <w:spacing w:after="0"/>
              <w:rPr>
                <w:sz w:val="14"/>
                <w:szCs w:val="14"/>
                <w:color w:val="auto"/>
              </w:rPr>
            </w:pPr>
          </w:p>
        </w:tc>
        <w:tc>
          <w:tcPr>
            <w:tcW w:w="220" w:type="dxa"/>
            <w:vAlign w:val="bottom"/>
            <w:tcBorders>
              <w:top w:val="single" w:sz="8" w:color="auto"/>
              <w:bottom w:val="single" w:sz="8" w:color="auto"/>
            </w:tcBorders>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176,453</w:t>
            </w:r>
          </w:p>
        </w:tc>
        <w:tc>
          <w:tcPr>
            <w:tcW w:w="100" w:type="dxa"/>
            <w:vAlign w:val="bottom"/>
            <w:tcBorders>
              <w:top w:val="single" w:sz="8" w:color="CFF0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Average stockholders' equity</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2,166,793</w:t>
            </w:r>
          </w:p>
        </w:tc>
        <w:tc>
          <w:tcPr>
            <w:tcW w:w="28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2,102,466</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2,027,030</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2,122,870</w:t>
            </w: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2,011,172</w:t>
            </w: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Less: Average goodwill</w:t>
            </w:r>
          </w:p>
        </w:tc>
        <w:tc>
          <w:tcPr>
            <w:tcW w:w="140" w:type="dxa"/>
            <w:vAlign w:val="bottom"/>
          </w:tcPr>
          <w:p>
            <w:pPr>
              <w:spacing w:after="0"/>
              <w:rPr>
                <w:sz w:val="15"/>
                <w:szCs w:val="15"/>
                <w:color w:val="auto"/>
              </w:rPr>
            </w:pPr>
          </w:p>
        </w:tc>
        <w:tc>
          <w:tcPr>
            <w:tcW w:w="146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(765,822 )</w:t>
            </w:r>
          </w:p>
        </w:tc>
        <w:tc>
          <w:tcPr>
            <w:tcW w:w="180" w:type="dxa"/>
            <w:vAlign w:val="bottom"/>
          </w:tcPr>
          <w:p>
            <w:pPr>
              <w:spacing w:after="0"/>
              <w:rPr>
                <w:sz w:val="15"/>
                <w:szCs w:val="15"/>
                <w:color w:val="auto"/>
              </w:rPr>
            </w:pPr>
          </w:p>
        </w:tc>
        <w:tc>
          <w:tcPr>
            <w:tcW w:w="118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(765,822 )</w:t>
            </w:r>
          </w:p>
        </w:tc>
        <w:tc>
          <w:tcPr>
            <w:tcW w:w="100" w:type="dxa"/>
            <w:vAlign w:val="bottom"/>
          </w:tcPr>
          <w:p>
            <w:pPr>
              <w:spacing w:after="0"/>
              <w:rPr>
                <w:sz w:val="15"/>
                <w:szCs w:val="15"/>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(765,822 )</w:t>
            </w:r>
          </w:p>
        </w:tc>
        <w:tc>
          <w:tcPr>
            <w:tcW w:w="100" w:type="dxa"/>
            <w:vAlign w:val="bottom"/>
          </w:tcPr>
          <w:p>
            <w:pPr>
              <w:spacing w:after="0"/>
              <w:rPr>
                <w:sz w:val="15"/>
                <w:szCs w:val="15"/>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(765,822 )</w:t>
            </w:r>
          </w:p>
        </w:tc>
        <w:tc>
          <w:tcPr>
            <w:tcW w:w="220" w:type="dxa"/>
            <w:vAlign w:val="bottom"/>
          </w:tcPr>
          <w:p>
            <w:pPr>
              <w:spacing w:after="0"/>
              <w:rPr>
                <w:sz w:val="15"/>
                <w:szCs w:val="15"/>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(765,822 )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Less: Average intangible assets</w:t>
            </w:r>
          </w:p>
        </w:tc>
        <w:tc>
          <w:tcPr>
            <w:tcW w:w="14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(11,819 )</w:t>
            </w:r>
          </w:p>
        </w:tc>
        <w:tc>
          <w:tcPr>
            <w:tcW w:w="18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(13,258 )</w:t>
            </w:r>
          </w:p>
        </w:tc>
        <w:tc>
          <w:tcPr>
            <w:tcW w:w="10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(17,526 )</w:t>
            </w:r>
          </w:p>
        </w:tc>
        <w:tc>
          <w:tcPr>
            <w:tcW w:w="1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(13,216 )</w:t>
            </w:r>
          </w:p>
        </w:tc>
        <w:tc>
          <w:tcPr>
            <w:tcW w:w="22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(19,256 )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260" w:type="dxa"/>
            <w:vAlign w:val="bottom"/>
            <w:tcBorders>
              <w:top w:val="single" w:sz="8" w:color="CFF0FC"/>
            </w:tcBorders>
          </w:tcPr>
          <w:p>
            <w:pPr>
              <w:ind w:left="360"/>
              <w:spacing w:after="0" w:line="155" w:lineRule="exact"/>
              <w:rPr>
                <w:sz w:val="20"/>
                <w:szCs w:val="20"/>
                <w:color w:val="auto"/>
              </w:rPr>
            </w:pPr>
            <w:r>
              <w:rPr>
                <w:rFonts w:ascii="Times New Roman" w:cs="Times New Roman" w:eastAsia="Times New Roman" w:hAnsi="Times New Roman"/>
                <w:sz w:val="14"/>
                <w:szCs w:val="14"/>
                <w:color w:val="auto"/>
              </w:rPr>
              <w:t>Average tangible common equity</w:t>
            </w: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1,389,152</w:t>
            </w:r>
          </w:p>
        </w:tc>
        <w:tc>
          <w:tcPr>
            <w:tcW w:w="280" w:type="dxa"/>
            <w:vAlign w:val="bottom"/>
            <w:tcBorders>
              <w:top w:val="single" w:sz="8" w:color="CFF0FC"/>
            </w:tcBorders>
          </w:tcPr>
          <w:p>
            <w:pPr>
              <w:spacing w:after="0"/>
              <w:rPr>
                <w:sz w:val="14"/>
                <w:szCs w:val="14"/>
                <w:color w:val="auto"/>
              </w:rPr>
            </w:pPr>
          </w:p>
        </w:tc>
        <w:tc>
          <w:tcPr>
            <w:tcW w:w="1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1,323,386</w:t>
            </w:r>
          </w:p>
        </w:tc>
        <w:tc>
          <w:tcPr>
            <w:tcW w:w="260" w:type="dxa"/>
            <w:vAlign w:val="bottom"/>
            <w:tcBorders>
              <w:top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1,243,682</w:t>
            </w:r>
          </w:p>
        </w:tc>
        <w:tc>
          <w:tcPr>
            <w:tcW w:w="260" w:type="dxa"/>
            <w:vAlign w:val="bottom"/>
            <w:tcBorders>
              <w:top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1,343,832</w:t>
            </w:r>
          </w:p>
        </w:tc>
        <w:tc>
          <w:tcPr>
            <w:tcW w:w="260" w:type="dxa"/>
            <w:vAlign w:val="bottom"/>
            <w:tcBorders>
              <w:top w:val="single" w:sz="8" w:color="CFF0FC"/>
            </w:tcBorders>
          </w:tcPr>
          <w:p>
            <w:pPr>
              <w:spacing w:after="0"/>
              <w:rPr>
                <w:sz w:val="14"/>
                <w:szCs w:val="14"/>
                <w:color w:val="auto"/>
              </w:rPr>
            </w:pPr>
          </w:p>
        </w:tc>
        <w:tc>
          <w:tcPr>
            <w:tcW w:w="220" w:type="dxa"/>
            <w:vAlign w:val="bottom"/>
            <w:tcBorders>
              <w:top w:val="single" w:sz="8" w:color="auto"/>
              <w:bottom w:val="single" w:sz="8" w:color="auto"/>
            </w:tcBorders>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1,226,094</w:t>
            </w:r>
          </w:p>
        </w:tc>
        <w:tc>
          <w:tcPr>
            <w:tcW w:w="100" w:type="dxa"/>
            <w:vAlign w:val="bottom"/>
            <w:tcBorders>
              <w:top w:val="single" w:sz="8" w:color="CFF0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Return on average equity, annualized [2]</w:t>
            </w:r>
          </w:p>
        </w:tc>
        <w:tc>
          <w:tcPr>
            <w:tcW w:w="14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9.40 %</w:t>
            </w:r>
          </w:p>
        </w:tc>
        <w:tc>
          <w:tcPr>
            <w:tcW w:w="18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9.57 %</w:t>
            </w:r>
          </w:p>
        </w:tc>
        <w:tc>
          <w:tcPr>
            <w:tcW w:w="10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11.33 %</w:t>
            </w:r>
          </w:p>
        </w:tc>
        <w:tc>
          <w:tcPr>
            <w:tcW w:w="1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9.43 %</w:t>
            </w:r>
          </w:p>
        </w:tc>
        <w:tc>
          <w:tcPr>
            <w:tcW w:w="22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11.50 %</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260" w:type="dxa"/>
            <w:vAlign w:val="bottom"/>
          </w:tcPr>
          <w:p>
            <w:pPr>
              <w:spacing w:after="0"/>
              <w:rPr>
                <w:sz w:val="20"/>
                <w:szCs w:val="20"/>
                <w:color w:val="auto"/>
              </w:rPr>
            </w:pPr>
            <w:r>
              <w:rPr>
                <w:rFonts w:ascii="Times New Roman" w:cs="Times New Roman" w:eastAsia="Times New Roman" w:hAnsi="Times New Roman"/>
                <w:sz w:val="14"/>
                <w:szCs w:val="14"/>
                <w:color w:val="auto"/>
              </w:rPr>
              <w:t>Return on average tangible common equity, annualized [2]</w:t>
            </w:r>
          </w:p>
        </w:tc>
        <w:tc>
          <w:tcPr>
            <w:tcW w:w="140" w:type="dxa"/>
            <w:vAlign w:val="bottom"/>
          </w:tcPr>
          <w:p>
            <w:pPr>
              <w:spacing w:after="0"/>
              <w:rPr>
                <w:sz w:val="16"/>
                <w:szCs w:val="16"/>
                <w:color w:val="auto"/>
              </w:rPr>
            </w:pPr>
          </w:p>
        </w:tc>
        <w:tc>
          <w:tcPr>
            <w:tcW w:w="146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14.93 %</w:t>
            </w:r>
          </w:p>
        </w:tc>
        <w:tc>
          <w:tcPr>
            <w:tcW w:w="180" w:type="dxa"/>
            <w:vAlign w:val="bottom"/>
          </w:tcPr>
          <w:p>
            <w:pPr>
              <w:spacing w:after="0"/>
              <w:rPr>
                <w:sz w:val="16"/>
                <w:szCs w:val="16"/>
                <w:color w:val="auto"/>
              </w:rPr>
            </w:pPr>
          </w:p>
        </w:tc>
        <w:tc>
          <w:tcPr>
            <w:tcW w:w="118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15.51 %</w:t>
            </w:r>
          </w:p>
        </w:tc>
        <w:tc>
          <w:tcPr>
            <w:tcW w:w="100" w:type="dxa"/>
            <w:vAlign w:val="bottom"/>
          </w:tcPr>
          <w:p>
            <w:pPr>
              <w:spacing w:after="0"/>
              <w:rPr>
                <w:sz w:val="16"/>
                <w:szCs w:val="16"/>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18.82 %</w:t>
            </w:r>
          </w:p>
        </w:tc>
        <w:tc>
          <w:tcPr>
            <w:tcW w:w="100" w:type="dxa"/>
            <w:vAlign w:val="bottom"/>
          </w:tcPr>
          <w:p>
            <w:pPr>
              <w:spacing w:after="0"/>
              <w:rPr>
                <w:sz w:val="16"/>
                <w:szCs w:val="16"/>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15.19 %</w:t>
            </w:r>
          </w:p>
        </w:tc>
        <w:tc>
          <w:tcPr>
            <w:tcW w:w="22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19.24 %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-1078865</wp:posOffset>
            </wp:positionV>
            <wp:extent cx="76835"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-1078865</wp:posOffset>
            </wp:positionV>
            <wp:extent cx="6858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-1078865</wp:posOffset>
            </wp:positionV>
            <wp:extent cx="6858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-1078865</wp:posOffset>
            </wp:positionV>
            <wp:extent cx="6858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-1078865</wp:posOffset>
            </wp:positionV>
            <wp:extent cx="68580"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-487680</wp:posOffset>
            </wp:positionV>
            <wp:extent cx="76835"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-487680</wp:posOffset>
            </wp:positionV>
            <wp:extent cx="68580"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-487680</wp:posOffset>
            </wp:positionV>
            <wp:extent cx="6858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-487680</wp:posOffset>
            </wp:positionV>
            <wp:extent cx="6858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-487680</wp:posOffset>
            </wp:positionV>
            <wp:extent cx="6858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9" w:lineRule="exact"/>
        <w:rPr>
          <w:sz w:val="20"/>
          <w:szCs w:val="20"/>
          <w:color w:val="auto"/>
        </w:rPr>
      </w:pPr>
    </w:p>
    <w:p>
      <w:pPr>
        <w:ind w:left="1140" w:hanging="383"/>
        <w:spacing w:after="0"/>
        <w:tabs>
          <w:tab w:leader="none" w:pos="11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 effected at respective statutory rates.</w:t>
      </w:r>
    </w:p>
    <w:p>
      <w:pPr>
        <w:spacing w:after="0" w:line="26"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Annualized where applicable.</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Interest Income</w:t>
      </w:r>
    </w:p>
    <w:p>
      <w:pPr>
        <w:spacing w:after="0" w:line="202" w:lineRule="exact"/>
        <w:rPr>
          <w:sz w:val="20"/>
          <w:szCs w:val="20"/>
          <w:color w:val="auto"/>
        </w:rPr>
      </w:pPr>
    </w:p>
    <w:p>
      <w:pPr>
        <w:ind w:firstLine="469"/>
        <w:spacing w:after="0" w:line="253" w:lineRule="auto"/>
        <w:rPr>
          <w:sz w:val="20"/>
          <w:szCs w:val="20"/>
          <w:color w:val="auto"/>
        </w:rPr>
      </w:pPr>
      <w:r>
        <w:rPr>
          <w:rFonts w:ascii="Times New Roman" w:cs="Times New Roman" w:eastAsia="Times New Roman" w:hAnsi="Times New Roman"/>
          <w:sz w:val="18"/>
          <w:szCs w:val="18"/>
          <w:color w:val="auto"/>
        </w:rPr>
        <w:t xml:space="preserve">The principal component of our earnings is net interest income, which is the difference between the interest and fees earned on loans and investments (interest-earning assets) and the interest paid on deposits and borrowed funds (interest-bearing liabilities). Net interest margin is net interest income as a percentage of average interest-earning assets for the period. The level of interest rates and the volume and mix of interest-earning assets and interest-bearing liabilities impact net interest income and net interest margin. The net interest spread is the yield on average interest-earning assets minus the cost of average interest-bearing liabilities. Net interest margin and net interest spread are included on a tax equivalent (TE) basis by adjusting interest income utilizing the federal statutory tax rates of 21% in effect for the three and nine months ended September 30, 2024 and 2023. Our net interest income, interest spread, and net interest margin are sensitive to general business and economic conditions. These conditions include short-term and long-term interest rates, inflation, monetary supply, and the strength of the international, national and state economies, in general, and more specifically, the local economies in which we conduct business. Our ability to manage net interest income during changing interest rate environments will have a significant impact on our overall performance. We manage net interest income through affecting changes in the mix of interest-earning assets as well as the mix of interest-bearing liabilities, changes in the level of interest-bearing liabilities in proportion to interest-earning assets, and in the growth and maturity of earning assets. See Item 2 – </w:t>
      </w:r>
      <w:r>
        <w:rPr>
          <w:rFonts w:ascii="Times New Roman" w:cs="Times New Roman" w:eastAsia="Times New Roman" w:hAnsi="Times New Roman"/>
          <w:sz w:val="18"/>
          <w:szCs w:val="18"/>
          <w:i w:val="1"/>
          <w:iCs w:val="1"/>
          <w:color w:val="auto"/>
        </w:rPr>
        <w:t>Management’s Discussion and Analysis of Financial Condition and Results of Operations – Asset/Liability and Market Risk Management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Interest Rate Sensitivity Management </w:t>
      </w:r>
      <w:r>
        <w:rPr>
          <w:rFonts w:ascii="Times New Roman" w:cs="Times New Roman" w:eastAsia="Times New Roman" w:hAnsi="Times New Roman"/>
          <w:sz w:val="18"/>
          <w:szCs w:val="18"/>
          <w:color w:val="auto"/>
        </w:rPr>
        <w:t>included herein.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4" w:name="page45"/>
    <w:bookmarkEnd w:id="44"/>
    <w:p>
      <w:pPr>
        <w:ind w:right="400" w:firstLine="464"/>
        <w:spacing w:after="0" w:line="266" w:lineRule="auto"/>
        <w:rPr>
          <w:sz w:val="20"/>
          <w:szCs w:val="20"/>
          <w:color w:val="auto"/>
        </w:rPr>
      </w:pPr>
      <w:r>
        <w:rPr>
          <w:rFonts w:ascii="Times New Roman" w:cs="Times New Roman" w:eastAsia="Times New Roman" w:hAnsi="Times New Roman"/>
          <w:sz w:val="18"/>
          <w:szCs w:val="18"/>
          <w:color w:val="auto"/>
        </w:rPr>
        <w:t>The tables below present the interest rate spread, net interest margin and the composition of average interest-earning assets and average interest-bearing liabilities by category for the periods indicated, including the changes in average balance, composition, and average yield/rate between these respective periods.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4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5"/>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4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jc w:val="right"/>
              <w:ind w:right="208"/>
              <w:spacing w:after="0" w:line="158"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Yield/</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right"/>
              <w:ind w:right="208"/>
              <w:spacing w:after="0" w:line="158"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Yield/</w:t>
            </w:r>
          </w:p>
        </w:tc>
        <w:tc>
          <w:tcPr>
            <w:tcW w:w="1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4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40" w:type="dxa"/>
            <w:vAlign w:val="bottom"/>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20" w:type="dxa"/>
            <w:vAlign w:val="bottom"/>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Rate</w:t>
            </w:r>
          </w:p>
        </w:tc>
        <w:tc>
          <w:tcPr>
            <w:tcW w:w="1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40" w:type="dxa"/>
            <w:vAlign w:val="bottom"/>
            <w:gridSpan w:val="4"/>
          </w:tcPr>
          <w:p>
            <w:pPr>
              <w:jc w:val="right"/>
              <w:ind w:right="528"/>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INTEREST-EARNING ASSETS</w:t>
            </w: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Investment securities (1)</w:t>
            </w: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Available-for-sale securities:</w:t>
            </w: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Taxable</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2,637,216</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20,010</w:t>
            </w:r>
          </w:p>
        </w:tc>
        <w:tc>
          <w:tcPr>
            <w:tcW w:w="13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3.03 %</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3,015,614</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22,272</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2.95 %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Tax-advantaged</w:t>
            </w: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24,774</w:t>
            </w: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3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3.25 %</w:t>
            </w:r>
          </w:p>
        </w:tc>
        <w:tc>
          <w:tcPr>
            <w:tcW w:w="18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25,351</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1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3.19 %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Held-to-maturity securities:</w:t>
            </w: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Taxable</w:t>
            </w: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2,046,987</w:t>
            </w: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10,896</w:t>
            </w:r>
          </w:p>
        </w:tc>
        <w:tc>
          <w:tcPr>
            <w:tcW w:w="13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2.13 %</w:t>
            </w:r>
          </w:p>
        </w:tc>
        <w:tc>
          <w:tcPr>
            <w:tcW w:w="18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2,121,571</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11,139</w:t>
            </w:r>
          </w:p>
        </w:tc>
        <w:tc>
          <w:tcPr>
            <w:tcW w:w="11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2.10 %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Tax-advantaged</w:t>
            </w: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371,056</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2,388</w:t>
            </w:r>
          </w:p>
        </w:tc>
        <w:tc>
          <w:tcPr>
            <w:tcW w:w="13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3.11 %</w:t>
            </w: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380,054</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2,437</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3.10 %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Investment in FHLB stock</w:t>
            </w: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18,012</w:t>
            </w: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13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8.28 %</w:t>
            </w:r>
          </w:p>
        </w:tc>
        <w:tc>
          <w:tcPr>
            <w:tcW w:w="18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21,560</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598</w:t>
            </w:r>
          </w:p>
        </w:tc>
        <w:tc>
          <w:tcPr>
            <w:tcW w:w="11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11.00 %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Interest-earning deposits with other institutions</w:t>
            </w: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1,232,551</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16,986</w:t>
            </w:r>
          </w:p>
        </w:tc>
        <w:tc>
          <w:tcPr>
            <w:tcW w:w="13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5.48 %</w:t>
            </w: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473,391</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6,422</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5.38 %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Loans (2)</w:t>
            </w:r>
          </w:p>
        </w:tc>
        <w:tc>
          <w:tcPr>
            <w:tcW w:w="20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8,605,270</w:t>
            </w:r>
          </w:p>
        </w:tc>
        <w:tc>
          <w:tcPr>
            <w:tcW w:w="2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114,929</w:t>
            </w:r>
          </w:p>
        </w:tc>
        <w:tc>
          <w:tcPr>
            <w:tcW w:w="1320" w:type="dxa"/>
            <w:vAlign w:val="bottom"/>
            <w:tcBorders>
              <w:bottom w:val="single" w:sz="8" w:color="CFF0FC"/>
            </w:tcBorders>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5.31 %</w:t>
            </w:r>
          </w:p>
        </w:tc>
        <w:tc>
          <w:tcPr>
            <w:tcW w:w="18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8,862,462</w:t>
            </w:r>
          </w:p>
        </w:tc>
        <w:tc>
          <w:tcPr>
            <w:tcW w:w="26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113,190</w:t>
            </w:r>
          </w:p>
        </w:tc>
        <w:tc>
          <w:tcPr>
            <w:tcW w:w="1140" w:type="dxa"/>
            <w:vAlign w:val="bottom"/>
            <w:tcBorders>
              <w:bottom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5.07 %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4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interest-earning assets</w:t>
            </w: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14,935,866</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165,752</w:t>
            </w:r>
          </w:p>
        </w:tc>
        <w:tc>
          <w:tcPr>
            <w:tcW w:w="13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4.43 %</w:t>
            </w: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14,900,003</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156,227</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4.18 %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4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Total noninterest-earning assets</w:t>
            </w:r>
          </w:p>
        </w:tc>
        <w:tc>
          <w:tcPr>
            <w:tcW w:w="20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1,577,295</w:t>
            </w:r>
          </w:p>
        </w:tc>
        <w:tc>
          <w:tcPr>
            <w:tcW w:w="2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72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1,533,575</w:t>
            </w:r>
          </w:p>
        </w:tc>
        <w:tc>
          <w:tcPr>
            <w:tcW w:w="26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7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460" w:type="dxa"/>
            <w:vAlign w:val="bottom"/>
          </w:tcPr>
          <w:p>
            <w:pPr>
              <w:ind w:left="200"/>
              <w:spacing w:after="0" w:line="155" w:lineRule="exact"/>
              <w:rPr>
                <w:sz w:val="20"/>
                <w:szCs w:val="20"/>
                <w:color w:val="auto"/>
              </w:rPr>
            </w:pPr>
            <w:r>
              <w:rPr>
                <w:rFonts w:ascii="Times New Roman" w:cs="Times New Roman" w:eastAsia="Times New Roman" w:hAnsi="Times New Roman"/>
                <w:sz w:val="14"/>
                <w:szCs w:val="14"/>
                <w:color w:val="auto"/>
              </w:rPr>
              <w:t>Total assets</w:t>
            </w:r>
          </w:p>
        </w:tc>
        <w:tc>
          <w:tcPr>
            <w:tcW w:w="200" w:type="dxa"/>
            <w:vAlign w:val="bottom"/>
            <w:tcBorders>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16,513,161</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Borders>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16,433,578</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INTEREST-BEARING LIABILITIES</w:t>
            </w: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Savings deposits (3)</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4,189,345</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23,427</w:t>
            </w:r>
          </w:p>
        </w:tc>
        <w:tc>
          <w:tcPr>
            <w:tcW w:w="13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2.22 %</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4,459,967</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15,670</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1.39 %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Time deposits</w:t>
            </w:r>
          </w:p>
        </w:tc>
        <w:tc>
          <w:tcPr>
            <w:tcW w:w="20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741,875</w:t>
            </w:r>
          </w:p>
        </w:tc>
        <w:tc>
          <w:tcPr>
            <w:tcW w:w="2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6,394</w:t>
            </w:r>
          </w:p>
        </w:tc>
        <w:tc>
          <w:tcPr>
            <w:tcW w:w="1320" w:type="dxa"/>
            <w:vAlign w:val="bottom"/>
            <w:tcBorders>
              <w:bottom w:val="single" w:sz="8" w:color="CFF0FC"/>
            </w:tcBorders>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3.43 %</w:t>
            </w:r>
          </w:p>
        </w:tc>
        <w:tc>
          <w:tcPr>
            <w:tcW w:w="18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309,930</w:t>
            </w:r>
          </w:p>
        </w:tc>
        <w:tc>
          <w:tcPr>
            <w:tcW w:w="26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847</w:t>
            </w:r>
          </w:p>
        </w:tc>
        <w:tc>
          <w:tcPr>
            <w:tcW w:w="1140" w:type="dxa"/>
            <w:vAlign w:val="bottom"/>
            <w:tcBorders>
              <w:bottom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1.08 %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4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 interest-bearing deposits</w:t>
            </w: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4,931,220</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29,821</w:t>
            </w:r>
          </w:p>
        </w:tc>
        <w:tc>
          <w:tcPr>
            <w:tcW w:w="13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2.41 %</w:t>
            </w: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4,769,897</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16,517</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1.37 %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446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FHLB advances, other borrowings, and customer</w:t>
            </w:r>
          </w:p>
        </w:tc>
        <w:tc>
          <w:tcPr>
            <w:tcW w:w="200" w:type="dxa"/>
            <w:vAlign w:val="bottom"/>
            <w:shd w:val="clear" w:color="auto" w:fill="CFF0FC"/>
          </w:tcPr>
          <w:p>
            <w:pPr>
              <w:spacing w:after="0"/>
              <w:rPr>
                <w:sz w:val="12"/>
                <w:szCs w:val="12"/>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2,093,364</w:t>
            </w: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22,312</w:t>
            </w:r>
          </w:p>
        </w:tc>
        <w:tc>
          <w:tcPr>
            <w:tcW w:w="1320" w:type="dxa"/>
            <w:vAlign w:val="bottom"/>
            <w:gridSpan w:val="3"/>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4.24 %</w:t>
            </w:r>
          </w:p>
        </w:tc>
        <w:tc>
          <w:tcPr>
            <w:tcW w:w="180" w:type="dxa"/>
            <w:vAlign w:val="bottom"/>
            <w:shd w:val="clear" w:color="auto" w:fill="CFF0FC"/>
          </w:tcPr>
          <w:p>
            <w:pPr>
              <w:spacing w:after="0"/>
              <w:rPr>
                <w:sz w:val="12"/>
                <w:szCs w:val="12"/>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1,658,907</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16,339</w:t>
            </w:r>
          </w:p>
        </w:tc>
        <w:tc>
          <w:tcPr>
            <w:tcW w:w="114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3.91 %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6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repurchase agreements</w:t>
            </w:r>
          </w:p>
        </w:tc>
        <w:tc>
          <w:tcPr>
            <w:tcW w:w="20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vMerge w:val="continue"/>
            <w:shd w:val="clear" w:color="auto" w:fill="CFF0FC"/>
          </w:tcPr>
          <w:p>
            <w:pPr>
              <w:spacing w:after="0"/>
              <w:rPr>
                <w:sz w:val="14"/>
                <w:szCs w:val="14"/>
                <w:color w:val="auto"/>
              </w:rPr>
            </w:pPr>
          </w:p>
        </w:tc>
        <w:tc>
          <w:tcPr>
            <w:tcW w:w="2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vMerge w:val="continue"/>
            <w:shd w:val="clear" w:color="auto" w:fill="CFF0FC"/>
          </w:tcPr>
          <w:p>
            <w:pPr>
              <w:spacing w:after="0"/>
              <w:rPr>
                <w:sz w:val="14"/>
                <w:szCs w:val="14"/>
                <w:color w:val="auto"/>
              </w:rPr>
            </w:pPr>
          </w:p>
        </w:tc>
        <w:tc>
          <w:tcPr>
            <w:tcW w:w="1320" w:type="dxa"/>
            <w:vAlign w:val="bottom"/>
            <w:tcBorders>
              <w:bottom w:val="single" w:sz="8" w:color="CFF0FC"/>
            </w:tcBorders>
            <w:gridSpan w:val="3"/>
            <w:vMerge w:val="continue"/>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vMerge w:val="continue"/>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vMerge w:val="continue"/>
            <w:shd w:val="clear" w:color="auto" w:fill="CFF0FC"/>
          </w:tcPr>
          <w:p>
            <w:pPr>
              <w:spacing w:after="0"/>
              <w:rPr>
                <w:sz w:val="14"/>
                <w:szCs w:val="14"/>
                <w:color w:val="auto"/>
              </w:rPr>
            </w:pPr>
          </w:p>
        </w:tc>
        <w:tc>
          <w:tcPr>
            <w:tcW w:w="1140" w:type="dxa"/>
            <w:vAlign w:val="bottom"/>
            <w:tcBorders>
              <w:bottom w:val="single" w:sz="8" w:color="CFF0FC"/>
            </w:tcBorders>
            <w:gridSpan w:val="3"/>
            <w:vMerge w:val="continue"/>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4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Interest-bearing liabilities</w:t>
            </w: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7,024,584</w:t>
            </w: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52,133</w:t>
            </w:r>
          </w:p>
        </w:tc>
        <w:tc>
          <w:tcPr>
            <w:tcW w:w="13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2.95 %</w:t>
            </w: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6,428,804</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32,856</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2.03 %</w:t>
            </w:r>
          </w:p>
        </w:tc>
        <w:tc>
          <w:tcPr>
            <w:tcW w:w="0" w:type="dxa"/>
            <w:vAlign w:val="bottom"/>
          </w:tcPr>
          <w:p>
            <w:pPr>
              <w:spacing w:after="0"/>
              <w:rPr>
                <w:sz w:val="1"/>
                <w:szCs w:val="1"/>
                <w:color w:val="auto"/>
              </w:rPr>
            </w:pPr>
          </w:p>
        </w:tc>
      </w:tr>
      <w:tr>
        <w:trPr>
          <w:trHeight w:val="169"/>
        </w:trPr>
        <w:tc>
          <w:tcPr>
            <w:tcW w:w="4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Noninterest-bearing deposits</w:t>
            </w:r>
          </w:p>
        </w:tc>
        <w:tc>
          <w:tcPr>
            <w:tcW w:w="20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7,124,952</w:t>
            </w: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7,813,120</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4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liabilities</w:t>
            </w: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196,832</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164,624</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Stockholders' equity</w:t>
            </w:r>
          </w:p>
        </w:tc>
        <w:tc>
          <w:tcPr>
            <w:tcW w:w="20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2,166,793</w:t>
            </w:r>
          </w:p>
        </w:tc>
        <w:tc>
          <w:tcPr>
            <w:tcW w:w="2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72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2,027,030</w:t>
            </w:r>
          </w:p>
        </w:tc>
        <w:tc>
          <w:tcPr>
            <w:tcW w:w="26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7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460" w:type="dxa"/>
            <w:vAlign w:val="bottom"/>
          </w:tcPr>
          <w:p>
            <w:pPr>
              <w:ind w:left="200"/>
              <w:spacing w:after="0" w:line="155" w:lineRule="exact"/>
              <w:rPr>
                <w:sz w:val="20"/>
                <w:szCs w:val="20"/>
                <w:color w:val="auto"/>
              </w:rPr>
            </w:pPr>
            <w:r>
              <w:rPr>
                <w:rFonts w:ascii="Times New Roman" w:cs="Times New Roman" w:eastAsia="Times New Roman" w:hAnsi="Times New Roman"/>
                <w:sz w:val="14"/>
                <w:szCs w:val="14"/>
                <w:color w:val="auto"/>
              </w:rPr>
              <w:t>Total liabilities and stockholders' equity</w:t>
            </w:r>
          </w:p>
        </w:tc>
        <w:tc>
          <w:tcPr>
            <w:tcW w:w="200" w:type="dxa"/>
            <w:vAlign w:val="bottom"/>
            <w:tcBorders>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16,513,161</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Borders>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16,433,578</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4460" w:type="dxa"/>
            <w:vAlign w:val="bottom"/>
            <w:tcBorders>
              <w:bottom w:val="single" w:sz="8" w:color="CFF0FC"/>
            </w:tcBorders>
            <w:shd w:val="clear" w:color="auto" w:fill="CFF0FC"/>
          </w:tcPr>
          <w:p>
            <w:pPr>
              <w:ind w:left="200"/>
              <w:spacing w:after="0" w:line="155" w:lineRule="exact"/>
              <w:rPr>
                <w:sz w:val="20"/>
                <w:szCs w:val="20"/>
                <w:color w:val="auto"/>
              </w:rPr>
            </w:pPr>
            <w:r>
              <w:rPr>
                <w:rFonts w:ascii="Times New Roman" w:cs="Times New Roman" w:eastAsia="Times New Roman" w:hAnsi="Times New Roman"/>
                <w:sz w:val="14"/>
                <w:szCs w:val="14"/>
                <w:color w:val="auto"/>
              </w:rPr>
              <w:t>Net interest income</w:t>
            </w:r>
          </w:p>
        </w:tc>
        <w:tc>
          <w:tcPr>
            <w:tcW w:w="20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113,619</w:t>
            </w:r>
          </w:p>
        </w:tc>
        <w:tc>
          <w:tcPr>
            <w:tcW w:w="24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123,371</w:t>
            </w:r>
          </w:p>
        </w:tc>
        <w:tc>
          <w:tcPr>
            <w:tcW w:w="22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2"/>
        </w:trPr>
        <w:tc>
          <w:tcPr>
            <w:tcW w:w="44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Net interest spread - tax equivalent</w:t>
            </w: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1.48 %</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2.15 %</w:t>
            </w:r>
          </w:p>
        </w:tc>
        <w:tc>
          <w:tcPr>
            <w:tcW w:w="0" w:type="dxa"/>
            <w:vAlign w:val="bottom"/>
          </w:tcPr>
          <w:p>
            <w:pPr>
              <w:spacing w:after="0"/>
              <w:rPr>
                <w:sz w:val="1"/>
                <w:szCs w:val="1"/>
                <w:color w:val="auto"/>
              </w:rPr>
            </w:pPr>
          </w:p>
        </w:tc>
      </w:tr>
      <w:tr>
        <w:trPr>
          <w:trHeight w:val="175"/>
        </w:trPr>
        <w:tc>
          <w:tcPr>
            <w:tcW w:w="44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Net interest margin</w:t>
            </w: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3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3.03 %</w:t>
            </w:r>
          </w:p>
        </w:tc>
        <w:tc>
          <w:tcPr>
            <w:tcW w:w="1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1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3.29 %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4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Net interest margin - tax equivalent</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3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3.05 %</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3.31 %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-2450465</wp:posOffset>
            </wp:positionV>
            <wp:extent cx="7747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-2450465</wp:posOffset>
            </wp:positionV>
            <wp:extent cx="77470"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-2450465</wp:posOffset>
            </wp:positionV>
            <wp:extent cx="6858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-2450465</wp:posOffset>
            </wp:positionV>
            <wp:extent cx="68580"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-2219325</wp:posOffset>
            </wp:positionV>
            <wp:extent cx="77470"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-2219325</wp:posOffset>
            </wp:positionV>
            <wp:extent cx="68580"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-1627505</wp:posOffset>
            </wp:positionV>
            <wp:extent cx="77470"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-1627505</wp:posOffset>
            </wp:positionV>
            <wp:extent cx="77470"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-1627505</wp:posOffset>
            </wp:positionV>
            <wp:extent cx="68580"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-1627505</wp:posOffset>
            </wp:positionV>
            <wp:extent cx="68580"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-1310640</wp:posOffset>
            </wp:positionV>
            <wp:extent cx="77470"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-1310640</wp:posOffset>
            </wp:positionV>
            <wp:extent cx="77470"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-1310640</wp:posOffset>
            </wp:positionV>
            <wp:extent cx="68580"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-1310640</wp:posOffset>
            </wp:positionV>
            <wp:extent cx="68580"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-847725</wp:posOffset>
            </wp:positionV>
            <wp:extent cx="77470"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-847725</wp:posOffset>
            </wp:positionV>
            <wp:extent cx="68580"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-478790</wp:posOffset>
            </wp:positionV>
            <wp:extent cx="7747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-461645</wp:posOffset>
            </wp:positionV>
            <wp:extent cx="77470"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-478790</wp:posOffset>
            </wp:positionV>
            <wp:extent cx="6858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-461645</wp:posOffset>
            </wp:positionV>
            <wp:extent cx="6858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 w:lineRule="exact"/>
        <w:rPr>
          <w:sz w:val="20"/>
          <w:szCs w:val="20"/>
          <w:color w:val="auto"/>
        </w:rPr>
      </w:pPr>
    </w:p>
    <w:p>
      <w:pPr>
        <w:ind w:left="1040" w:right="380" w:hanging="470"/>
        <w:spacing w:after="0" w:line="233" w:lineRule="auto"/>
        <w:tabs>
          <w:tab w:leader="none" w:pos="10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tax equivalent (TE) adjustments utilizing federal statutory rates of 21% in effect for the three months ended September 30, 2024 and 2023. The non TE rates were 2.63% and 2.60% for the three months ended September 30, 2024 and 2023, respectively.</w:t>
      </w:r>
    </w:p>
    <w:p>
      <w:pPr>
        <w:ind w:left="1040" w:right="280" w:hanging="462"/>
        <w:spacing w:after="0" w:line="221" w:lineRule="auto"/>
        <w:tabs>
          <w:tab w:leader="none" w:pos="10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loan fees of $748,000 and $763,000 for the three months ended September 30, 2024 and 2023, respectively. Prepayment penalty fees of $830,000 and $373,000 are included in interest income for the three months ended September 30, 2024 and 2023, respectively.</w:t>
      </w:r>
    </w:p>
    <w:p>
      <w:pPr>
        <w:ind w:left="1040" w:hanging="470"/>
        <w:spacing w:after="0"/>
        <w:tabs>
          <w:tab w:leader="none" w:pos="10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interest-bearing demand and money market accounts.</w:t>
      </w:r>
    </w:p>
    <w:p>
      <w:pPr>
        <w:spacing w:after="0" w:line="1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93" w:right="31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87"/>
        </w:trPr>
        <w:tc>
          <w:tcPr>
            <w:tcW w:w="44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5"/>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4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jc w:val="right"/>
              <w:ind w:right="208"/>
              <w:spacing w:after="0" w:line="158"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Yield/</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right"/>
              <w:ind w:right="208"/>
              <w:spacing w:after="0" w:line="158"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Yield/</w:t>
            </w:r>
          </w:p>
        </w:tc>
        <w:tc>
          <w:tcPr>
            <w:tcW w:w="1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4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40" w:type="dxa"/>
            <w:vAlign w:val="bottom"/>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20" w:type="dxa"/>
            <w:vAlign w:val="bottom"/>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Rate</w:t>
            </w:r>
          </w:p>
        </w:tc>
        <w:tc>
          <w:tcPr>
            <w:tcW w:w="1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40" w:type="dxa"/>
            <w:vAlign w:val="bottom"/>
            <w:gridSpan w:val="4"/>
          </w:tcPr>
          <w:p>
            <w:pPr>
              <w:jc w:val="right"/>
              <w:ind w:right="528"/>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INTEREST-EARNING ASSETS</w:t>
            </w: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Investment securities (1)</w:t>
            </w: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Available-for-sale securities:</w:t>
            </w: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Taxable</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2,750,063</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62,347</w:t>
            </w:r>
          </w:p>
        </w:tc>
        <w:tc>
          <w:tcPr>
            <w:tcW w:w="13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3.02 %</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3,113,643</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60,887</w:t>
            </w:r>
          </w:p>
        </w:tc>
        <w:tc>
          <w:tcPr>
            <w:tcW w:w="1140" w:type="dxa"/>
            <w:vAlign w:val="bottom"/>
            <w:gridSpan w:val="3"/>
          </w:tcPr>
          <w:p>
            <w:pPr>
              <w:ind w:left="760"/>
              <w:spacing w:after="0"/>
              <w:rPr>
                <w:sz w:val="20"/>
                <w:szCs w:val="20"/>
                <w:color w:val="auto"/>
              </w:rPr>
            </w:pPr>
            <w:r>
              <w:rPr>
                <w:rFonts w:ascii="Times New Roman" w:cs="Times New Roman" w:eastAsia="Times New Roman" w:hAnsi="Times New Roman"/>
                <w:sz w:val="14"/>
                <w:szCs w:val="14"/>
                <w:color w:val="auto"/>
                <w:w w:val="90"/>
              </w:rPr>
              <w:t>2.61 %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Tax-advantaged</w:t>
            </w: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24,918</w:t>
            </w: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502</w:t>
            </w:r>
          </w:p>
        </w:tc>
        <w:tc>
          <w:tcPr>
            <w:tcW w:w="13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3.22 %</w:t>
            </w:r>
          </w:p>
        </w:tc>
        <w:tc>
          <w:tcPr>
            <w:tcW w:w="18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25,726</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1140" w:type="dxa"/>
            <w:vAlign w:val="bottom"/>
            <w:gridSpan w:val="3"/>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w w:val="90"/>
              </w:rPr>
              <w:t>3.14 %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Held-to-maturity securities:</w:t>
            </w: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Taxable</w:t>
            </w: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2,065,950</w:t>
            </w: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32,930</w:t>
            </w:r>
          </w:p>
        </w:tc>
        <w:tc>
          <w:tcPr>
            <w:tcW w:w="13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2.13 %</w:t>
            </w:r>
          </w:p>
        </w:tc>
        <w:tc>
          <w:tcPr>
            <w:tcW w:w="18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2,143,195</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33,939</w:t>
            </w:r>
          </w:p>
        </w:tc>
        <w:tc>
          <w:tcPr>
            <w:tcW w:w="1140" w:type="dxa"/>
            <w:vAlign w:val="bottom"/>
            <w:gridSpan w:val="3"/>
            <w:shd w:val="clear" w:color="auto" w:fill="CFF0FC"/>
          </w:tcPr>
          <w:p>
            <w:pPr>
              <w:ind w:left="780"/>
              <w:spacing w:after="0"/>
              <w:rPr>
                <w:sz w:val="20"/>
                <w:szCs w:val="20"/>
                <w:color w:val="auto"/>
              </w:rPr>
            </w:pPr>
            <w:r>
              <w:rPr>
                <w:rFonts w:ascii="Times New Roman" w:cs="Times New Roman" w:eastAsia="Times New Roman" w:hAnsi="Times New Roman"/>
                <w:sz w:val="14"/>
                <w:szCs w:val="14"/>
                <w:color w:val="auto"/>
                <w:w w:val="85"/>
              </w:rPr>
              <w:t>2.11 %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Tax-advantaged</w:t>
            </w: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373,477</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7,201</w:t>
            </w:r>
          </w:p>
        </w:tc>
        <w:tc>
          <w:tcPr>
            <w:tcW w:w="13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3.11 %</w:t>
            </w: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381,604</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7,333</w:t>
            </w:r>
          </w:p>
        </w:tc>
        <w:tc>
          <w:tcPr>
            <w:tcW w:w="1140" w:type="dxa"/>
            <w:vAlign w:val="bottom"/>
            <w:gridSpan w:val="3"/>
          </w:tcPr>
          <w:p>
            <w:pPr>
              <w:ind w:left="760"/>
              <w:spacing w:after="0"/>
              <w:rPr>
                <w:sz w:val="20"/>
                <w:szCs w:val="20"/>
                <w:color w:val="auto"/>
              </w:rPr>
            </w:pPr>
            <w:r>
              <w:rPr>
                <w:rFonts w:ascii="Times New Roman" w:cs="Times New Roman" w:eastAsia="Times New Roman" w:hAnsi="Times New Roman"/>
                <w:sz w:val="14"/>
                <w:szCs w:val="14"/>
                <w:color w:val="auto"/>
                <w:w w:val="90"/>
              </w:rPr>
              <w:t>3.10 %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Investment in FHLB stock</w:t>
            </w: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18,012</w:t>
            </w: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1,171</w:t>
            </w:r>
          </w:p>
        </w:tc>
        <w:tc>
          <w:tcPr>
            <w:tcW w:w="13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8.68 %</w:t>
            </w:r>
          </w:p>
        </w:tc>
        <w:tc>
          <w:tcPr>
            <w:tcW w:w="18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27,460</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1,430</w:t>
            </w:r>
          </w:p>
        </w:tc>
        <w:tc>
          <w:tcPr>
            <w:tcW w:w="1140" w:type="dxa"/>
            <w:vAlign w:val="bottom"/>
            <w:gridSpan w:val="3"/>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w w:val="90"/>
              </w:rPr>
              <w:t>6.96 %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Interest-earning deposits with other institutions</w:t>
            </w: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799,443</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32,884</w:t>
            </w:r>
          </w:p>
        </w:tc>
        <w:tc>
          <w:tcPr>
            <w:tcW w:w="13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5.49 %</w:t>
            </w: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293,203</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11,583</w:t>
            </w:r>
          </w:p>
        </w:tc>
        <w:tc>
          <w:tcPr>
            <w:tcW w:w="1140" w:type="dxa"/>
            <w:vAlign w:val="bottom"/>
            <w:gridSpan w:val="3"/>
          </w:tcPr>
          <w:p>
            <w:pPr>
              <w:ind w:left="760"/>
              <w:spacing w:after="0"/>
              <w:rPr>
                <w:sz w:val="20"/>
                <w:szCs w:val="20"/>
                <w:color w:val="auto"/>
              </w:rPr>
            </w:pPr>
            <w:r>
              <w:rPr>
                <w:rFonts w:ascii="Times New Roman" w:cs="Times New Roman" w:eastAsia="Times New Roman" w:hAnsi="Times New Roman"/>
                <w:sz w:val="14"/>
                <w:szCs w:val="14"/>
                <w:color w:val="auto"/>
                <w:w w:val="90"/>
              </w:rPr>
              <w:t>5.28 %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Loans (2)</w:t>
            </w:r>
          </w:p>
        </w:tc>
        <w:tc>
          <w:tcPr>
            <w:tcW w:w="20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8,720,058</w:t>
            </w:r>
          </w:p>
        </w:tc>
        <w:tc>
          <w:tcPr>
            <w:tcW w:w="2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345,478</w:t>
            </w:r>
          </w:p>
        </w:tc>
        <w:tc>
          <w:tcPr>
            <w:tcW w:w="1320" w:type="dxa"/>
            <w:vAlign w:val="bottom"/>
            <w:tcBorders>
              <w:bottom w:val="single" w:sz="8" w:color="CFF0FC"/>
            </w:tcBorders>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5.29 %</w:t>
            </w:r>
          </w:p>
        </w:tc>
        <w:tc>
          <w:tcPr>
            <w:tcW w:w="18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8,905,697</w:t>
            </w:r>
          </w:p>
        </w:tc>
        <w:tc>
          <w:tcPr>
            <w:tcW w:w="26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332,574</w:t>
            </w:r>
          </w:p>
        </w:tc>
        <w:tc>
          <w:tcPr>
            <w:tcW w:w="1140" w:type="dxa"/>
            <w:vAlign w:val="bottom"/>
            <w:tcBorders>
              <w:bottom w:val="single" w:sz="8" w:color="CFF0FC"/>
            </w:tcBorders>
            <w:gridSpan w:val="3"/>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w w:val="90"/>
              </w:rPr>
              <w:t>4.99 %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4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interest-earning assets</w:t>
            </w: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14,751,921</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482,513</w:t>
            </w:r>
          </w:p>
        </w:tc>
        <w:tc>
          <w:tcPr>
            <w:tcW w:w="13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4.38 %</w:t>
            </w: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14,890,528</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448,252</w:t>
            </w:r>
          </w:p>
        </w:tc>
        <w:tc>
          <w:tcPr>
            <w:tcW w:w="1140" w:type="dxa"/>
            <w:vAlign w:val="bottom"/>
            <w:gridSpan w:val="3"/>
          </w:tcPr>
          <w:p>
            <w:pPr>
              <w:ind w:left="760"/>
              <w:spacing w:after="0"/>
              <w:rPr>
                <w:sz w:val="20"/>
                <w:szCs w:val="20"/>
                <w:color w:val="auto"/>
              </w:rPr>
            </w:pPr>
            <w:r>
              <w:rPr>
                <w:rFonts w:ascii="Times New Roman" w:cs="Times New Roman" w:eastAsia="Times New Roman" w:hAnsi="Times New Roman"/>
                <w:sz w:val="14"/>
                <w:szCs w:val="14"/>
                <w:color w:val="auto"/>
                <w:w w:val="90"/>
              </w:rPr>
              <w:t>4.04 %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4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Total noninterest-earning assets</w:t>
            </w:r>
          </w:p>
        </w:tc>
        <w:tc>
          <w:tcPr>
            <w:tcW w:w="20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15,814,501</w:t>
            </w:r>
          </w:p>
        </w:tc>
        <w:tc>
          <w:tcPr>
            <w:tcW w:w="2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72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1,522,286</w:t>
            </w:r>
          </w:p>
        </w:tc>
        <w:tc>
          <w:tcPr>
            <w:tcW w:w="26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7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460" w:type="dxa"/>
            <w:vAlign w:val="bottom"/>
          </w:tcPr>
          <w:p>
            <w:pPr>
              <w:ind w:left="200"/>
              <w:spacing w:after="0" w:line="155" w:lineRule="exact"/>
              <w:rPr>
                <w:sz w:val="20"/>
                <w:szCs w:val="20"/>
                <w:color w:val="auto"/>
              </w:rPr>
            </w:pPr>
            <w:r>
              <w:rPr>
                <w:rFonts w:ascii="Times New Roman" w:cs="Times New Roman" w:eastAsia="Times New Roman" w:hAnsi="Times New Roman"/>
                <w:sz w:val="14"/>
                <w:szCs w:val="14"/>
                <w:color w:val="auto"/>
              </w:rPr>
              <w:t>Total assets</w:t>
            </w:r>
          </w:p>
        </w:tc>
        <w:tc>
          <w:tcPr>
            <w:tcW w:w="200" w:type="dxa"/>
            <w:vAlign w:val="bottom"/>
            <w:tcBorders>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16,333,372</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Borders>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16,412,814</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INTEREST-BEARING LIABILITIES</w:t>
            </w: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Savings deposits (3)</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4,064,625</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61,844</w:t>
            </w:r>
          </w:p>
        </w:tc>
        <w:tc>
          <w:tcPr>
            <w:tcW w:w="13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2.03 %</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4,327,906</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31,268</w:t>
            </w:r>
          </w:p>
        </w:tc>
        <w:tc>
          <w:tcPr>
            <w:tcW w:w="1140" w:type="dxa"/>
            <w:vAlign w:val="bottom"/>
            <w:gridSpan w:val="3"/>
          </w:tcPr>
          <w:p>
            <w:pPr>
              <w:ind w:left="760"/>
              <w:spacing w:after="0"/>
              <w:rPr>
                <w:sz w:val="20"/>
                <w:szCs w:val="20"/>
                <w:color w:val="auto"/>
              </w:rPr>
            </w:pPr>
            <w:r>
              <w:rPr>
                <w:rFonts w:ascii="Times New Roman" w:cs="Times New Roman" w:eastAsia="Times New Roman" w:hAnsi="Times New Roman"/>
                <w:sz w:val="14"/>
                <w:szCs w:val="14"/>
                <w:color w:val="auto"/>
                <w:w w:val="90"/>
              </w:rPr>
              <w:t>0.97 %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Time deposits</w:t>
            </w:r>
          </w:p>
        </w:tc>
        <w:tc>
          <w:tcPr>
            <w:tcW w:w="20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640,941</w:t>
            </w:r>
          </w:p>
        </w:tc>
        <w:tc>
          <w:tcPr>
            <w:tcW w:w="2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15,322</w:t>
            </w:r>
          </w:p>
        </w:tc>
        <w:tc>
          <w:tcPr>
            <w:tcW w:w="1320" w:type="dxa"/>
            <w:vAlign w:val="bottom"/>
            <w:tcBorders>
              <w:bottom w:val="single" w:sz="8" w:color="CFF0FC"/>
            </w:tcBorders>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3.19 %</w:t>
            </w:r>
          </w:p>
        </w:tc>
        <w:tc>
          <w:tcPr>
            <w:tcW w:w="18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296,942</w:t>
            </w:r>
          </w:p>
        </w:tc>
        <w:tc>
          <w:tcPr>
            <w:tcW w:w="26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1,379</w:t>
            </w:r>
          </w:p>
        </w:tc>
        <w:tc>
          <w:tcPr>
            <w:tcW w:w="1140" w:type="dxa"/>
            <w:vAlign w:val="bottom"/>
            <w:tcBorders>
              <w:bottom w:val="single" w:sz="8" w:color="CFF0FC"/>
            </w:tcBorders>
            <w:gridSpan w:val="3"/>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w w:val="90"/>
              </w:rPr>
              <w:t>0.62 %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4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 interest-bearing deposits</w:t>
            </w: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4,705,566</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77,166</w:t>
            </w:r>
          </w:p>
        </w:tc>
        <w:tc>
          <w:tcPr>
            <w:tcW w:w="13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2.19 %</w:t>
            </w: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4,624,848</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32,647</w:t>
            </w:r>
          </w:p>
        </w:tc>
        <w:tc>
          <w:tcPr>
            <w:tcW w:w="1140" w:type="dxa"/>
            <w:vAlign w:val="bottom"/>
            <w:gridSpan w:val="3"/>
          </w:tcPr>
          <w:p>
            <w:pPr>
              <w:ind w:left="760"/>
              <w:spacing w:after="0"/>
              <w:rPr>
                <w:sz w:val="20"/>
                <w:szCs w:val="20"/>
                <w:color w:val="auto"/>
              </w:rPr>
            </w:pPr>
            <w:r>
              <w:rPr>
                <w:rFonts w:ascii="Times New Roman" w:cs="Times New Roman" w:eastAsia="Times New Roman" w:hAnsi="Times New Roman"/>
                <w:sz w:val="14"/>
                <w:szCs w:val="14"/>
                <w:color w:val="auto"/>
                <w:w w:val="90"/>
              </w:rPr>
              <w:t>0.94 %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446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FHLB advances, other borrowings, and customer</w:t>
            </w:r>
          </w:p>
        </w:tc>
        <w:tc>
          <w:tcPr>
            <w:tcW w:w="200" w:type="dxa"/>
            <w:vAlign w:val="bottom"/>
            <w:shd w:val="clear" w:color="auto" w:fill="CFF0FC"/>
          </w:tcPr>
          <w:p>
            <w:pPr>
              <w:spacing w:after="0"/>
              <w:rPr>
                <w:sz w:val="12"/>
                <w:szCs w:val="12"/>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2,177,051</w:t>
            </w: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68,418</w:t>
            </w:r>
          </w:p>
        </w:tc>
        <w:tc>
          <w:tcPr>
            <w:tcW w:w="1320" w:type="dxa"/>
            <w:vAlign w:val="bottom"/>
            <w:gridSpan w:val="3"/>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4.20 %</w:t>
            </w:r>
          </w:p>
        </w:tc>
        <w:tc>
          <w:tcPr>
            <w:tcW w:w="180" w:type="dxa"/>
            <w:vAlign w:val="bottom"/>
            <w:shd w:val="clear" w:color="auto" w:fill="CFF0FC"/>
          </w:tcPr>
          <w:p>
            <w:pPr>
              <w:spacing w:after="0"/>
              <w:rPr>
                <w:sz w:val="12"/>
                <w:szCs w:val="12"/>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1,734,999</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46,971</w:t>
            </w:r>
          </w:p>
        </w:tc>
        <w:tc>
          <w:tcPr>
            <w:tcW w:w="1140" w:type="dxa"/>
            <w:vAlign w:val="bottom"/>
            <w:gridSpan w:val="3"/>
            <w:vMerge w:val="restart"/>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w w:val="90"/>
              </w:rPr>
              <w:t>3.62 %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6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repurchase agreements</w:t>
            </w:r>
          </w:p>
        </w:tc>
        <w:tc>
          <w:tcPr>
            <w:tcW w:w="20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vMerge w:val="continue"/>
            <w:shd w:val="clear" w:color="auto" w:fill="CFF0FC"/>
          </w:tcPr>
          <w:p>
            <w:pPr>
              <w:spacing w:after="0"/>
              <w:rPr>
                <w:sz w:val="14"/>
                <w:szCs w:val="14"/>
                <w:color w:val="auto"/>
              </w:rPr>
            </w:pPr>
          </w:p>
        </w:tc>
        <w:tc>
          <w:tcPr>
            <w:tcW w:w="2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vMerge w:val="continue"/>
            <w:shd w:val="clear" w:color="auto" w:fill="CFF0FC"/>
          </w:tcPr>
          <w:p>
            <w:pPr>
              <w:spacing w:after="0"/>
              <w:rPr>
                <w:sz w:val="14"/>
                <w:szCs w:val="14"/>
                <w:color w:val="auto"/>
              </w:rPr>
            </w:pPr>
          </w:p>
        </w:tc>
        <w:tc>
          <w:tcPr>
            <w:tcW w:w="1320" w:type="dxa"/>
            <w:vAlign w:val="bottom"/>
            <w:tcBorders>
              <w:bottom w:val="single" w:sz="8" w:color="CFF0FC"/>
            </w:tcBorders>
            <w:gridSpan w:val="3"/>
            <w:vMerge w:val="continue"/>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vMerge w:val="continue"/>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vMerge w:val="continue"/>
            <w:shd w:val="clear" w:color="auto" w:fill="CFF0FC"/>
          </w:tcPr>
          <w:p>
            <w:pPr>
              <w:spacing w:after="0"/>
              <w:rPr>
                <w:sz w:val="14"/>
                <w:szCs w:val="14"/>
                <w:color w:val="auto"/>
              </w:rPr>
            </w:pPr>
          </w:p>
        </w:tc>
        <w:tc>
          <w:tcPr>
            <w:tcW w:w="1140" w:type="dxa"/>
            <w:vAlign w:val="bottom"/>
            <w:tcBorders>
              <w:bottom w:val="single" w:sz="8" w:color="CFF0FC"/>
            </w:tcBorders>
            <w:gridSpan w:val="3"/>
            <w:vMerge w:val="continue"/>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4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Interest-bearing liabilities</w:t>
            </w: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6,882,617</w:t>
            </w: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145,584</w:t>
            </w:r>
          </w:p>
        </w:tc>
        <w:tc>
          <w:tcPr>
            <w:tcW w:w="13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2.83 %</w:t>
            </w: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6,359,847</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79,618</w:t>
            </w:r>
          </w:p>
        </w:tc>
        <w:tc>
          <w:tcPr>
            <w:tcW w:w="1160" w:type="dxa"/>
            <w:vAlign w:val="bottom"/>
            <w:gridSpan w:val="4"/>
          </w:tcPr>
          <w:p>
            <w:pPr>
              <w:ind w:left="760"/>
              <w:spacing w:after="0"/>
              <w:rPr>
                <w:sz w:val="20"/>
                <w:szCs w:val="20"/>
                <w:color w:val="auto"/>
              </w:rPr>
            </w:pPr>
            <w:r>
              <w:rPr>
                <w:rFonts w:ascii="Times New Roman" w:cs="Times New Roman" w:eastAsia="Times New Roman" w:hAnsi="Times New Roman"/>
                <w:sz w:val="14"/>
                <w:szCs w:val="14"/>
                <w:color w:val="auto"/>
                <w:w w:val="95"/>
              </w:rPr>
              <w:t>1.67 %</w:t>
            </w:r>
          </w:p>
        </w:tc>
        <w:tc>
          <w:tcPr>
            <w:tcW w:w="0" w:type="dxa"/>
            <w:vAlign w:val="bottom"/>
          </w:tcPr>
          <w:p>
            <w:pPr>
              <w:spacing w:after="0"/>
              <w:rPr>
                <w:sz w:val="1"/>
                <w:szCs w:val="1"/>
                <w:color w:val="auto"/>
              </w:rPr>
            </w:pPr>
          </w:p>
        </w:tc>
      </w:tr>
      <w:tr>
        <w:trPr>
          <w:trHeight w:val="169"/>
        </w:trPr>
        <w:tc>
          <w:tcPr>
            <w:tcW w:w="4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Noninterest-bearing deposits</w:t>
            </w:r>
          </w:p>
        </w:tc>
        <w:tc>
          <w:tcPr>
            <w:tcW w:w="20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7,153,557</w:t>
            </w: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7,908,749</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4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liabilities</w:t>
            </w: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174,328</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133,046</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Stockholders' equity</w:t>
            </w:r>
          </w:p>
        </w:tc>
        <w:tc>
          <w:tcPr>
            <w:tcW w:w="20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2,122,870</w:t>
            </w:r>
          </w:p>
        </w:tc>
        <w:tc>
          <w:tcPr>
            <w:tcW w:w="2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72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2,011,172</w:t>
            </w:r>
          </w:p>
        </w:tc>
        <w:tc>
          <w:tcPr>
            <w:tcW w:w="26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7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460" w:type="dxa"/>
            <w:vAlign w:val="bottom"/>
          </w:tcPr>
          <w:p>
            <w:pPr>
              <w:ind w:left="200"/>
              <w:spacing w:after="0" w:line="155" w:lineRule="exact"/>
              <w:rPr>
                <w:sz w:val="20"/>
                <w:szCs w:val="20"/>
                <w:color w:val="auto"/>
              </w:rPr>
            </w:pPr>
            <w:r>
              <w:rPr>
                <w:rFonts w:ascii="Times New Roman" w:cs="Times New Roman" w:eastAsia="Times New Roman" w:hAnsi="Times New Roman"/>
                <w:sz w:val="14"/>
                <w:szCs w:val="14"/>
                <w:color w:val="auto"/>
              </w:rPr>
              <w:t>Total liabilities and stockholders' equity</w:t>
            </w:r>
          </w:p>
        </w:tc>
        <w:tc>
          <w:tcPr>
            <w:tcW w:w="200" w:type="dxa"/>
            <w:vAlign w:val="bottom"/>
            <w:tcBorders>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16,333,372</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Borders>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16,412,814</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4460" w:type="dxa"/>
            <w:vAlign w:val="bottom"/>
            <w:tcBorders>
              <w:bottom w:val="single" w:sz="8" w:color="CFF0FC"/>
            </w:tcBorders>
            <w:shd w:val="clear" w:color="auto" w:fill="CFF0FC"/>
          </w:tcPr>
          <w:p>
            <w:pPr>
              <w:ind w:left="200"/>
              <w:spacing w:after="0" w:line="155" w:lineRule="exact"/>
              <w:rPr>
                <w:sz w:val="20"/>
                <w:szCs w:val="20"/>
                <w:color w:val="auto"/>
              </w:rPr>
            </w:pPr>
            <w:r>
              <w:rPr>
                <w:rFonts w:ascii="Times New Roman" w:cs="Times New Roman" w:eastAsia="Times New Roman" w:hAnsi="Times New Roman"/>
                <w:sz w:val="14"/>
                <w:szCs w:val="14"/>
                <w:color w:val="auto"/>
              </w:rPr>
              <w:t>Net interest income</w:t>
            </w:r>
          </w:p>
        </w:tc>
        <w:tc>
          <w:tcPr>
            <w:tcW w:w="20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336,929</w:t>
            </w:r>
          </w:p>
        </w:tc>
        <w:tc>
          <w:tcPr>
            <w:tcW w:w="24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368,634</w:t>
            </w:r>
          </w:p>
        </w:tc>
        <w:tc>
          <w:tcPr>
            <w:tcW w:w="22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44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Net interest spread - tax equivalent</w:t>
            </w: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1.56 %</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60" w:type="dxa"/>
            <w:vAlign w:val="bottom"/>
            <w:gridSpan w:val="4"/>
          </w:tcPr>
          <w:p>
            <w:pPr>
              <w:ind w:left="760"/>
              <w:spacing w:after="0"/>
              <w:rPr>
                <w:sz w:val="20"/>
                <w:szCs w:val="20"/>
                <w:color w:val="auto"/>
              </w:rPr>
            </w:pPr>
            <w:r>
              <w:rPr>
                <w:rFonts w:ascii="Times New Roman" w:cs="Times New Roman" w:eastAsia="Times New Roman" w:hAnsi="Times New Roman"/>
                <w:sz w:val="14"/>
                <w:szCs w:val="14"/>
                <w:color w:val="auto"/>
                <w:w w:val="95"/>
              </w:rPr>
              <w:t>2.36 %</w:t>
            </w:r>
          </w:p>
        </w:tc>
        <w:tc>
          <w:tcPr>
            <w:tcW w:w="0" w:type="dxa"/>
            <w:vAlign w:val="bottom"/>
          </w:tcPr>
          <w:p>
            <w:pPr>
              <w:spacing w:after="0"/>
              <w:rPr>
                <w:sz w:val="1"/>
                <w:szCs w:val="1"/>
                <w:color w:val="auto"/>
              </w:rPr>
            </w:pPr>
          </w:p>
        </w:tc>
      </w:tr>
      <w:tr>
        <w:trPr>
          <w:trHeight w:val="175"/>
        </w:trPr>
        <w:tc>
          <w:tcPr>
            <w:tcW w:w="44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Net interest margin</w:t>
            </w: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3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3.05 %</w:t>
            </w:r>
          </w:p>
        </w:tc>
        <w:tc>
          <w:tcPr>
            <w:tcW w:w="1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140" w:type="dxa"/>
            <w:vAlign w:val="bottom"/>
            <w:gridSpan w:val="3"/>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w w:val="90"/>
              </w:rPr>
              <w:t>3.31 %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4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Net interest margin - tax equivalent</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3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3.06 %</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40" w:type="dxa"/>
            <w:vAlign w:val="bottom"/>
            <w:gridSpan w:val="3"/>
          </w:tcPr>
          <w:p>
            <w:pPr>
              <w:ind w:left="760"/>
              <w:spacing w:after="0"/>
              <w:rPr>
                <w:sz w:val="20"/>
                <w:szCs w:val="20"/>
                <w:color w:val="auto"/>
              </w:rPr>
            </w:pPr>
            <w:r>
              <w:rPr>
                <w:rFonts w:ascii="Times New Roman" w:cs="Times New Roman" w:eastAsia="Times New Roman" w:hAnsi="Times New Roman"/>
                <w:sz w:val="14"/>
                <w:szCs w:val="14"/>
                <w:color w:val="auto"/>
                <w:w w:val="90"/>
              </w:rPr>
              <w:t>3.32 %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-2450465</wp:posOffset>
            </wp:positionV>
            <wp:extent cx="77470"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-2450465</wp:posOffset>
            </wp:positionV>
            <wp:extent cx="77470"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-2450465</wp:posOffset>
            </wp:positionV>
            <wp:extent cx="68580"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-2450465</wp:posOffset>
            </wp:positionV>
            <wp:extent cx="68580"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-2219325</wp:posOffset>
            </wp:positionV>
            <wp:extent cx="77470"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-2219325</wp:posOffset>
            </wp:positionV>
            <wp:extent cx="68580"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-1627505</wp:posOffset>
            </wp:positionV>
            <wp:extent cx="77470"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-1627505</wp:posOffset>
            </wp:positionV>
            <wp:extent cx="77470"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-1627505</wp:posOffset>
            </wp:positionV>
            <wp:extent cx="68580"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-1627505</wp:posOffset>
            </wp:positionV>
            <wp:extent cx="68580"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-1310640</wp:posOffset>
            </wp:positionV>
            <wp:extent cx="77470"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-1310640</wp:posOffset>
            </wp:positionV>
            <wp:extent cx="77470"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-1310640</wp:posOffset>
            </wp:positionV>
            <wp:extent cx="68580"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-1310640</wp:posOffset>
            </wp:positionV>
            <wp:extent cx="68580"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-847725</wp:posOffset>
            </wp:positionV>
            <wp:extent cx="77470"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-847725</wp:posOffset>
            </wp:positionV>
            <wp:extent cx="68580"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-478790</wp:posOffset>
            </wp:positionV>
            <wp:extent cx="77470"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-461645</wp:posOffset>
            </wp:positionV>
            <wp:extent cx="77470"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-478790</wp:posOffset>
            </wp:positionV>
            <wp:extent cx="68580"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-461645</wp:posOffset>
            </wp:positionV>
            <wp:extent cx="68580"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93" w:lineRule="exact"/>
        <w:rPr>
          <w:sz w:val="20"/>
          <w:szCs w:val="20"/>
          <w:color w:val="auto"/>
        </w:rPr>
      </w:pPr>
    </w:p>
    <w:p>
      <w:pPr>
        <w:ind w:left="1040" w:right="420" w:hanging="470"/>
        <w:spacing w:after="0" w:line="233" w:lineRule="auto"/>
        <w:tabs>
          <w:tab w:leader="none" w:pos="10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tax equivalent (TE) adjustments utilizing federal statutory rates of 21% in effect for the nine months ended September 30, 2024 and 2023. The non TE rates were 2.63% and 2.42% for the nine months ended September 30, 2024 and 2023 respectively.</w:t>
      </w:r>
    </w:p>
    <w:p>
      <w:pPr>
        <w:ind w:left="1040" w:right="100" w:hanging="462"/>
        <w:spacing w:after="0" w:line="221" w:lineRule="auto"/>
        <w:tabs>
          <w:tab w:leader="none" w:pos="10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loan fees of $2.2 million and $2.4 million for nine months ended September 30, 2024 and 2023, respectively. Prepayment penalty fees of $1.9 million and $1.6 million are included in interest income for the nine months ended September 30, 2024 and 2023, respectively.</w:t>
      </w:r>
    </w:p>
    <w:p>
      <w:pPr>
        <w:ind w:left="1040" w:hanging="470"/>
        <w:spacing w:after="0"/>
        <w:tabs>
          <w:tab w:leader="none" w:pos="10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interest-bearing demand and money market accounts.</w:t>
      </w:r>
    </w:p>
    <w:p>
      <w:pPr>
        <w:spacing w:after="0" w:line="178" w:lineRule="exact"/>
        <w:rPr>
          <w:sz w:val="20"/>
          <w:szCs w:val="20"/>
          <w:color w:val="auto"/>
        </w:rPr>
      </w:pPr>
    </w:p>
    <w:p>
      <w:pPr>
        <w:ind w:right="220" w:firstLine="562"/>
        <w:spacing w:after="0" w:line="258" w:lineRule="auto"/>
        <w:rPr>
          <w:sz w:val="20"/>
          <w:szCs w:val="20"/>
          <w:color w:val="auto"/>
        </w:rPr>
      </w:pPr>
      <w:r>
        <w:rPr>
          <w:rFonts w:ascii="Times New Roman" w:cs="Times New Roman" w:eastAsia="Times New Roman" w:hAnsi="Times New Roman"/>
          <w:sz w:val="18"/>
          <w:szCs w:val="18"/>
          <w:color w:val="auto"/>
        </w:rPr>
        <w:t>The following table presents a comparison of interest income and interest expense resulting from changes in the volumes and rates on average interest-earning assets and average interest-bearing liabilities for the periods indicated. Changes in interest income or expense attributable to volume changes are calculated by multiplying the change in volume by the initial average interest rate. The change in interest income or expense attributable to changes in interest rates is calculated by multiplying the change in interest rate by the initial volume. The changes attributable to interest rate and volume changes are calculated by multiplying the change in rate times the change in volume and reflect an adjustment for the number of days as appropriate.</w:t>
      </w:r>
    </w:p>
    <w:p>
      <w:pPr>
        <w:spacing w:after="0" w:line="1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95" w:right="31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Rate and Volume Analysis for Changes in Interest Income, Interest Expense and Net Interest Income</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720" w:type="dxa"/>
            <w:vAlign w:val="bottom"/>
            <w:gridSpan w:val="8"/>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Comparison of Three Months Ended September 30,</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100" w:type="dxa"/>
            <w:vAlign w:val="bottom"/>
            <w:gridSpan w:val="5"/>
          </w:tcPr>
          <w:p>
            <w:pPr>
              <w:jc w:val="center"/>
              <w:ind w:right="620"/>
              <w:spacing w:after="0"/>
              <w:rPr>
                <w:sz w:val="20"/>
                <w:szCs w:val="20"/>
                <w:color w:val="auto"/>
              </w:rPr>
            </w:pPr>
            <w:r>
              <w:rPr>
                <w:rFonts w:ascii="Times New Roman" w:cs="Times New Roman" w:eastAsia="Times New Roman" w:hAnsi="Times New Roman"/>
                <w:sz w:val="16"/>
                <w:szCs w:val="16"/>
                <w:b w:val="1"/>
                <w:bCs w:val="1"/>
                <w:color w:val="auto"/>
              </w:rPr>
              <w:t>2024 Compared to 2023</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4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3100" w:type="dxa"/>
            <w:vAlign w:val="bottom"/>
            <w:tcBorders>
              <w:bottom w:val="single" w:sz="8" w:color="auto"/>
            </w:tcBorders>
            <w:gridSpan w:val="5"/>
          </w:tcPr>
          <w:p>
            <w:pPr>
              <w:jc w:val="center"/>
              <w:ind w:right="640"/>
              <w:spacing w:after="0"/>
              <w:rPr>
                <w:sz w:val="20"/>
                <w:szCs w:val="20"/>
                <w:color w:val="auto"/>
              </w:rPr>
            </w:pPr>
            <w:r>
              <w:rPr>
                <w:rFonts w:ascii="Times New Roman" w:cs="Times New Roman" w:eastAsia="Times New Roman" w:hAnsi="Times New Roman"/>
                <w:sz w:val="16"/>
                <w:szCs w:val="16"/>
                <w:b w:val="1"/>
                <w:bCs w:val="1"/>
                <w:color w:val="auto"/>
              </w:rPr>
              <w:t>Increase (Decrease) Due to</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4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w w:val="98"/>
              </w:rPr>
              <w:t>Rate/</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44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Volume</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Rate</w:t>
            </w: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w w:val="97"/>
              </w:rPr>
              <w:t>Volume</w:t>
            </w: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4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100" w:type="dxa"/>
            <w:vAlign w:val="bottom"/>
            <w:gridSpan w:val="5"/>
          </w:tcPr>
          <w:p>
            <w:pPr>
              <w:jc w:val="center"/>
              <w:ind w:right="64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30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4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Available-for-sale securities:</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4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Taxable investment securities</w:t>
            </w: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(2,806 )</w:t>
            </w:r>
          </w:p>
        </w:tc>
        <w:tc>
          <w:tcPr>
            <w:tcW w:w="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618</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(74 )</w:t>
            </w: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(2,262 )</w:t>
            </w:r>
          </w:p>
        </w:tc>
        <w:tc>
          <w:tcPr>
            <w:tcW w:w="0" w:type="dxa"/>
            <w:vAlign w:val="bottom"/>
          </w:tcPr>
          <w:p>
            <w:pPr>
              <w:spacing w:after="0"/>
              <w:rPr>
                <w:sz w:val="1"/>
                <w:szCs w:val="1"/>
                <w:color w:val="auto"/>
              </w:rPr>
            </w:pPr>
          </w:p>
        </w:tc>
      </w:tr>
      <w:tr>
        <w:trPr>
          <w:trHeight w:val="220"/>
        </w:trPr>
        <w:tc>
          <w:tcPr>
            <w:tcW w:w="44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Tax-advantaged investment securities</w:t>
            </w:r>
          </w:p>
        </w:tc>
        <w:tc>
          <w:tcPr>
            <w:tcW w:w="30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(1 )</w:t>
            </w:r>
          </w:p>
        </w:tc>
        <w:tc>
          <w:tcPr>
            <w:tcW w:w="0" w:type="dxa"/>
            <w:vAlign w:val="bottom"/>
          </w:tcPr>
          <w:p>
            <w:pPr>
              <w:spacing w:after="0"/>
              <w:rPr>
                <w:sz w:val="1"/>
                <w:szCs w:val="1"/>
                <w:color w:val="auto"/>
              </w:rPr>
            </w:pPr>
          </w:p>
        </w:tc>
      </w:tr>
      <w:tr>
        <w:trPr>
          <w:trHeight w:val="239"/>
        </w:trPr>
        <w:tc>
          <w:tcPr>
            <w:tcW w:w="4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Held-to-maturity securities:</w:t>
            </w:r>
          </w:p>
        </w:tc>
        <w:tc>
          <w:tcPr>
            <w:tcW w:w="30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4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Taxable investment securities</w:t>
            </w:r>
          </w:p>
        </w:tc>
        <w:tc>
          <w:tcPr>
            <w:tcW w:w="30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(394 )</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(4 )</w:t>
            </w:r>
          </w:p>
        </w:tc>
        <w:tc>
          <w:tcPr>
            <w:tcW w:w="3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(243 )</w:t>
            </w:r>
          </w:p>
        </w:tc>
        <w:tc>
          <w:tcPr>
            <w:tcW w:w="0" w:type="dxa"/>
            <w:vAlign w:val="bottom"/>
          </w:tcPr>
          <w:p>
            <w:pPr>
              <w:spacing w:after="0"/>
              <w:rPr>
                <w:sz w:val="1"/>
                <w:szCs w:val="1"/>
                <w:color w:val="auto"/>
              </w:rPr>
            </w:pPr>
          </w:p>
        </w:tc>
      </w:tr>
      <w:tr>
        <w:trPr>
          <w:trHeight w:val="239"/>
        </w:trPr>
        <w:tc>
          <w:tcPr>
            <w:tcW w:w="44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Tax-advantaged investment securities</w:t>
            </w:r>
          </w:p>
        </w:tc>
        <w:tc>
          <w:tcPr>
            <w:tcW w:w="3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(58 )</w:t>
            </w:r>
          </w:p>
        </w:tc>
        <w:tc>
          <w:tcPr>
            <w:tcW w:w="2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(49 )</w:t>
            </w:r>
          </w:p>
        </w:tc>
        <w:tc>
          <w:tcPr>
            <w:tcW w:w="0" w:type="dxa"/>
            <w:vAlign w:val="bottom"/>
          </w:tcPr>
          <w:p>
            <w:pPr>
              <w:spacing w:after="0"/>
              <w:rPr>
                <w:sz w:val="1"/>
                <w:szCs w:val="1"/>
                <w:color w:val="auto"/>
              </w:rPr>
            </w:pPr>
          </w:p>
        </w:tc>
      </w:tr>
      <w:tr>
        <w:trPr>
          <w:trHeight w:val="220"/>
        </w:trPr>
        <w:tc>
          <w:tcPr>
            <w:tcW w:w="44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Investment in FHLB stock</w:t>
            </w:r>
          </w:p>
        </w:tc>
        <w:tc>
          <w:tcPr>
            <w:tcW w:w="30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(98 )</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(147 )</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(223 )</w:t>
            </w:r>
          </w:p>
        </w:tc>
        <w:tc>
          <w:tcPr>
            <w:tcW w:w="0" w:type="dxa"/>
            <w:vAlign w:val="bottom"/>
          </w:tcPr>
          <w:p>
            <w:pPr>
              <w:spacing w:after="0"/>
              <w:rPr>
                <w:sz w:val="1"/>
                <w:szCs w:val="1"/>
                <w:color w:val="auto"/>
              </w:rPr>
            </w:pPr>
          </w:p>
        </w:tc>
      </w:tr>
      <w:tr>
        <w:trPr>
          <w:trHeight w:val="239"/>
        </w:trPr>
        <w:tc>
          <w:tcPr>
            <w:tcW w:w="4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Interest-earning deposits with other institutions</w:t>
            </w:r>
          </w:p>
        </w:tc>
        <w:tc>
          <w:tcPr>
            <w:tcW w:w="30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10,271</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10,564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4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Loans</w:t>
            </w:r>
          </w:p>
        </w:tc>
        <w:tc>
          <w:tcPr>
            <w:tcW w:w="30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(3,276 )</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5,478</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(463 )</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44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4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interest income</w:t>
            </w: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3,635</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6,235</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(345 )</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49"/>
        </w:trPr>
        <w:tc>
          <w:tcPr>
            <w:tcW w:w="44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3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Savings deposits</w:t>
            </w:r>
          </w:p>
        </w:tc>
        <w:tc>
          <w:tcPr>
            <w:tcW w:w="3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(948 )</w:t>
            </w:r>
          </w:p>
        </w:tc>
        <w:tc>
          <w:tcPr>
            <w:tcW w:w="2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9,313</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(608 )</w:t>
            </w: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7,757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4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Time deposits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1,827</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2,543</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FHLB advances, other borrowings, and</w:t>
            </w:r>
          </w:p>
        </w:tc>
        <w:tc>
          <w:tcPr>
            <w:tcW w:w="300" w:type="dxa"/>
            <w:vAlign w:val="bottom"/>
            <w:shd w:val="clear" w:color="auto" w:fill="CFF0FC"/>
          </w:tcPr>
          <w:p>
            <w:pPr>
              <w:spacing w:after="0"/>
              <w:rPr>
                <w:sz w:val="18"/>
                <w:szCs w:val="18"/>
                <w:color w:val="auto"/>
              </w:rPr>
            </w:pP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4,267</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1,387</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5,973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80" w:type="dxa"/>
            <w:vAlign w:val="bottom"/>
            <w:tcBorders>
              <w:bottom w:val="single" w:sz="8" w:color="CFF0FC"/>
            </w:tcBorders>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customer repurchase agreements</w:t>
            </w:r>
          </w:p>
        </w:tc>
        <w:tc>
          <w:tcPr>
            <w:tcW w:w="3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vMerge w:val="continue"/>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vMerge w:val="continue"/>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vMerge w:val="continue"/>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vMerge w:val="continue"/>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4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interest expense</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4,496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12,527</w:t>
            </w: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2,254</w:t>
            </w:r>
          </w:p>
        </w:tc>
        <w:tc>
          <w:tcPr>
            <w:tcW w:w="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4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Net interest income</w:t>
            </w: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(861 )</w:t>
            </w:r>
          </w:p>
        </w:tc>
        <w:tc>
          <w:tcPr>
            <w:tcW w:w="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(6,292 )</w:t>
            </w:r>
          </w:p>
        </w:tc>
        <w:tc>
          <w:tcPr>
            <w:tcW w:w="2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(2,599 )</w:t>
            </w: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(9,752 )</w:t>
            </w:r>
          </w:p>
        </w:tc>
        <w:tc>
          <w:tcPr>
            <w:tcW w:w="0" w:type="dxa"/>
            <w:vAlign w:val="bottom"/>
          </w:tcPr>
          <w:p>
            <w:pPr>
              <w:spacing w:after="0"/>
              <w:rPr>
                <w:sz w:val="1"/>
                <w:szCs w:val="1"/>
                <w:color w:val="auto"/>
              </w:rPr>
            </w:pPr>
          </w:p>
        </w:tc>
      </w:tr>
      <w:tr>
        <w:trPr>
          <w:trHeight w:val="20"/>
        </w:trPr>
        <w:tc>
          <w:tcPr>
            <w:tcW w:w="44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4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40" w:type="dxa"/>
            <w:vAlign w:val="bottom"/>
            <w:gridSpan w:val="7"/>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Comparison of Nine Months Ended September 30,</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100" w:type="dxa"/>
            <w:vAlign w:val="bottom"/>
            <w:gridSpan w:val="5"/>
          </w:tcPr>
          <w:p>
            <w:pPr>
              <w:jc w:val="center"/>
              <w:ind w:right="620"/>
              <w:spacing w:after="0"/>
              <w:rPr>
                <w:sz w:val="20"/>
                <w:szCs w:val="20"/>
                <w:color w:val="auto"/>
              </w:rPr>
            </w:pPr>
            <w:r>
              <w:rPr>
                <w:rFonts w:ascii="Times New Roman" w:cs="Times New Roman" w:eastAsia="Times New Roman" w:hAnsi="Times New Roman"/>
                <w:sz w:val="16"/>
                <w:szCs w:val="16"/>
                <w:b w:val="1"/>
                <w:bCs w:val="1"/>
                <w:color w:val="auto"/>
              </w:rPr>
              <w:t>2024 Compared to 2023</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4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3100" w:type="dxa"/>
            <w:vAlign w:val="bottom"/>
            <w:tcBorders>
              <w:bottom w:val="single" w:sz="8" w:color="auto"/>
            </w:tcBorders>
            <w:gridSpan w:val="5"/>
          </w:tcPr>
          <w:p>
            <w:pPr>
              <w:jc w:val="center"/>
              <w:ind w:right="640"/>
              <w:spacing w:after="0"/>
              <w:rPr>
                <w:sz w:val="20"/>
                <w:szCs w:val="20"/>
                <w:color w:val="auto"/>
              </w:rPr>
            </w:pPr>
            <w:r>
              <w:rPr>
                <w:rFonts w:ascii="Times New Roman" w:cs="Times New Roman" w:eastAsia="Times New Roman" w:hAnsi="Times New Roman"/>
                <w:sz w:val="16"/>
                <w:szCs w:val="16"/>
                <w:b w:val="1"/>
                <w:bCs w:val="1"/>
                <w:color w:val="auto"/>
              </w:rPr>
              <w:t>Increase (Decrease) Due to</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4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w w:val="98"/>
              </w:rPr>
              <w:t>Rate/</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44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Volume</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Rate</w:t>
            </w: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w w:val="97"/>
              </w:rPr>
              <w:t>Volume</w:t>
            </w: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4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100" w:type="dxa"/>
            <w:vAlign w:val="bottom"/>
            <w:gridSpan w:val="5"/>
          </w:tcPr>
          <w:p>
            <w:pPr>
              <w:jc w:val="center"/>
              <w:ind w:right="64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30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4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Available-for-sale securities:</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4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Taxable investment securities</w:t>
            </w: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(9,490 )</w:t>
            </w:r>
          </w:p>
        </w:tc>
        <w:tc>
          <w:tcPr>
            <w:tcW w:w="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12,968</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(2,018 )</w:t>
            </w: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4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Tax-advantaged investment securities</w:t>
            </w:r>
          </w:p>
        </w:tc>
        <w:tc>
          <w:tcPr>
            <w:tcW w:w="30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(4 )</w:t>
            </w:r>
          </w:p>
        </w:tc>
        <w:tc>
          <w:tcPr>
            <w:tcW w:w="0" w:type="dxa"/>
            <w:vAlign w:val="bottom"/>
          </w:tcPr>
          <w:p>
            <w:pPr>
              <w:spacing w:after="0"/>
              <w:rPr>
                <w:sz w:val="1"/>
                <w:szCs w:val="1"/>
                <w:color w:val="auto"/>
              </w:rPr>
            </w:pPr>
          </w:p>
        </w:tc>
      </w:tr>
      <w:tr>
        <w:trPr>
          <w:trHeight w:val="239"/>
        </w:trPr>
        <w:tc>
          <w:tcPr>
            <w:tcW w:w="4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Held-to-maturity securities:</w:t>
            </w:r>
          </w:p>
        </w:tc>
        <w:tc>
          <w:tcPr>
            <w:tcW w:w="30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4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Taxable investment securities</w:t>
            </w:r>
          </w:p>
        </w:tc>
        <w:tc>
          <w:tcPr>
            <w:tcW w:w="30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(1,631 )</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(1,009 )</w:t>
            </w:r>
          </w:p>
        </w:tc>
        <w:tc>
          <w:tcPr>
            <w:tcW w:w="0" w:type="dxa"/>
            <w:vAlign w:val="bottom"/>
          </w:tcPr>
          <w:p>
            <w:pPr>
              <w:spacing w:after="0"/>
              <w:rPr>
                <w:sz w:val="1"/>
                <w:szCs w:val="1"/>
                <w:color w:val="auto"/>
              </w:rPr>
            </w:pPr>
          </w:p>
        </w:tc>
      </w:tr>
      <w:tr>
        <w:trPr>
          <w:trHeight w:val="239"/>
        </w:trPr>
        <w:tc>
          <w:tcPr>
            <w:tcW w:w="44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Tax-advantaged investment securities</w:t>
            </w:r>
          </w:p>
        </w:tc>
        <w:tc>
          <w:tcPr>
            <w:tcW w:w="3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(208 )</w:t>
            </w:r>
          </w:p>
        </w:tc>
        <w:tc>
          <w:tcPr>
            <w:tcW w:w="2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(132 )</w:t>
            </w:r>
          </w:p>
        </w:tc>
        <w:tc>
          <w:tcPr>
            <w:tcW w:w="0" w:type="dxa"/>
            <w:vAlign w:val="bottom"/>
          </w:tcPr>
          <w:p>
            <w:pPr>
              <w:spacing w:after="0"/>
              <w:rPr>
                <w:sz w:val="1"/>
                <w:szCs w:val="1"/>
                <w:color w:val="auto"/>
              </w:rPr>
            </w:pPr>
          </w:p>
        </w:tc>
      </w:tr>
      <w:tr>
        <w:trPr>
          <w:trHeight w:val="220"/>
        </w:trPr>
        <w:tc>
          <w:tcPr>
            <w:tcW w:w="44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Investment in FHLB stock</w:t>
            </w:r>
          </w:p>
        </w:tc>
        <w:tc>
          <w:tcPr>
            <w:tcW w:w="30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(658 )</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(74 )</w:t>
            </w:r>
          </w:p>
        </w:tc>
        <w:tc>
          <w:tcPr>
            <w:tcW w:w="3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(259 )</w:t>
            </w:r>
          </w:p>
        </w:tc>
        <w:tc>
          <w:tcPr>
            <w:tcW w:w="0" w:type="dxa"/>
            <w:vAlign w:val="bottom"/>
          </w:tcPr>
          <w:p>
            <w:pPr>
              <w:spacing w:after="0"/>
              <w:rPr>
                <w:sz w:val="1"/>
                <w:szCs w:val="1"/>
                <w:color w:val="auto"/>
              </w:rPr>
            </w:pPr>
          </w:p>
        </w:tc>
      </w:tr>
      <w:tr>
        <w:trPr>
          <w:trHeight w:val="239"/>
        </w:trPr>
        <w:tc>
          <w:tcPr>
            <w:tcW w:w="4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Interest-earning deposits with other institutions</w:t>
            </w:r>
          </w:p>
        </w:tc>
        <w:tc>
          <w:tcPr>
            <w:tcW w:w="30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26,739</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(6,062 )</w:t>
            </w: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21,301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4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Loans</w:t>
            </w:r>
          </w:p>
        </w:tc>
        <w:tc>
          <w:tcPr>
            <w:tcW w:w="30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(9,268 )</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26,658</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(4,486 )</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44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4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interest income</w:t>
            </w: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5,463</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41,068</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(12,270 )</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34,261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49"/>
        </w:trPr>
        <w:tc>
          <w:tcPr>
            <w:tcW w:w="44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3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Savings deposits</w:t>
            </w:r>
          </w:p>
        </w:tc>
        <w:tc>
          <w:tcPr>
            <w:tcW w:w="3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(2,543 )</w:t>
            </w:r>
          </w:p>
        </w:tc>
        <w:tc>
          <w:tcPr>
            <w:tcW w:w="2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46,155</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(13,036 )</w:t>
            </w: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30,576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4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Time deposits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7,638</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4,169</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FHLB advances, other borrowings, and</w:t>
            </w:r>
          </w:p>
        </w:tc>
        <w:tc>
          <w:tcPr>
            <w:tcW w:w="300" w:type="dxa"/>
            <w:vAlign w:val="bottom"/>
            <w:shd w:val="clear" w:color="auto" w:fill="CFF0FC"/>
          </w:tcPr>
          <w:p>
            <w:pPr>
              <w:spacing w:after="0"/>
              <w:rPr>
                <w:sz w:val="18"/>
                <w:szCs w:val="18"/>
                <w:color w:val="auto"/>
              </w:rPr>
            </w:pP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16,001</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10,034</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2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(4,588 )</w:t>
            </w:r>
          </w:p>
        </w:tc>
        <w:tc>
          <w:tcPr>
            <w:tcW w:w="320" w:type="dxa"/>
            <w:vAlign w:val="bottom"/>
            <w:shd w:val="clear" w:color="auto" w:fill="CFF0FC"/>
          </w:tcPr>
          <w:p>
            <w:pPr>
              <w:spacing w:after="0"/>
              <w:rPr>
                <w:sz w:val="18"/>
                <w:szCs w:val="18"/>
                <w:color w:val="auto"/>
              </w:rPr>
            </w:pPr>
          </w:p>
        </w:tc>
        <w:tc>
          <w:tcPr>
            <w:tcW w:w="1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21,447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customer repurchase agreements</w:t>
            </w:r>
          </w:p>
        </w:tc>
        <w:tc>
          <w:tcPr>
            <w:tcW w:w="300" w:type="dxa"/>
            <w:vAlign w:val="bottom"/>
            <w:shd w:val="clear" w:color="auto" w:fill="CFF0FC"/>
          </w:tcPr>
          <w:p>
            <w:pPr>
              <w:spacing w:after="0"/>
              <w:rPr>
                <w:sz w:val="18"/>
                <w:szCs w:val="18"/>
                <w:color w:val="auto"/>
              </w:rPr>
            </w:pPr>
          </w:p>
        </w:tc>
        <w:tc>
          <w:tcPr>
            <w:tcW w:w="118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vMerge w:val="continue"/>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20" w:type="dxa"/>
            <w:vAlign w:val="bottom"/>
            <w:gridSpan w:val="2"/>
            <w:vMerge w:val="continue"/>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4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interest expense</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15,594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63,827</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(13,455 )</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44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44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Net interest income</w:t>
            </w: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(10,131 )</w:t>
            </w:r>
          </w:p>
        </w:tc>
        <w:tc>
          <w:tcPr>
            <w:tcW w:w="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(22,759 )</w:t>
            </w:r>
          </w:p>
        </w:tc>
        <w:tc>
          <w:tcPr>
            <w:tcW w:w="2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1,185</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(31,705 )</w:t>
            </w:r>
          </w:p>
        </w:tc>
        <w:tc>
          <w:tcPr>
            <w:tcW w:w="0" w:type="dxa"/>
            <w:vAlign w:val="bottom"/>
          </w:tcPr>
          <w:p>
            <w:pPr>
              <w:spacing w:after="0"/>
              <w:rPr>
                <w:sz w:val="1"/>
                <w:szCs w:val="1"/>
                <w:color w:val="auto"/>
              </w:rPr>
            </w:pPr>
          </w:p>
        </w:tc>
      </w:tr>
      <w:tr>
        <w:trPr>
          <w:trHeight w:val="20"/>
        </w:trPr>
        <w:tc>
          <w:tcPr>
            <w:tcW w:w="44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-5005705</wp:posOffset>
            </wp:positionV>
            <wp:extent cx="77470"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-5005705</wp:posOffset>
            </wp:positionV>
            <wp:extent cx="68580"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-5005705</wp:posOffset>
            </wp:positionV>
            <wp:extent cx="68580"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-5005705</wp:posOffset>
            </wp:positionV>
            <wp:extent cx="68580"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-4148455</wp:posOffset>
            </wp:positionV>
            <wp:extent cx="77470"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-4148455</wp:posOffset>
            </wp:positionV>
            <wp:extent cx="68580"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-4148455</wp:posOffset>
            </wp:positionV>
            <wp:extent cx="68580"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-4148455</wp:posOffset>
            </wp:positionV>
            <wp:extent cx="68580"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-3839845</wp:posOffset>
            </wp:positionV>
            <wp:extent cx="77470"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-3822700</wp:posOffset>
            </wp:positionV>
            <wp:extent cx="77470"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-3839845</wp:posOffset>
            </wp:positionV>
            <wp:extent cx="68580"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-3822700</wp:posOffset>
            </wp:positionV>
            <wp:extent cx="68580"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-3839845</wp:posOffset>
            </wp:positionV>
            <wp:extent cx="68580"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-3822700</wp:posOffset>
            </wp:positionV>
            <wp:extent cx="68580"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-3839845</wp:posOffset>
            </wp:positionV>
            <wp:extent cx="68580"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-3822700</wp:posOffset>
            </wp:positionV>
            <wp:extent cx="68580"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-1190625</wp:posOffset>
            </wp:positionV>
            <wp:extent cx="77470"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-1190625</wp:posOffset>
            </wp:positionV>
            <wp:extent cx="6858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-1190625</wp:posOffset>
            </wp:positionV>
            <wp:extent cx="68580"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-1190625</wp:posOffset>
            </wp:positionV>
            <wp:extent cx="68580"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-333375</wp:posOffset>
            </wp:positionV>
            <wp:extent cx="77470"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-333375</wp:posOffset>
            </wp:positionV>
            <wp:extent cx="68580"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-333375</wp:posOffset>
            </wp:positionV>
            <wp:extent cx="68580"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wp:posOffset>
            </wp:positionV>
            <wp:extent cx="68580"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-24765</wp:posOffset>
            </wp:positionV>
            <wp:extent cx="77470"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-7620</wp:posOffset>
            </wp:positionV>
            <wp:extent cx="77470"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-24765</wp:posOffset>
            </wp:positionV>
            <wp:extent cx="68580"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-7620</wp:posOffset>
            </wp:positionV>
            <wp:extent cx="68580"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-24765</wp:posOffset>
            </wp:positionV>
            <wp:extent cx="68580"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-7620</wp:posOffset>
            </wp:positionV>
            <wp:extent cx="68580"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7" w:name="page48"/>
    <w:bookmarkEnd w:id="47"/>
    <w:p>
      <w:pPr>
        <w:ind w:left="480"/>
        <w:spacing w:after="0"/>
        <w:rPr>
          <w:sz w:val="20"/>
          <w:szCs w:val="20"/>
          <w:color w:val="auto"/>
        </w:rPr>
      </w:pPr>
      <w:r>
        <w:rPr>
          <w:rFonts w:ascii="Times New Roman" w:cs="Times New Roman" w:eastAsia="Times New Roman" w:hAnsi="Times New Roman"/>
          <w:sz w:val="18"/>
          <w:szCs w:val="18"/>
          <w:i w:val="1"/>
          <w:iCs w:val="1"/>
          <w:color w:val="auto"/>
        </w:rPr>
        <w:t>Third Quarter of 2024 Compared to the Third Quarter of 2023</w:t>
      </w:r>
    </w:p>
    <w:p>
      <w:pPr>
        <w:spacing w:after="0" w:line="187" w:lineRule="exact"/>
        <w:rPr>
          <w:sz w:val="20"/>
          <w:szCs w:val="20"/>
          <w:color w:val="auto"/>
        </w:rPr>
      </w:pPr>
    </w:p>
    <w:p>
      <w:pPr>
        <w:ind w:firstLine="464"/>
        <w:spacing w:after="0" w:line="254" w:lineRule="auto"/>
        <w:rPr>
          <w:sz w:val="20"/>
          <w:szCs w:val="20"/>
          <w:color w:val="auto"/>
        </w:rPr>
      </w:pPr>
      <w:r>
        <w:rPr>
          <w:rFonts w:ascii="Times New Roman" w:cs="Times New Roman" w:eastAsia="Times New Roman" w:hAnsi="Times New Roman"/>
          <w:sz w:val="18"/>
          <w:szCs w:val="18"/>
          <w:color w:val="auto"/>
        </w:rPr>
        <w:t>Net interest income, before provision for credit losses, of $113.6 million for the third quarter of 2024 decreased by $9.8 million, or 7.90%, from the third quarter of 2023. The decline in net interest income compared to the third quarter of 2023 was primarily due to a 26 basis point decline in net interest margin. The decline in net interest margin was the result of a 55 basis point increase in funding costs, which was partially offset by a 25 basis point increase in the average earning asset yield. The increase in earning asset yield was positively impacted by a 24 basis point increase in loan yields and a modest change in the mix of assets, with higher yielding balances at the Federal Reserve increasing and the lower yielding investment portfolio declining. Compared to the third quarter of 2023, the average balance of investment securities decreased by $462.6 million, declining from 37% to 34% of total earning assets. Conversely, the average amount of funds held at the Federal Reserve increased by $748.8 million, growing from 3.1% of total earning assets in the third quarter of 2023 to 8.2% for the third quarter of 2024.</w:t>
      </w:r>
    </w:p>
    <w:p>
      <w:pPr>
        <w:spacing w:after="0" w:line="192" w:lineRule="exact"/>
        <w:rPr>
          <w:sz w:val="20"/>
          <w:szCs w:val="20"/>
          <w:color w:val="auto"/>
        </w:rPr>
      </w:pPr>
    </w:p>
    <w:p>
      <w:pPr>
        <w:ind w:right="40" w:firstLine="464"/>
        <w:spacing w:after="0" w:line="261" w:lineRule="auto"/>
        <w:rPr>
          <w:sz w:val="20"/>
          <w:szCs w:val="20"/>
          <w:color w:val="auto"/>
        </w:rPr>
      </w:pPr>
      <w:r>
        <w:rPr>
          <w:rFonts w:ascii="Times New Roman" w:cs="Times New Roman" w:eastAsia="Times New Roman" w:hAnsi="Times New Roman"/>
          <w:sz w:val="18"/>
          <w:szCs w:val="18"/>
          <w:color w:val="auto"/>
        </w:rPr>
        <w:t>Total interest income of $165.8 million grew by $9.5 million, or 6.10%, when compared to the third quarter of 2023. This increase was primarily due to a 25 basis point expansion of the yield on earning assets. Average loan balances declined by $257.2 million. Loan yields grew from 5.07% for the third quarter of 2023 to 5.31% for the third quarter of 2024. Likewise, the yield on investment securities increased by 3 basis points from the prior year, including the $496,000 increase in interest income associated with fair value hedges executed in June of 2023.</w:t>
      </w:r>
    </w:p>
    <w:p>
      <w:pPr>
        <w:spacing w:after="0" w:line="180" w:lineRule="exact"/>
        <w:rPr>
          <w:sz w:val="20"/>
          <w:szCs w:val="20"/>
          <w:color w:val="auto"/>
        </w:rPr>
      </w:pPr>
    </w:p>
    <w:p>
      <w:pPr>
        <w:ind w:right="80" w:firstLine="464"/>
        <w:spacing w:after="0" w:line="261" w:lineRule="auto"/>
        <w:rPr>
          <w:sz w:val="20"/>
          <w:szCs w:val="20"/>
          <w:color w:val="auto"/>
        </w:rPr>
      </w:pPr>
      <w:r>
        <w:rPr>
          <w:rFonts w:ascii="Times New Roman" w:cs="Times New Roman" w:eastAsia="Times New Roman" w:hAnsi="Times New Roman"/>
          <w:sz w:val="18"/>
          <w:szCs w:val="18"/>
          <w:color w:val="auto"/>
        </w:rPr>
        <w:t>Total interest income and fees on loans for the third quarter of 2024 was $114.9 million, an increase of $1.7 million, or 1.54%, from the third quarter of 2023. This increase in income was primarily due to higher loan yields, which grew from 5.07% in the third quarter of 2023 to 5.31% in the second quarter of 2024. Loan yields grew year-over-year, as rising interest rates contributed to an increase in yields on loans indexed to the Prime rate or other short-term indexes, as well as higher rates from newly originated loans.</w:t>
      </w:r>
    </w:p>
    <w:p>
      <w:pPr>
        <w:spacing w:after="0" w:line="180" w:lineRule="exact"/>
        <w:rPr>
          <w:sz w:val="20"/>
          <w:szCs w:val="20"/>
          <w:color w:val="auto"/>
        </w:rPr>
      </w:pPr>
    </w:p>
    <w:p>
      <w:pPr>
        <w:ind w:right="20" w:firstLine="469"/>
        <w:spacing w:after="0" w:line="258" w:lineRule="auto"/>
        <w:rPr>
          <w:sz w:val="20"/>
          <w:szCs w:val="20"/>
          <w:color w:val="auto"/>
        </w:rPr>
      </w:pPr>
      <w:r>
        <w:rPr>
          <w:rFonts w:ascii="Times New Roman" w:cs="Times New Roman" w:eastAsia="Times New Roman" w:hAnsi="Times New Roman"/>
          <w:sz w:val="18"/>
          <w:szCs w:val="18"/>
          <w:color w:val="auto"/>
        </w:rPr>
        <w:t>Interest income from investment securities was $33.5 million, a decrease of $2.6 million, or 7.09%, from the third quarter of 2023. The decrease was driven by a $462.6 million decline in the average balance of investment on securities, including the impact from the sale of $312 million of AFS securities during the third quarter of 2024. The three basis point increase in yield includes the positive carry on the fair value hedges executed in late June of 2023, which resulted in $4.3 million of interest income in the third quarter of 2024, compared to $3.8 million in the third quarter of 2023. Excluding the impact of these swaps, interest income on investment securities would have declined by $3.1 million.</w:t>
      </w:r>
    </w:p>
    <w:p>
      <w:pPr>
        <w:spacing w:after="0" w:line="183" w:lineRule="exact"/>
        <w:rPr>
          <w:sz w:val="20"/>
          <w:szCs w:val="20"/>
          <w:color w:val="auto"/>
        </w:rPr>
      </w:pPr>
    </w:p>
    <w:p>
      <w:pPr>
        <w:ind w:right="40" w:firstLine="469"/>
        <w:spacing w:after="0" w:line="254" w:lineRule="auto"/>
        <w:rPr>
          <w:sz w:val="20"/>
          <w:szCs w:val="20"/>
          <w:color w:val="auto"/>
        </w:rPr>
      </w:pPr>
      <w:r>
        <w:rPr>
          <w:rFonts w:ascii="Times New Roman" w:cs="Times New Roman" w:eastAsia="Times New Roman" w:hAnsi="Times New Roman"/>
          <w:sz w:val="18"/>
          <w:szCs w:val="18"/>
          <w:color w:val="auto"/>
        </w:rPr>
        <w:t>Interest expense of $52.1 million for the third quarter of 2024, increased $19.3 million, compared to the third quarter of 2023. Total cost of funds of 1.47% for the third quarter of 2024 increased from 0.92% for the year ago quarter. This 55 basis point increase in cost of funds was primarily the result of a 104 basis point increase in the cost of total interest-bearing deposits. Interest expense on time deposits grew by $5.5 million, as total time deposits grew by $431.9 million on average over the prior year quarter, including the impact from adding $400 million of brokered time deposits during the first quarter of 2024. Interest expense for non-maturity interest-bearing deposits, increased by $7.8 million over the third quarter of 2023, as a $270.6 million decline in the average balance of these deposits was offset by an increase in the cost of these interest-bearing deposits from 1.39% in the prior year quarter to 2.22% for the third quarter of 2024. Average noninterest-bearing deposits were 59.10% of total deposits for the third quarter of 2024, compared to 62.09% for the third quarter of 2023. Interest expense on borrowings increased by $4.6 million, compared to the third quarter of 2023, due to an increase in average borrowings of $411.3 million, which had an average borrowing cost of 4.77% in the third quarter of 2024, compared to 4.84% in the prior year quarter.</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48" w:name="page49"/>
    <w:bookmarkEnd w:id="48"/>
    <w:p>
      <w:pPr>
        <w:ind w:left="480"/>
        <w:spacing w:after="0"/>
        <w:rPr>
          <w:sz w:val="20"/>
          <w:szCs w:val="20"/>
          <w:color w:val="auto"/>
        </w:rPr>
      </w:pPr>
      <w:r>
        <w:rPr>
          <w:rFonts w:ascii="Times New Roman" w:cs="Times New Roman" w:eastAsia="Times New Roman" w:hAnsi="Times New Roman"/>
          <w:sz w:val="18"/>
          <w:szCs w:val="18"/>
          <w:i w:val="1"/>
          <w:iCs w:val="1"/>
          <w:color w:val="auto"/>
        </w:rPr>
        <w:t>Nine Months of 2024 Compared to Nine Months of 2023</w:t>
      </w:r>
    </w:p>
    <w:p>
      <w:pPr>
        <w:spacing w:after="0" w:line="187" w:lineRule="exact"/>
        <w:rPr>
          <w:sz w:val="20"/>
          <w:szCs w:val="20"/>
          <w:color w:val="auto"/>
        </w:rPr>
      </w:pPr>
    </w:p>
    <w:p>
      <w:pPr>
        <w:ind w:right="100" w:firstLine="469"/>
        <w:spacing w:after="0" w:line="261" w:lineRule="auto"/>
        <w:rPr>
          <w:sz w:val="20"/>
          <w:szCs w:val="20"/>
          <w:color w:val="auto"/>
        </w:rPr>
      </w:pPr>
      <w:r>
        <w:rPr>
          <w:rFonts w:ascii="Times New Roman" w:cs="Times New Roman" w:eastAsia="Times New Roman" w:hAnsi="Times New Roman"/>
          <w:sz w:val="18"/>
          <w:szCs w:val="18"/>
          <w:color w:val="auto"/>
        </w:rPr>
        <w:t>Net interest income, before provision for credit losses, was $336.9 million for the nine months ended September 30, 2024, a decrease of $31.7 million, or 8.6%, compared to $368.6 million for the same period of 2023. Interest-earning assets decreased on average by $138.6 million, or 0.93%, from $14.89 billion for the nine months ended September 30, 2023 to $14.75 billion for the same period in the current year. Our net interest margin (TE) was 3.06% for the first nine months of 2024, compared to 3.32% for the same period of 2023.</w:t>
      </w:r>
    </w:p>
    <w:p>
      <w:pPr>
        <w:spacing w:after="0" w:line="180" w:lineRule="exact"/>
        <w:rPr>
          <w:sz w:val="20"/>
          <w:szCs w:val="20"/>
          <w:color w:val="auto"/>
        </w:rPr>
      </w:pPr>
    </w:p>
    <w:p>
      <w:pPr>
        <w:ind w:firstLine="464"/>
        <w:spacing w:after="0" w:line="254" w:lineRule="auto"/>
        <w:rPr>
          <w:sz w:val="20"/>
          <w:szCs w:val="20"/>
          <w:color w:val="auto"/>
        </w:rPr>
      </w:pPr>
      <w:r>
        <w:rPr>
          <w:rFonts w:ascii="Times New Roman" w:cs="Times New Roman" w:eastAsia="Times New Roman" w:hAnsi="Times New Roman"/>
          <w:sz w:val="18"/>
          <w:szCs w:val="18"/>
          <w:color w:val="auto"/>
        </w:rPr>
        <w:t>Total interest income of $482.5 million for the nine months ended September 30, 2024, was $34.3 million, or 7.64%, higher than the same period of 2023. This increase was primarily due to a 34 basis point expansion of the yield on earning assets, which offset a $138.6 million decline in average earning assets. The $138.6 million year-over-year decrease in average earning assets resulted from a decline of $449.8 million in average investment securities and a $185.6 million decrease in our average loan balances, offset by a $500.7 million increase the average amount of funds held at the Federal Reserve. The 34 basis point increase in the average earning asset yield compared to the first nine months of 2023 resulted from both a 30 basis point increase in loan yields and a $7.8 million increase in interest income from the fair value hedges that were initiated in June of 2023. The fair value hedges impacted the yield on investment securities, resulting in an increase from 2.42% for the first nine months of 2023 to 2.63% for the nine months ended September 30, 2024. Interest income from funds deposited at the Federal Reserve increased by $12.9 million, primary due to a $500.7 million increase in average balances at the Federal Reserve.</w:t>
      </w:r>
    </w:p>
    <w:p>
      <w:pPr>
        <w:spacing w:after="0" w:line="188" w:lineRule="exact"/>
        <w:rPr>
          <w:sz w:val="20"/>
          <w:szCs w:val="20"/>
          <w:color w:val="auto"/>
        </w:rPr>
      </w:pPr>
    </w:p>
    <w:p>
      <w:pPr>
        <w:ind w:right="160" w:firstLine="464"/>
        <w:spacing w:after="0" w:line="266" w:lineRule="auto"/>
        <w:rPr>
          <w:sz w:val="20"/>
          <w:szCs w:val="20"/>
          <w:color w:val="auto"/>
        </w:rPr>
      </w:pPr>
      <w:r>
        <w:rPr>
          <w:rFonts w:ascii="Times New Roman" w:cs="Times New Roman" w:eastAsia="Times New Roman" w:hAnsi="Times New Roman"/>
          <w:sz w:val="18"/>
          <w:szCs w:val="18"/>
          <w:color w:val="auto"/>
        </w:rPr>
        <w:t>Total interest income and fees on loans for the nine months ended September 30, 2024, was $345.5 million, an increase of $12.9 million, or 3.88%, when compared to the same period of 2023. This increase in income was due to higher loan yields, which grew year-over-year, as rising interest rates contributed to an increase in yields from 4.99% for the first nine months of 2023 to 5.29% for the same period of 2024.</w:t>
      </w:r>
    </w:p>
    <w:p>
      <w:pPr>
        <w:spacing w:after="0" w:line="176" w:lineRule="exact"/>
        <w:rPr>
          <w:sz w:val="20"/>
          <w:szCs w:val="20"/>
          <w:color w:val="auto"/>
        </w:rPr>
      </w:pPr>
    </w:p>
    <w:p>
      <w:pPr>
        <w:ind w:right="80" w:firstLine="464"/>
        <w:spacing w:after="0" w:line="258" w:lineRule="auto"/>
        <w:rPr>
          <w:sz w:val="20"/>
          <w:szCs w:val="20"/>
          <w:color w:val="auto"/>
        </w:rPr>
      </w:pPr>
      <w:r>
        <w:rPr>
          <w:rFonts w:ascii="Times New Roman" w:cs="Times New Roman" w:eastAsia="Times New Roman" w:hAnsi="Times New Roman"/>
          <w:sz w:val="18"/>
          <w:szCs w:val="18"/>
          <w:color w:val="auto"/>
        </w:rPr>
        <w:t>Interest income from investment securities of $103.0 million for the nine months ended September 30, 2024, increased $315,000 from $102.7 million for the first nine months of 2023. This increase was driven by a 22 basis point increase in the yield on securities, compared to the first nine months of 2023. The increase in yield includes the positive carry on the fair value hedges executed in late June of 2023. Excluding the impact of these swaps, interest income on investment securities would have declined by $7.5 million, as average investment securities decreased by $449.8 million when compared with the third quarter of 2023.</w:t>
      </w:r>
    </w:p>
    <w:p>
      <w:pPr>
        <w:spacing w:after="0" w:line="183" w:lineRule="exact"/>
        <w:rPr>
          <w:sz w:val="20"/>
          <w:szCs w:val="20"/>
          <w:color w:val="auto"/>
        </w:rPr>
      </w:pPr>
    </w:p>
    <w:p>
      <w:pPr>
        <w:ind w:right="40" w:firstLine="464"/>
        <w:spacing w:after="0" w:line="253" w:lineRule="auto"/>
        <w:rPr>
          <w:sz w:val="20"/>
          <w:szCs w:val="20"/>
          <w:color w:val="auto"/>
        </w:rPr>
      </w:pPr>
      <w:r>
        <w:rPr>
          <w:rFonts w:ascii="Times New Roman" w:cs="Times New Roman" w:eastAsia="Times New Roman" w:hAnsi="Times New Roman"/>
          <w:sz w:val="18"/>
          <w:szCs w:val="18"/>
          <w:color w:val="auto"/>
        </w:rPr>
        <w:t>Interest expense of $145.6 million for the nine months ended September 30, 2024, increased by $66.0 million from the same period of 2023. Total cost of funds for the first nine months of 2024 was 1.39%, compared with 0.75% for the same period of 2023. Noninterest-bearing deposits for the nine months ending September 30, 2024, declined on average by $755.2 million, compared to the first nine months of 2023, but continued to represent more than 60% of total average deposits for the nine month period. Average noninterest-bearing deposits represented 60.32% of our total deposits for the nine months ended September 30, 2024, compared to 63.10% for the same period of 2023. The rate on interest-bearing deposits for the first nine months of 2024 increased by 125 basis points from the same period in 2023. Time deposits increased on average between the two periods by $344.0 million, with the cost of time deposits increasing from 0.62% in the prior year period to 3.19% for the first nine months of 2024. The $13.9 million increase in interest expense on time deposits was driven by the addition of $400 million in brokered time deposits during the first quarter of 2024. Non-maturity interest-bearing deposits declined on average from the prior year period by $263.3 million, while the cost of these deposits increased by 1.06%, resulting in a $30.6 million increase in interest expense. Average borrowings for the first nine months of 2024 were $1.86 billion at a cost of 4.76%, compared with 4.86% on $1.27 billion of borrowings for the same period of 2023, resulting in a $19.9 million increase in interest expense.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1"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(Recapture of) Credit Losses</w:t>
      </w:r>
    </w:p>
    <w:p>
      <w:pPr>
        <w:spacing w:after="0" w:line="229" w:lineRule="exact"/>
        <w:rPr>
          <w:sz w:val="20"/>
          <w:szCs w:val="20"/>
          <w:color w:val="auto"/>
        </w:rPr>
      </w:pPr>
    </w:p>
    <w:p>
      <w:pPr>
        <w:ind w:right="1000" w:firstLine="469"/>
        <w:spacing w:after="0" w:line="282" w:lineRule="auto"/>
        <w:rPr>
          <w:sz w:val="20"/>
          <w:szCs w:val="20"/>
          <w:color w:val="auto"/>
        </w:rPr>
      </w:pPr>
      <w:r>
        <w:rPr>
          <w:rFonts w:ascii="Times New Roman" w:cs="Times New Roman" w:eastAsia="Times New Roman" w:hAnsi="Times New Roman"/>
          <w:sz w:val="18"/>
          <w:szCs w:val="18"/>
          <w:color w:val="auto"/>
        </w:rPr>
        <w:t>The provision for (recapture of) credit losses is a charge to earnings to maintain the allowance for credit losses at a level consistent with management’s assessment of expected lifetime losses in the loan portfolio as of the balance sheet date.</w:t>
      </w:r>
    </w:p>
    <w:p>
      <w:pPr>
        <w:spacing w:after="0" w:line="162" w:lineRule="exact"/>
        <w:rPr>
          <w:sz w:val="20"/>
          <w:szCs w:val="20"/>
          <w:color w:val="auto"/>
        </w:rPr>
      </w:pPr>
    </w:p>
    <w:p>
      <w:pPr>
        <w:ind w:right="100" w:firstLine="469"/>
        <w:spacing w:after="0" w:line="266" w:lineRule="auto"/>
        <w:rPr>
          <w:sz w:val="20"/>
          <w:szCs w:val="20"/>
          <w:color w:val="auto"/>
        </w:rPr>
      </w:pPr>
      <w:r>
        <w:rPr>
          <w:rFonts w:ascii="Times New Roman" w:cs="Times New Roman" w:eastAsia="Times New Roman" w:hAnsi="Times New Roman"/>
          <w:sz w:val="18"/>
          <w:szCs w:val="18"/>
          <w:color w:val="auto"/>
        </w:rPr>
        <w:t>There was no provision for credit losses in the third quarter of 2024, compared to $2.0 million in provision in the third quarter of 2023. Net recoveries for the third quarter of 2024 were $156,000, compared to $28,000 in the third quarter of 2023. Allowance for credit losses represented 0.97% of total loans at September 30, 2024, compared to 0.98% at December 31, 2024 and 1.00% at September 30, 2023.</w:t>
      </w:r>
    </w:p>
    <w:p>
      <w:pPr>
        <w:spacing w:after="0" w:line="176" w:lineRule="exact"/>
        <w:rPr>
          <w:sz w:val="20"/>
          <w:szCs w:val="20"/>
          <w:color w:val="auto"/>
        </w:rPr>
      </w:pPr>
    </w:p>
    <w:p>
      <w:pPr>
        <w:ind w:right="80" w:firstLine="469"/>
        <w:spacing w:after="0" w:line="256" w:lineRule="auto"/>
        <w:rPr>
          <w:sz w:val="20"/>
          <w:szCs w:val="20"/>
          <w:color w:val="auto"/>
        </w:rPr>
      </w:pPr>
      <w:r>
        <w:rPr>
          <w:rFonts w:ascii="Times New Roman" w:cs="Times New Roman" w:eastAsia="Times New Roman" w:hAnsi="Times New Roman"/>
          <w:sz w:val="18"/>
          <w:szCs w:val="18"/>
          <w:color w:val="auto"/>
        </w:rPr>
        <w:t>There was no provision for credit losses for the nine months ended September 30, 2024, compared to $4.0 million in provision for credit losses for the same period of 2023. We experienced credit charge-offs of $4.3 million and total recoveries of $444,000, resulting in net charge-offs of $3.9 million for 2024 year-to-date. For the nine months ended September 30, 2023, we experienced credit charge-offs of $224,000 and total recoveries of $102,000, resulting in net charge-offs of $122,000. Refer to the discussion of “Allowance for Credit Losses” in Item 2 – Management’s Discussion and Analysis of Financial Condition and Results of Operations contained herein for discussion concerning observed changes in the credit quality of various components of our loan portfolio as well as changes and refinements to our methodology.</w:t>
      </w:r>
    </w:p>
    <w:p>
      <w:pPr>
        <w:spacing w:after="0" w:line="187" w:lineRule="exact"/>
        <w:rPr>
          <w:sz w:val="20"/>
          <w:szCs w:val="20"/>
          <w:color w:val="auto"/>
        </w:rPr>
      </w:pPr>
    </w:p>
    <w:p>
      <w:pPr>
        <w:ind w:right="100" w:firstLine="464"/>
        <w:spacing w:after="0" w:line="258" w:lineRule="auto"/>
        <w:rPr>
          <w:sz w:val="20"/>
          <w:szCs w:val="20"/>
          <w:color w:val="auto"/>
        </w:rPr>
      </w:pPr>
      <w:r>
        <w:rPr>
          <w:rFonts w:ascii="Times New Roman" w:cs="Times New Roman" w:eastAsia="Times New Roman" w:hAnsi="Times New Roman"/>
          <w:sz w:val="18"/>
          <w:szCs w:val="18"/>
          <w:color w:val="auto"/>
        </w:rPr>
        <w:t xml:space="preserve">No assurance can be given that economic conditions which affect the Company’s service areas or other circumstances will or will not be reflected in future changes in the level of our allowance for credit losses and the resulting provision or recapture of provision for credit losses. The process to estimate the allowance for credit losses requires considerable judgment and our economic forecasts may continue to vary due to the uncertainty of the future impact from the recent rise in interest rates, geopolitical events, and the continued inflationary pressures will have on future interest rates, unemployment, the overall economy and resulting impact on our customers. See “Allowance for Credit Losses” under </w:t>
      </w:r>
      <w:r>
        <w:rPr>
          <w:rFonts w:ascii="Times New Roman" w:cs="Times New Roman" w:eastAsia="Times New Roman" w:hAnsi="Times New Roman"/>
          <w:sz w:val="18"/>
          <w:szCs w:val="18"/>
          <w:i w:val="1"/>
          <w:iCs w:val="1"/>
          <w:color w:val="auto"/>
        </w:rPr>
        <w:t>Analysis of Financial Condition</w:t>
      </w:r>
      <w:r>
        <w:rPr>
          <w:rFonts w:ascii="Times New Roman" w:cs="Times New Roman" w:eastAsia="Times New Roman" w:hAnsi="Times New Roman"/>
          <w:sz w:val="18"/>
          <w:szCs w:val="18"/>
          <w:color w:val="auto"/>
        </w:rPr>
        <w:t xml:space="preserve"> herein.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Noninterest Income</w:t>
      </w:r>
    </w:p>
    <w:p>
      <w:pPr>
        <w:spacing w:after="0" w:line="229" w:lineRule="exact"/>
        <w:rPr>
          <w:sz w:val="20"/>
          <w:szCs w:val="20"/>
          <w:color w:val="auto"/>
        </w:rPr>
      </w:pPr>
    </w:p>
    <w:p>
      <w:pPr>
        <w:ind w:right="220" w:firstLine="469"/>
        <w:spacing w:after="0" w:line="261" w:lineRule="auto"/>
        <w:rPr>
          <w:sz w:val="20"/>
          <w:szCs w:val="20"/>
          <w:color w:val="auto"/>
        </w:rPr>
      </w:pPr>
      <w:r>
        <w:rPr>
          <w:rFonts w:ascii="Times New Roman" w:cs="Times New Roman" w:eastAsia="Times New Roman" w:hAnsi="Times New Roman"/>
          <w:sz w:val="18"/>
          <w:szCs w:val="18"/>
          <w:color w:val="auto"/>
        </w:rPr>
        <w:t>Noninterest income includes income derived from financial services offered to our customers, such as CitizensTrust, merchant processing and card services, international banking, and other business services. Also included in noninterest income are service charges and fees, primarily from deposit accounts, gains (net of losses) from the disposition of investment securities, loans, other real estate owned, and fixed assets, and other revenues not included as interest on earning assets.</w:t>
      </w:r>
    </w:p>
    <w:p>
      <w:pPr>
        <w:spacing w:after="0" w:line="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sets forth the various components of noninterest income for the periods presented.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4"/>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4"/>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4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4"/>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w w:val="99"/>
              </w:rPr>
              <w:t>Variance</w:t>
            </w:r>
          </w:p>
        </w:tc>
        <w:tc>
          <w:tcPr>
            <w:tcW w:w="6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4"/>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(Dollars in</w:t>
            </w:r>
          </w:p>
        </w:tc>
        <w:tc>
          <w:tcPr>
            <w:tcW w:w="920" w:type="dxa"/>
            <w:vAlign w:val="bottom"/>
            <w:gridSpan w:val="3"/>
          </w:tcPr>
          <w:p>
            <w:pPr>
              <w:jc w:val="right"/>
              <w:ind w:right="148"/>
              <w:spacing w:after="0"/>
              <w:rPr>
                <w:sz w:val="20"/>
                <w:szCs w:val="20"/>
                <w:color w:val="auto"/>
              </w:rPr>
            </w:pPr>
            <w:r>
              <w:rPr>
                <w:rFonts w:ascii="Times New Roman" w:cs="Times New Roman" w:eastAsia="Times New Roman" w:hAnsi="Times New Roman"/>
                <w:sz w:val="14"/>
                <w:szCs w:val="14"/>
                <w:i w:val="1"/>
                <w:iCs w:val="1"/>
                <w:color w:val="auto"/>
              </w:rPr>
              <w:t>thousands)</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Noninterest income:</w:t>
            </w:r>
          </w:p>
        </w:tc>
        <w:tc>
          <w:tcPr>
            <w:tcW w:w="14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344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Service charges on deposit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5,120</w:t>
            </w:r>
          </w:p>
        </w:tc>
        <w:tc>
          <w:tcPr>
            <w:tcW w:w="26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5,062</w:t>
            </w:r>
          </w:p>
        </w:tc>
        <w:tc>
          <w:tcPr>
            <w:tcW w:w="46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1.15 %</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15,273</w:t>
            </w:r>
          </w:p>
        </w:tc>
        <w:tc>
          <w:tcPr>
            <w:tcW w:w="24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15,244</w:t>
            </w:r>
          </w:p>
        </w:tc>
        <w:tc>
          <w:tcPr>
            <w:tcW w:w="4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0.19 %</w:t>
            </w:r>
          </w:p>
        </w:tc>
        <w:tc>
          <w:tcPr>
            <w:tcW w:w="0" w:type="dxa"/>
            <w:vAlign w:val="bottom"/>
          </w:tcPr>
          <w:p>
            <w:pPr>
              <w:spacing w:after="0"/>
              <w:rPr>
                <w:sz w:val="1"/>
                <w:szCs w:val="1"/>
                <w:color w:val="auto"/>
              </w:rPr>
            </w:pPr>
          </w:p>
        </w:tc>
      </w:tr>
      <w:tr>
        <w:trPr>
          <w:trHeight w:val="185"/>
        </w:trPr>
        <w:tc>
          <w:tcPr>
            <w:tcW w:w="34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accounts</w:t>
            </w:r>
          </w:p>
        </w:tc>
        <w:tc>
          <w:tcPr>
            <w:tcW w:w="14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Trust and investment services</w:t>
            </w:r>
          </w:p>
        </w:tc>
        <w:tc>
          <w:tcPr>
            <w:tcW w:w="1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3,565</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3,246</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9.83 %</w:t>
            </w:r>
          </w:p>
        </w:tc>
        <w:tc>
          <w:tcPr>
            <w:tcW w:w="14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10,217</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9,475</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742</w:t>
            </w: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7.83 %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Bankcard services</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0.28 %</w:t>
            </w: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1,110</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1,221</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(111 )</w:t>
            </w:r>
          </w:p>
        </w:tc>
        <w:tc>
          <w:tcPr>
            <w:tcW w:w="28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-9.09 %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BOLI income</w:t>
            </w:r>
          </w:p>
        </w:tc>
        <w:tc>
          <w:tcPr>
            <w:tcW w:w="1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3,499</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1,548</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1,951</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126.03 %</w:t>
            </w:r>
          </w:p>
        </w:tc>
        <w:tc>
          <w:tcPr>
            <w:tcW w:w="14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10,034</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4,834</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5,200</w:t>
            </w: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107.57 %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Swap fee income</w:t>
            </w:r>
          </w:p>
        </w:tc>
        <w:tc>
          <w:tcPr>
            <w:tcW w:w="140" w:type="dxa"/>
            <w:vAlign w:val="bottom"/>
          </w:tcPr>
          <w:p>
            <w:pPr>
              <w:spacing w:after="0"/>
              <w:rPr>
                <w:sz w:val="15"/>
                <w:szCs w:val="15"/>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(632 )</w:t>
            </w:r>
          </w:p>
        </w:tc>
        <w:tc>
          <w:tcPr>
            <w:tcW w:w="28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-100.00 %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Loss on sale of AFS investment securities</w:t>
            </w:r>
          </w:p>
        </w:tc>
        <w:tc>
          <w:tcPr>
            <w:tcW w:w="1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(11,582 )</w:t>
            </w:r>
          </w:p>
        </w:tc>
        <w:tc>
          <w:tcPr>
            <w:tcW w:w="16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(11,582 )</w:t>
            </w:r>
          </w:p>
        </w:tc>
        <w:tc>
          <w:tcPr>
            <w:tcW w:w="2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(11,582 )</w:t>
            </w:r>
          </w:p>
        </w:tc>
        <w:tc>
          <w:tcPr>
            <w:tcW w:w="14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(11,582 )</w:t>
            </w:r>
          </w:p>
        </w:tc>
        <w:tc>
          <w:tcPr>
            <w:tcW w:w="28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Gain on sale leaseback transactions</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9,106</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9,106</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9,106</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9,106</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Gain/(loss) on sale of other investments</w:t>
            </w:r>
          </w:p>
        </w:tc>
        <w:tc>
          <w:tcPr>
            <w:tcW w:w="1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2,575</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(2,575 )</w:t>
            </w:r>
          </w:p>
        </w:tc>
        <w:tc>
          <w:tcPr>
            <w:tcW w:w="2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-100.00 %</w:t>
            </w:r>
          </w:p>
        </w:tc>
        <w:tc>
          <w:tcPr>
            <w:tcW w:w="14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2,575</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(2,575 )</w:t>
            </w:r>
          </w:p>
        </w:tc>
        <w:tc>
          <w:tcPr>
            <w:tcW w:w="28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-100.00 %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2,771</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1,524</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1,247</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81.82 %</w:t>
            </w: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7,213</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6,186</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1,027</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16.60 %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440" w:type="dxa"/>
            <w:vAlign w:val="bottom"/>
            <w:shd w:val="clear" w:color="auto" w:fill="CFF0FC"/>
          </w:tcPr>
          <w:p>
            <w:pPr>
              <w:ind w:left="380"/>
              <w:spacing w:after="0" w:line="155" w:lineRule="exact"/>
              <w:rPr>
                <w:sz w:val="20"/>
                <w:szCs w:val="20"/>
                <w:color w:val="auto"/>
              </w:rPr>
            </w:pPr>
            <w:r>
              <w:rPr>
                <w:rFonts w:ascii="Times New Roman" w:cs="Times New Roman" w:eastAsia="Times New Roman" w:hAnsi="Times New Roman"/>
                <w:sz w:val="14"/>
                <w:szCs w:val="14"/>
                <w:color w:val="auto"/>
              </w:rPr>
              <w:t>Total noninterest income</w:t>
            </w:r>
          </w:p>
        </w:tc>
        <w:tc>
          <w:tcPr>
            <w:tcW w:w="14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12,834</w:t>
            </w: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14,309</w:t>
            </w:r>
          </w:p>
        </w:tc>
        <w:tc>
          <w:tcPr>
            <w:tcW w:w="260" w:type="dxa"/>
            <w:vAlign w:val="bottom"/>
            <w:shd w:val="clear" w:color="auto" w:fill="CFF0FC"/>
          </w:tcPr>
          <w:p>
            <w:pPr>
              <w:spacing w:after="0"/>
              <w:rPr>
                <w:sz w:val="16"/>
                <w:szCs w:val="16"/>
                <w:color w:val="auto"/>
              </w:rPr>
            </w:pPr>
          </w:p>
        </w:tc>
        <w:tc>
          <w:tcPr>
            <w:tcW w:w="200" w:type="dxa"/>
            <w:vAlign w:val="bottom"/>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FF0FC"/>
          </w:tcPr>
          <w:p>
            <w:pPr>
              <w:jc w:val="right"/>
              <w:ind w:right="180"/>
              <w:spacing w:after="0" w:line="155" w:lineRule="exact"/>
              <w:rPr>
                <w:sz w:val="20"/>
                <w:szCs w:val="20"/>
                <w:color w:val="auto"/>
              </w:rPr>
            </w:pPr>
            <w:r>
              <w:rPr>
                <w:rFonts w:ascii="Times New Roman" w:cs="Times New Roman" w:eastAsia="Times New Roman" w:hAnsi="Times New Roman"/>
                <w:sz w:val="14"/>
                <w:szCs w:val="14"/>
                <w:color w:val="auto"/>
              </w:rPr>
              <w:t>(1,475 )</w:t>
            </w:r>
          </w:p>
        </w:tc>
        <w:tc>
          <w:tcPr>
            <w:tcW w:w="20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rPr>
              <w:t>-10.31 %</w:t>
            </w:r>
          </w:p>
        </w:tc>
        <w:tc>
          <w:tcPr>
            <w:tcW w:w="14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41,371</w:t>
            </w: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40,167</w:t>
            </w:r>
          </w:p>
        </w:tc>
        <w:tc>
          <w:tcPr>
            <w:tcW w:w="440" w:type="dxa"/>
            <w:vAlign w:val="bottom"/>
            <w:gridSpan w:val="2"/>
            <w:shd w:val="clear" w:color="auto" w:fill="CFF0FC"/>
          </w:tcPr>
          <w:p>
            <w:pPr>
              <w:jc w:val="right"/>
              <w:ind w:right="1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1,204</w:t>
            </w:r>
          </w:p>
        </w:tc>
        <w:tc>
          <w:tcPr>
            <w:tcW w:w="2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680" w:type="dxa"/>
            <w:vAlign w:val="bottom"/>
            <w:gridSpan w:val="2"/>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3.00 %</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4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-24765</wp:posOffset>
            </wp:positionV>
            <wp:extent cx="76835"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-8255</wp:posOffset>
            </wp:positionV>
            <wp:extent cx="76835"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-24765</wp:posOffset>
            </wp:positionV>
            <wp:extent cx="77470"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-8255</wp:posOffset>
            </wp:positionV>
            <wp:extent cx="77470"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-24765</wp:posOffset>
            </wp:positionV>
            <wp:extent cx="77470"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-8255</wp:posOffset>
            </wp:positionV>
            <wp:extent cx="77470"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-24765</wp:posOffset>
            </wp:positionV>
            <wp:extent cx="68580"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-8255</wp:posOffset>
            </wp:positionV>
            <wp:extent cx="68580"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-24765</wp:posOffset>
            </wp:positionV>
            <wp:extent cx="68580"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-8255</wp:posOffset>
            </wp:positionV>
            <wp:extent cx="68580"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-24765</wp:posOffset>
            </wp:positionV>
            <wp:extent cx="68580"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-8255</wp:posOffset>
            </wp:positionV>
            <wp:extent cx="68580"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-24765</wp:posOffset>
            </wp:positionV>
            <wp:extent cx="68580"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-8255</wp:posOffset>
            </wp:positionV>
            <wp:extent cx="68580"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Third Quarter of 2024 Compared to the Third Quarter of 2023</w:t>
      </w:r>
    </w:p>
    <w:p>
      <w:pPr>
        <w:spacing w:after="0" w:line="227" w:lineRule="exact"/>
        <w:rPr>
          <w:sz w:val="20"/>
          <w:szCs w:val="20"/>
          <w:color w:val="auto"/>
        </w:rPr>
      </w:pPr>
    </w:p>
    <w:p>
      <w:pPr>
        <w:ind w:right="20" w:firstLine="464"/>
        <w:spacing w:after="0" w:line="255" w:lineRule="auto"/>
        <w:rPr>
          <w:sz w:val="20"/>
          <w:szCs w:val="20"/>
          <w:color w:val="auto"/>
        </w:rPr>
      </w:pPr>
      <w:r>
        <w:rPr>
          <w:rFonts w:ascii="Times New Roman" w:cs="Times New Roman" w:eastAsia="Times New Roman" w:hAnsi="Times New Roman"/>
          <w:sz w:val="18"/>
          <w:szCs w:val="18"/>
          <w:color w:val="auto"/>
        </w:rPr>
        <w:t>During the third quarter of 2024, the Bank executed sale-leaseback transactions with the sale of two buildings, which operate as Banking Centers, and were simultaneously leased back, resulting in a pre-tax net gain of $9.1 million. The gains on selling the buildings were offset by realizing a pre-tax net loss of $11.6 million on the sale of $312 million of AFS securities. Third quarter income from BOLI increased $2 million, primarily due to the restructuring and enhancements in our BOLI policies completed in the fourth quarter of 2023. Third quarter 2024 noninterest income was</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89" w:right="319" w:bottom="1440" w:gutter="0" w:footer="0" w:header="0"/>
        </w:sectPr>
      </w:pPr>
    </w:p>
    <w:bookmarkStart w:id="50" w:name="page51"/>
    <w:bookmarkEnd w:id="50"/>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approximately $2.6 million lower than the prior year period due to income from an equity fund distribution, related to a CRA investment, that occurred in the third quarter of 2023 .Other income in the third quarter of 2024 included an increase of approximately $1.0 million related to changes in the net asset value of certain CRA equity investments.</w:t>
      </w:r>
    </w:p>
    <w:p>
      <w:pPr>
        <w:spacing w:after="0" w:line="176" w:lineRule="exact"/>
        <w:rPr>
          <w:sz w:val="20"/>
          <w:szCs w:val="20"/>
          <w:color w:val="auto"/>
        </w:rPr>
      </w:pPr>
    </w:p>
    <w:p>
      <w:pPr>
        <w:ind w:right="160" w:firstLine="469"/>
        <w:spacing w:after="0" w:line="256" w:lineRule="auto"/>
        <w:rPr>
          <w:sz w:val="20"/>
          <w:szCs w:val="20"/>
          <w:color w:val="auto"/>
        </w:rPr>
      </w:pPr>
      <w:r>
        <w:rPr>
          <w:rFonts w:ascii="Times New Roman" w:cs="Times New Roman" w:eastAsia="Times New Roman" w:hAnsi="Times New Roman"/>
          <w:sz w:val="18"/>
          <w:szCs w:val="18"/>
          <w:color w:val="auto"/>
        </w:rPr>
        <w:t>Trust and Investment Services represents our CitizensTrust group. The CitizensTrust group is made up of wealth management and investment services. They provide a variety of services, which include asset management, financial planning, estate planning, retirement planning, private and corporate trustee services, and probate services. Investment Services provides self-directed brokerage, 401(k) plans, mutual funds, insurance and other non-insured investment products. At September 30, 2024, CitizensTrust had approximately $4.7 billion in assets under management and administration, including $3.3 billion in assets under management. CitizensTrust generated fees of $3.6 million for the third quarter of 2024, compared to $3.2 million for the same period of 2023.</w:t>
      </w:r>
    </w:p>
    <w:p>
      <w:pPr>
        <w:spacing w:after="0" w:line="187" w:lineRule="exact"/>
        <w:rPr>
          <w:sz w:val="20"/>
          <w:szCs w:val="20"/>
          <w:color w:val="auto"/>
        </w:rPr>
      </w:pPr>
    </w:p>
    <w:p>
      <w:pPr>
        <w:ind w:right="140" w:firstLine="469"/>
        <w:spacing w:after="0" w:line="261" w:lineRule="auto"/>
        <w:rPr>
          <w:sz w:val="20"/>
          <w:szCs w:val="20"/>
          <w:color w:val="auto"/>
        </w:rPr>
      </w:pPr>
      <w:r>
        <w:rPr>
          <w:rFonts w:ascii="Times New Roman" w:cs="Times New Roman" w:eastAsia="Times New Roman" w:hAnsi="Times New Roman"/>
          <w:sz w:val="18"/>
          <w:szCs w:val="18"/>
          <w:color w:val="auto"/>
        </w:rPr>
        <w:t>The increase in BOLI income was primarily due to the restructuring and enhancements in our BOLI policies in the fourth quarter of 2023. We recognized $320,000 in death benefits that exceeded the asset value on certain policies in the third quarter of 2024, compared with no death benefits in the third quarter of 2023. As a result of the restructuring and enhancements in BOLI policies during the fourth quarter of 2023, the income derived from increases in the cash-surrender value of the policies was $1.5 million higher in the third quarter of 2024, when compared to the third quarter of 2023.</w:t>
      </w:r>
    </w:p>
    <w:p>
      <w:pPr>
        <w:spacing w:after="0" w:line="17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Nine Months of 2024 Compared to Nine Months of 2023</w:t>
      </w:r>
    </w:p>
    <w:p>
      <w:pPr>
        <w:spacing w:after="0" w:line="227" w:lineRule="exact"/>
        <w:rPr>
          <w:sz w:val="20"/>
          <w:szCs w:val="20"/>
          <w:color w:val="auto"/>
        </w:rPr>
      </w:pPr>
    </w:p>
    <w:p>
      <w:pPr>
        <w:ind w:right="20" w:firstLine="469"/>
        <w:spacing w:after="0" w:line="261" w:lineRule="auto"/>
        <w:rPr>
          <w:sz w:val="20"/>
          <w:szCs w:val="20"/>
          <w:color w:val="auto"/>
        </w:rPr>
      </w:pPr>
      <w:r>
        <w:rPr>
          <w:rFonts w:ascii="Times New Roman" w:cs="Times New Roman" w:eastAsia="Times New Roman" w:hAnsi="Times New Roman"/>
          <w:sz w:val="18"/>
          <w:szCs w:val="18"/>
          <w:color w:val="auto"/>
        </w:rPr>
        <w:t>The $5.2 million year-over-year increase in BOLI income was primarily due to the restructuring and enhancements in our BOLI policies in the fourth quarter of 2023. Trust and investment fees grew by $742,000 or 7.83% due to increased assets under management. The swap related fees reflected in 2023 resulted from the conversion to SOFR of all of our previously originated interest rate swaps indexed to LIBOR, resulting in a $600,000 period-over-period decline in these fees.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Noninterest Expense</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the various components of noninterest expense for the periods presented.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0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6"/>
                <w:szCs w:val="16"/>
                <w:color w:val="auto"/>
              </w:rPr>
            </w:pPr>
          </w:p>
        </w:tc>
        <w:tc>
          <w:tcPr>
            <w:tcW w:w="104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00" w:type="dxa"/>
            <w:vAlign w:val="bottom"/>
            <w:gridSpan w:val="5"/>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6"/>
                <w:szCs w:val="16"/>
                <w:color w:val="auto"/>
              </w:rPr>
            </w:pPr>
          </w:p>
        </w:tc>
        <w:tc>
          <w:tcPr>
            <w:tcW w:w="106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86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Noninterest expense:</w:t>
            </w:r>
          </w:p>
        </w:tc>
        <w:tc>
          <w:tcPr>
            <w:tcW w:w="1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Salaries and employee benefits</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36,647</w:t>
            </w:r>
          </w:p>
        </w:tc>
        <w:tc>
          <w:tcPr>
            <w:tcW w:w="26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34,744</w:t>
            </w:r>
          </w:p>
        </w:tc>
        <w:tc>
          <w:tcPr>
            <w:tcW w:w="260" w:type="dxa"/>
            <w:vAlign w:val="bottom"/>
          </w:tcPr>
          <w:p>
            <w:pPr>
              <w:spacing w:after="0"/>
              <w:rPr>
                <w:sz w:val="15"/>
                <w:szCs w:val="15"/>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1,903</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5.48 %</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108,474</w:t>
            </w:r>
          </w:p>
        </w:tc>
        <w:tc>
          <w:tcPr>
            <w:tcW w:w="24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103,539</w:t>
            </w:r>
          </w:p>
        </w:tc>
        <w:tc>
          <w:tcPr>
            <w:tcW w:w="24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4,935</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4.77 %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Occupancy</w:t>
            </w:r>
          </w:p>
        </w:tc>
        <w:tc>
          <w:tcPr>
            <w:tcW w:w="18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4,997</w:t>
            </w: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4,730</w:t>
            </w: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5.64 %</w:t>
            </w:r>
          </w:p>
        </w:tc>
        <w:tc>
          <w:tcPr>
            <w:tcW w:w="1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14,232</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13,915</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2.28 %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Equipment</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1,207</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888</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35.92 %</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3,309</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2,670</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639</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23.93 %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Professional services</w:t>
            </w:r>
          </w:p>
        </w:tc>
        <w:tc>
          <w:tcPr>
            <w:tcW w:w="18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2,855</w:t>
            </w: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2,117</w:t>
            </w: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738</w:t>
            </w: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34.86 %</w:t>
            </w:r>
          </w:p>
        </w:tc>
        <w:tc>
          <w:tcPr>
            <w:tcW w:w="1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7,836</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6,375</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1,461</w:t>
            </w: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22.92 %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Computer software expense</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3,906</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3,648</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7.07 %</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11,380</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10,372</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1,008</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9.72 %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Marketing and promotion</w:t>
            </w:r>
          </w:p>
        </w:tc>
        <w:tc>
          <w:tcPr>
            <w:tcW w:w="18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1,964</w:t>
            </w: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1,628</w:t>
            </w: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20.64 %</w:t>
            </w:r>
          </w:p>
        </w:tc>
        <w:tc>
          <w:tcPr>
            <w:tcW w:w="1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5,550</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4,664</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886</w:t>
            </w: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19.00 %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Amortization of intangible assets</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1,286</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1,567</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(281 )</w:t>
            </w:r>
          </w:p>
        </w:tc>
        <w:tc>
          <w:tcPr>
            <w:tcW w:w="24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-17.93 %</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4,161</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5,006</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(845 )</w:t>
            </w:r>
          </w:p>
        </w:tc>
        <w:tc>
          <w:tcPr>
            <w:tcW w:w="28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-16.88 %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Telecommunications expense</w:t>
            </w:r>
          </w:p>
        </w:tc>
        <w:tc>
          <w:tcPr>
            <w:tcW w:w="18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479</w:t>
            </w: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(17 )</w:t>
            </w:r>
          </w:p>
        </w:tc>
        <w:tc>
          <w:tcPr>
            <w:tcW w:w="24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-3.43 %</w:t>
            </w:r>
          </w:p>
        </w:tc>
        <w:tc>
          <w:tcPr>
            <w:tcW w:w="1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1,461</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1,518</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(57 )</w:t>
            </w:r>
          </w:p>
        </w:tc>
        <w:tc>
          <w:tcPr>
            <w:tcW w:w="28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-3.75 %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Regulatory assessments</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2,104</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2,181</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(77 )</w:t>
            </w:r>
          </w:p>
        </w:tc>
        <w:tc>
          <w:tcPr>
            <w:tcW w:w="24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-3.53 %</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7,963</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6,417</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1,546</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24.09 %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Insurance</w:t>
            </w:r>
          </w:p>
        </w:tc>
        <w:tc>
          <w:tcPr>
            <w:tcW w:w="18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507</w:t>
            </w: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0.60 %</w:t>
            </w:r>
          </w:p>
        </w:tc>
        <w:tc>
          <w:tcPr>
            <w:tcW w:w="1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1,523</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1,515</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0.53 %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Loan expense</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(292 )</w:t>
            </w:r>
          </w:p>
        </w:tc>
        <w:tc>
          <w:tcPr>
            <w:tcW w:w="24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-80.22 %</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845</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(308 )</w:t>
            </w:r>
          </w:p>
        </w:tc>
        <w:tc>
          <w:tcPr>
            <w:tcW w:w="28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-36.45 %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OREO expense</w:t>
            </w:r>
          </w:p>
        </w:tc>
        <w:tc>
          <w:tcPr>
            <w:tcW w:w="18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86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(Recapture of) provision for</w:t>
            </w:r>
          </w:p>
        </w:tc>
        <w:tc>
          <w:tcPr>
            <w:tcW w:w="180" w:type="dxa"/>
            <w:vAlign w:val="bottom"/>
          </w:tcPr>
          <w:p>
            <w:pPr>
              <w:spacing w:after="0"/>
              <w:rPr>
                <w:sz w:val="12"/>
                <w:szCs w:val="12"/>
                <w:color w:val="auto"/>
              </w:rPr>
            </w:pP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(750 )</w:t>
            </w:r>
          </w:p>
        </w:tc>
        <w:tc>
          <w:tcPr>
            <w:tcW w:w="180" w:type="dxa"/>
            <w:vAlign w:val="bottom"/>
          </w:tcPr>
          <w:p>
            <w:pPr>
              <w:spacing w:after="0"/>
              <w:rPr>
                <w:sz w:val="12"/>
                <w:szCs w:val="12"/>
                <w:color w:val="auto"/>
              </w:rPr>
            </w:pP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(900 )</w:t>
            </w:r>
          </w:p>
        </w:tc>
        <w:tc>
          <w:tcPr>
            <w:tcW w:w="22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16.67 %</w:t>
            </w:r>
          </w:p>
        </w:tc>
        <w:tc>
          <w:tcPr>
            <w:tcW w:w="180" w:type="dxa"/>
            <w:vAlign w:val="bottom"/>
          </w:tcPr>
          <w:p>
            <w:pPr>
              <w:spacing w:after="0"/>
              <w:rPr>
                <w:sz w:val="12"/>
                <w:szCs w:val="12"/>
                <w:color w:val="auto"/>
              </w:rPr>
            </w:pP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(1,250 )</w:t>
            </w:r>
          </w:p>
        </w:tc>
        <w:tc>
          <w:tcPr>
            <w:tcW w:w="180" w:type="dxa"/>
            <w:vAlign w:val="bottom"/>
          </w:tcPr>
          <w:p>
            <w:pPr>
              <w:spacing w:after="0"/>
              <w:rPr>
                <w:sz w:val="12"/>
                <w:szCs w:val="12"/>
                <w:color w:val="auto"/>
              </w:rPr>
            </w:pPr>
          </w:p>
        </w:tc>
        <w:tc>
          <w:tcPr>
            <w:tcW w:w="8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(1,250 )</w:t>
            </w:r>
          </w:p>
        </w:tc>
        <w:tc>
          <w:tcPr>
            <w:tcW w:w="280" w:type="dxa"/>
            <w:vAlign w:val="bottom"/>
          </w:tcPr>
          <w:p>
            <w:pPr>
              <w:spacing w:after="0"/>
              <w:rPr>
                <w:sz w:val="12"/>
                <w:szCs w:val="12"/>
                <w:color w:val="auto"/>
              </w:rPr>
            </w:pPr>
          </w:p>
        </w:tc>
        <w:tc>
          <w:tcPr>
            <w:tcW w:w="7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28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unfunded loan commitments</w:t>
            </w:r>
          </w:p>
        </w:tc>
        <w:tc>
          <w:tcPr>
            <w:tcW w:w="1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Directors' expenses</w:t>
            </w:r>
          </w:p>
        </w:tc>
        <w:tc>
          <w:tcPr>
            <w:tcW w:w="18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306</w:t>
            </w: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(55 )</w:t>
            </w:r>
          </w:p>
        </w:tc>
        <w:tc>
          <w:tcPr>
            <w:tcW w:w="24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-15.24 %</w:t>
            </w:r>
          </w:p>
        </w:tc>
        <w:tc>
          <w:tcPr>
            <w:tcW w:w="1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961</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870</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10.46 %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Stationery and supplies</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(32 )</w:t>
            </w:r>
          </w:p>
        </w:tc>
        <w:tc>
          <w:tcPr>
            <w:tcW w:w="24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-11.43 %</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717</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773</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(56 )</w:t>
            </w:r>
          </w:p>
        </w:tc>
        <w:tc>
          <w:tcPr>
            <w:tcW w:w="28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-7.24 %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Other</w:t>
            </w:r>
          </w:p>
        </w:tc>
        <w:tc>
          <w:tcPr>
            <w:tcW w:w="18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3,004</w:t>
            </w: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2,450</w:t>
            </w: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554</w:t>
            </w: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22.61 %</w:t>
            </w:r>
          </w:p>
        </w:tc>
        <w:tc>
          <w:tcPr>
            <w:tcW w:w="1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8,152</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5,477</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2,675</w:t>
            </w: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48.84 %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860" w:type="dxa"/>
            <w:vAlign w:val="bottom"/>
          </w:tcPr>
          <w:p>
            <w:pPr>
              <w:ind w:left="380"/>
              <w:spacing w:after="0" w:line="155" w:lineRule="exact"/>
              <w:rPr>
                <w:sz w:val="20"/>
                <w:szCs w:val="20"/>
                <w:color w:val="auto"/>
              </w:rPr>
            </w:pPr>
            <w:r>
              <w:rPr>
                <w:rFonts w:ascii="Times New Roman" w:cs="Times New Roman" w:eastAsia="Times New Roman" w:hAnsi="Times New Roman"/>
                <w:sz w:val="14"/>
                <w:szCs w:val="14"/>
                <w:color w:val="auto"/>
              </w:rPr>
              <w:t>Total noninterest expense</w:t>
            </w:r>
          </w:p>
        </w:tc>
        <w:tc>
          <w:tcPr>
            <w:tcW w:w="180" w:type="dxa"/>
            <w:vAlign w:val="bottom"/>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58,835</w:t>
            </w:r>
          </w:p>
        </w:tc>
        <w:tc>
          <w:tcPr>
            <w:tcW w:w="260" w:type="dxa"/>
            <w:vAlign w:val="bottom"/>
          </w:tcPr>
          <w:p>
            <w:pPr>
              <w:spacing w:after="0"/>
              <w:rPr>
                <w:sz w:val="14"/>
                <w:szCs w:val="14"/>
                <w:color w:val="auto"/>
              </w:rPr>
            </w:pPr>
          </w:p>
        </w:tc>
        <w:tc>
          <w:tcPr>
            <w:tcW w:w="180" w:type="dxa"/>
            <w:vAlign w:val="bottom"/>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55,058</w:t>
            </w:r>
          </w:p>
        </w:tc>
        <w:tc>
          <w:tcPr>
            <w:tcW w:w="260" w:type="dxa"/>
            <w:vAlign w:val="bottom"/>
          </w:tcPr>
          <w:p>
            <w:pPr>
              <w:spacing w:after="0"/>
              <w:rPr>
                <w:sz w:val="14"/>
                <w:szCs w:val="14"/>
                <w:color w:val="auto"/>
              </w:rPr>
            </w:pPr>
          </w:p>
        </w:tc>
        <w:tc>
          <w:tcPr>
            <w:tcW w:w="220" w:type="dxa"/>
            <w:vAlign w:val="bottom"/>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3,777</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tcPr>
          <w:p>
            <w:pPr>
              <w:jc w:val="right"/>
              <w:ind w:right="100"/>
              <w:spacing w:after="0" w:line="155" w:lineRule="exact"/>
              <w:rPr>
                <w:sz w:val="20"/>
                <w:szCs w:val="20"/>
                <w:color w:val="auto"/>
              </w:rPr>
            </w:pPr>
            <w:r>
              <w:rPr>
                <w:rFonts w:ascii="Times New Roman" w:cs="Times New Roman" w:eastAsia="Times New Roman" w:hAnsi="Times New Roman"/>
                <w:sz w:val="14"/>
                <w:szCs w:val="14"/>
                <w:color w:val="auto"/>
              </w:rPr>
              <w:t>6.86 %</w:t>
            </w:r>
          </w:p>
        </w:tc>
        <w:tc>
          <w:tcPr>
            <w:tcW w:w="180" w:type="dxa"/>
            <w:vAlign w:val="bottom"/>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175,103</w:t>
            </w:r>
          </w:p>
        </w:tc>
        <w:tc>
          <w:tcPr>
            <w:tcW w:w="240" w:type="dxa"/>
            <w:vAlign w:val="bottom"/>
          </w:tcPr>
          <w:p>
            <w:pPr>
              <w:spacing w:after="0"/>
              <w:rPr>
                <w:sz w:val="14"/>
                <w:szCs w:val="14"/>
                <w:color w:val="auto"/>
              </w:rPr>
            </w:pPr>
          </w:p>
        </w:tc>
        <w:tc>
          <w:tcPr>
            <w:tcW w:w="180" w:type="dxa"/>
            <w:vAlign w:val="bottom"/>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163,956</w:t>
            </w:r>
          </w:p>
        </w:tc>
        <w:tc>
          <w:tcPr>
            <w:tcW w:w="240" w:type="dxa"/>
            <w:vAlign w:val="bottom"/>
          </w:tcPr>
          <w:p>
            <w:pPr>
              <w:spacing w:after="0"/>
              <w:rPr>
                <w:sz w:val="14"/>
                <w:szCs w:val="14"/>
                <w:color w:val="auto"/>
              </w:rPr>
            </w:pPr>
          </w:p>
        </w:tc>
        <w:tc>
          <w:tcPr>
            <w:tcW w:w="220" w:type="dxa"/>
            <w:vAlign w:val="bottom"/>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11,147</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6.80 %</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86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Noninterest expense to average</w:t>
            </w:r>
          </w:p>
        </w:tc>
        <w:tc>
          <w:tcPr>
            <w:tcW w:w="180" w:type="dxa"/>
            <w:vAlign w:val="bottom"/>
            <w:shd w:val="clear" w:color="auto" w:fill="CFF0FC"/>
          </w:tcPr>
          <w:p>
            <w:pPr>
              <w:spacing w:after="0"/>
              <w:rPr>
                <w:sz w:val="12"/>
                <w:szCs w:val="12"/>
                <w:color w:val="auto"/>
              </w:rPr>
            </w:pPr>
          </w:p>
        </w:tc>
        <w:tc>
          <w:tcPr>
            <w:tcW w:w="9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1.42 %</w:t>
            </w:r>
          </w:p>
        </w:tc>
        <w:tc>
          <w:tcPr>
            <w:tcW w:w="180" w:type="dxa"/>
            <w:vAlign w:val="bottom"/>
            <w:shd w:val="clear" w:color="auto" w:fill="CFF0FC"/>
          </w:tcPr>
          <w:p>
            <w:pPr>
              <w:spacing w:after="0"/>
              <w:rPr>
                <w:sz w:val="12"/>
                <w:szCs w:val="12"/>
                <w:color w:val="auto"/>
              </w:rPr>
            </w:pPr>
          </w:p>
        </w:tc>
        <w:tc>
          <w:tcPr>
            <w:tcW w:w="9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1.33 %</w:t>
            </w: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6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1.43 %</w:t>
            </w:r>
          </w:p>
        </w:tc>
        <w:tc>
          <w:tcPr>
            <w:tcW w:w="180" w:type="dxa"/>
            <w:vAlign w:val="bottom"/>
            <w:shd w:val="clear" w:color="auto" w:fill="CFF0FC"/>
          </w:tcPr>
          <w:p>
            <w:pPr>
              <w:spacing w:after="0"/>
              <w:rPr>
                <w:sz w:val="12"/>
                <w:szCs w:val="12"/>
                <w:color w:val="auto"/>
              </w:rPr>
            </w:pPr>
          </w:p>
        </w:tc>
        <w:tc>
          <w:tcPr>
            <w:tcW w:w="86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1.34 %</w:t>
            </w:r>
          </w:p>
        </w:tc>
        <w:tc>
          <w:tcPr>
            <w:tcW w:w="2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8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assets</w:t>
            </w:r>
          </w:p>
        </w:tc>
        <w:tc>
          <w:tcPr>
            <w:tcW w:w="180" w:type="dxa"/>
            <w:vAlign w:val="bottom"/>
            <w:shd w:val="clear" w:color="auto" w:fill="CFF0FC"/>
          </w:tcPr>
          <w:p>
            <w:pPr>
              <w:spacing w:after="0"/>
              <w:rPr>
                <w:sz w:val="16"/>
                <w:szCs w:val="16"/>
                <w:color w:val="auto"/>
              </w:rPr>
            </w:pPr>
          </w:p>
        </w:tc>
        <w:tc>
          <w:tcPr>
            <w:tcW w:w="900" w:type="dxa"/>
            <w:vAlign w:val="bottom"/>
            <w:gridSpan w:val="2"/>
            <w:vMerge w:val="continue"/>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20" w:type="dxa"/>
            <w:vAlign w:val="bottom"/>
            <w:gridSpan w:val="2"/>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60" w:type="dxa"/>
            <w:vAlign w:val="bottom"/>
            <w:gridSpan w:val="2"/>
            <w:vMerge w:val="continue"/>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60" w:type="dxa"/>
            <w:vAlign w:val="bottom"/>
            <w:gridSpan w:val="2"/>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Efficiency ratio (1)</w:t>
            </w:r>
          </w:p>
        </w:tc>
        <w:tc>
          <w:tcPr>
            <w:tcW w:w="18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46.53 %</w:t>
            </w:r>
          </w:p>
        </w:tc>
        <w:tc>
          <w:tcPr>
            <w:tcW w:w="18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39.99 %</w:t>
            </w: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46.29 %</w:t>
            </w:r>
          </w:p>
        </w:tc>
        <w:tc>
          <w:tcPr>
            <w:tcW w:w="18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40.11 %</w:t>
            </w: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-581660</wp:posOffset>
            </wp:positionV>
            <wp:extent cx="76835"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-581660</wp:posOffset>
            </wp:positionV>
            <wp:extent cx="76835"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-581660</wp:posOffset>
            </wp:positionV>
            <wp:extent cx="76835"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-581660</wp:posOffset>
            </wp:positionV>
            <wp:extent cx="68580"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-581660</wp:posOffset>
            </wp:positionV>
            <wp:extent cx="68580"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-581660</wp:posOffset>
            </wp:positionV>
            <wp:extent cx="68580"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-581660</wp:posOffset>
            </wp:positionV>
            <wp:extent cx="68580"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-581660</wp:posOffset>
            </wp:positionV>
            <wp:extent cx="68580"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1" w:lineRule="exact"/>
        <w:rPr>
          <w:sz w:val="20"/>
          <w:szCs w:val="20"/>
          <w:color w:val="auto"/>
        </w:rPr>
      </w:pPr>
    </w:p>
    <w:p>
      <w:pPr>
        <w:ind w:left="1500" w:hanging="369"/>
        <w:spacing w:after="0"/>
        <w:tabs>
          <w:tab w:leader="none" w:pos="15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Noninterest expense divided by net interest income before provision for credit losses plus noninterest income.</w:t>
      </w:r>
    </w:p>
    <w:p>
      <w:pPr>
        <w:spacing w:after="0" w:line="194" w:lineRule="exact"/>
        <w:rPr>
          <w:sz w:val="20"/>
          <w:szCs w:val="20"/>
          <w:color w:val="auto"/>
        </w:rPr>
      </w:pPr>
    </w:p>
    <w:p>
      <w:pPr>
        <w:ind w:right="220" w:firstLine="469"/>
        <w:spacing w:after="0" w:line="266" w:lineRule="auto"/>
        <w:rPr>
          <w:sz w:val="20"/>
          <w:szCs w:val="20"/>
          <w:color w:val="auto"/>
        </w:rPr>
      </w:pPr>
      <w:r>
        <w:rPr>
          <w:rFonts w:ascii="Times New Roman" w:cs="Times New Roman" w:eastAsia="Times New Roman" w:hAnsi="Times New Roman"/>
          <w:sz w:val="18"/>
          <w:szCs w:val="18"/>
          <w:color w:val="auto"/>
        </w:rPr>
        <w:t>Our ability to control noninterest expenses in relation to asset growth can be measured in terms of total noninterest expenses as a percentage of average assets. Noninterest expense as a percentage of average assets was 1.42% for the third quarter of 2024, compared to 1.33% for the third quarter of 2023.</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93" w:right="319" w:bottom="1440" w:gutter="0" w:footer="0" w:header="0"/>
        </w:sectPr>
      </w:pPr>
    </w:p>
    <w:bookmarkStart w:id="51" w:name="page52"/>
    <w:bookmarkEnd w:id="51"/>
    <w:p>
      <w:pPr>
        <w:ind w:right="80" w:firstLine="469"/>
        <w:spacing w:after="0" w:line="266" w:lineRule="auto"/>
        <w:rPr>
          <w:sz w:val="20"/>
          <w:szCs w:val="20"/>
          <w:color w:val="auto"/>
        </w:rPr>
      </w:pPr>
      <w:r>
        <w:rPr>
          <w:rFonts w:ascii="Times New Roman" w:cs="Times New Roman" w:eastAsia="Times New Roman" w:hAnsi="Times New Roman"/>
          <w:sz w:val="18"/>
          <w:szCs w:val="18"/>
          <w:color w:val="auto"/>
        </w:rPr>
        <w:t>Our ability to control noninterest expenses in relation to the level of total revenue (net interest income before provision for credit losses plus noninterest income) can be measured by the efficiency ratio and indicates the percentage of net revenue that is used to cover expenses. The efficiency ratio was 46.53% for the third quarter of 2024, compared to 39.99% for the third quarter of 2023.</w:t>
      </w:r>
    </w:p>
    <w:p>
      <w:pPr>
        <w:spacing w:after="0" w:line="1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Third Quarter of 2024 Compared to the Third Quarter of 2023</w:t>
      </w:r>
    </w:p>
    <w:p>
      <w:pPr>
        <w:spacing w:after="0" w:line="2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Noninterest expense of $58.8 million for the third quarter of 2024, was $3.8 million, or 6.86% higher than the third quarter of 2023. The $3.8 million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 in noninterest expense year-over-year included increased staff related expenses of $1.9 million, or 5.48%. Professional services increased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$738,000, including a $627,000 increase in legal expense year-over-year. Occupancy and equipment expense increased by $586,000, or 10.43%,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software expense increased $258,000, or 7.07%, year-over-year. Occupancy expense grew by $267,000, or 5.64%, when compared with the prior year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quarter, including the impact of the higher occupancy costs for the two Banking Centers involved in the sale leaseback transactions.</w:t>
      </w:r>
    </w:p>
    <w:p>
      <w:pPr>
        <w:spacing w:after="0" w:line="2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Nine Months of 2024 Compared to Nine Months of 2023</w:t>
      </w:r>
    </w:p>
    <w:p>
      <w:pPr>
        <w:spacing w:after="0" w:line="227" w:lineRule="exact"/>
        <w:rPr>
          <w:sz w:val="20"/>
          <w:szCs w:val="20"/>
          <w:color w:val="auto"/>
        </w:rPr>
      </w:pPr>
    </w:p>
    <w:p>
      <w:pPr>
        <w:ind w:firstLine="464"/>
        <w:spacing w:after="0" w:line="254" w:lineRule="auto"/>
        <w:rPr>
          <w:sz w:val="20"/>
          <w:szCs w:val="20"/>
          <w:color w:val="auto"/>
        </w:rPr>
      </w:pPr>
      <w:r>
        <w:rPr>
          <w:rFonts w:ascii="Times New Roman" w:cs="Times New Roman" w:eastAsia="Times New Roman" w:hAnsi="Times New Roman"/>
          <w:sz w:val="18"/>
          <w:szCs w:val="18"/>
          <w:color w:val="auto"/>
        </w:rPr>
        <w:t>Noninterest expense of $175.1 million for the first nine months of 2024 was $11.1 million higher than the prior year period. Year-over-year increases included a $4.9 million increase in salaries and employee benefits primarily due to inflationary pressures on salary and benefits. The $1.5 million net increase in the FDIC accrual year-over-year was the result of the FDIC increasing its initial estimate of losses from last year’s bank failures. Marketing and promotion expense increased by $886,000 primarily due to $600,000 in higher donations in the first nine months of 2024. Year-over-year expense increases included $1.0 million in higher data processing costs from new technology investments, a $614,000 increase in deferred compensation expense, and a $1.4 million increase in legal expense. The first nine month of 2024 included a $1.3 million in recapture of provision for unfunded loan commitments, compared to no provision for the same period of 2023. As a percentage of average assets, noninterest expense was 1.43% for the nine months ended September 30, 2024, compared to 1.34% for the same period of 2023. For the nine months ended September 30, 2024, the efficiency ratio was 46.29%, compared to 40.11% for the same period of 2023.</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8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Company’s effective tax rate for the three and nine months ended September 30, 2024 was 24.25% and 26.25%, respectively, compared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28.20% for both the three and nine months ended September 30, 2023. Our estimated annual effective tax rate also varies depending upon the level of tax-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advantaged income from municipal securities and BOLI, as well as available tax credits. Investments in tax credits and higher BOLI income were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primary drivers of the lower effective tax rate in 2024.</w:t>
      </w:r>
    </w:p>
    <w:p>
      <w:pPr>
        <w:spacing w:after="0" w:line="207" w:lineRule="exact"/>
        <w:rPr>
          <w:sz w:val="20"/>
          <w:szCs w:val="20"/>
          <w:color w:val="auto"/>
        </w:rPr>
      </w:pPr>
    </w:p>
    <w:p>
      <w:pPr>
        <w:ind w:right="220" w:firstLine="469"/>
        <w:spacing w:after="0" w:line="282" w:lineRule="auto"/>
        <w:rPr>
          <w:sz w:val="20"/>
          <w:szCs w:val="20"/>
          <w:color w:val="auto"/>
        </w:rPr>
      </w:pPr>
      <w:r>
        <w:rPr>
          <w:rFonts w:ascii="Times New Roman" w:cs="Times New Roman" w:eastAsia="Times New Roman" w:hAnsi="Times New Roman"/>
          <w:sz w:val="18"/>
          <w:szCs w:val="18"/>
          <w:color w:val="auto"/>
        </w:rPr>
        <w:t>The Company’s effective tax rates are below the nominal combined Federal and State tax rate primarily as a result of tax-advantaged income from certain municipal security investments, municipal loans and leases and BOLI, as well as available tax credits for each period.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2" w:name="page53"/>
    <w:bookmarkEnd w:id="5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ANALYSIS OF FINANCIAL CONDITION</w:t>
      </w:r>
    </w:p>
    <w:p>
      <w:pPr>
        <w:spacing w:after="0" w:line="229" w:lineRule="exact"/>
        <w:rPr>
          <w:sz w:val="20"/>
          <w:szCs w:val="20"/>
          <w:color w:val="auto"/>
        </w:rPr>
      </w:pPr>
    </w:p>
    <w:p>
      <w:pPr>
        <w:ind w:right="240" w:firstLine="469"/>
        <w:spacing w:after="0" w:line="261" w:lineRule="auto"/>
        <w:rPr>
          <w:sz w:val="20"/>
          <w:szCs w:val="20"/>
          <w:color w:val="auto"/>
        </w:rPr>
      </w:pPr>
      <w:r>
        <w:rPr>
          <w:rFonts w:ascii="Times New Roman" w:cs="Times New Roman" w:eastAsia="Times New Roman" w:hAnsi="Times New Roman"/>
          <w:sz w:val="18"/>
          <w:szCs w:val="18"/>
          <w:color w:val="auto"/>
        </w:rPr>
        <w:t>Total assets of $15.40 billion at September 30, 2024 decreased by $617.8 million, or 3.86%, from total assets of $16.02 billion at December 31, 2023. Interest-earning assets of $13.74 billion at September 30, 2024 decreased by $723.2 million, or 5.0%, when compared with $14.46 billion at December 31, 2023. The decrease in interest-earning assets was primarily due to a $549.9 million decrease in investment securities and a $332.3 million decrease in total loans, partially offset by a $142.9 million increase in interest-earning balances due from the Federal Reserve.</w:t>
      </w:r>
    </w:p>
    <w:p>
      <w:pPr>
        <w:spacing w:after="0" w:line="180" w:lineRule="exact"/>
        <w:rPr>
          <w:sz w:val="20"/>
          <w:szCs w:val="20"/>
          <w:color w:val="auto"/>
        </w:rPr>
      </w:pPr>
    </w:p>
    <w:p>
      <w:pPr>
        <w:ind w:right="80" w:firstLine="469"/>
        <w:spacing w:after="0" w:line="254" w:lineRule="auto"/>
        <w:rPr>
          <w:sz w:val="20"/>
          <w:szCs w:val="20"/>
          <w:color w:val="auto"/>
        </w:rPr>
      </w:pPr>
      <w:r>
        <w:rPr>
          <w:rFonts w:ascii="Times New Roman" w:cs="Times New Roman" w:eastAsia="Times New Roman" w:hAnsi="Times New Roman"/>
          <w:sz w:val="18"/>
          <w:szCs w:val="18"/>
          <w:color w:val="auto"/>
        </w:rPr>
        <w:t>Total liabilities were $13.21 billion at September 30, 2024, a decrease of $737.6 million, or 5.29%, from total liabilities of $13.94 billion at December 31, 2023. The $638.8 million increase in total deposits at September 30, 2024 included the addition of $400 million in brokered time deposits. These brokered time deposits mature every 90 days, including $300 million of these deposits that were issued in connection with cash flow hedges during the first quarter of 2024. The result of these hedged time deposits is a weighted average fixed rate of approximately 4.2%. Borrowings decreased by $1.57 billion from December 31, 2023, as $2.1 billion of borrowings from the Federal Reserve’s Bank Term Funding Program were paid-off and $500 million of FHLB advances were issued. At September 30, 2024, total borrowings consisted of $500 million of FHLB advances. The FHLB advances include maturities of $300 million, at an average cost of approximately 4.73%, maturing in May of 2026, and $200 million, at a cost of 4.27% maturing in May of 2027. During the third quarter of 2024, we repaid $1.3 billion of borrowings from the Federal Reserve’s Bank Term Funding Program, with a cost of 4.76%, that were scheduled to mature in January of 2025.</w:t>
      </w:r>
    </w:p>
    <w:p>
      <w:pPr>
        <w:spacing w:after="0" w:line="188" w:lineRule="exact"/>
        <w:rPr>
          <w:sz w:val="20"/>
          <w:szCs w:val="20"/>
          <w:color w:val="auto"/>
        </w:rPr>
      </w:pPr>
    </w:p>
    <w:p>
      <w:pPr>
        <w:ind w:right="80" w:firstLine="469"/>
        <w:spacing w:after="0" w:line="261" w:lineRule="auto"/>
        <w:rPr>
          <w:sz w:val="20"/>
          <w:szCs w:val="20"/>
          <w:color w:val="auto"/>
        </w:rPr>
      </w:pPr>
      <w:r>
        <w:rPr>
          <w:rFonts w:ascii="Times New Roman" w:cs="Times New Roman" w:eastAsia="Times New Roman" w:hAnsi="Times New Roman"/>
          <w:sz w:val="18"/>
          <w:szCs w:val="18"/>
          <w:color w:val="auto"/>
        </w:rPr>
        <w:t>Total equity increased $119.9 million to $2.20 billion at September 30, 2024, compared to total equity of $2.08 billion at December 31, 2023. Increases to equity included $149.9 million in net earnings and a $48.7 million increase in other comprehensive income, that were partially offset by $83.9 million in cash dividends. We engaged in no stock repurchases during the first nine months of 2024. Our tangible book value per share at September 30, 2024 was $10.17.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Sale-Leaseback Transactions</w:t>
      </w:r>
    </w:p>
    <w:p>
      <w:pPr>
        <w:spacing w:after="0" w:line="229" w:lineRule="exact"/>
        <w:rPr>
          <w:sz w:val="20"/>
          <w:szCs w:val="20"/>
          <w:color w:val="auto"/>
        </w:rPr>
      </w:pPr>
    </w:p>
    <w:p>
      <w:pPr>
        <w:ind w:right="40" w:firstLine="469"/>
        <w:spacing w:after="0" w:line="261" w:lineRule="auto"/>
        <w:rPr>
          <w:sz w:val="20"/>
          <w:szCs w:val="20"/>
          <w:color w:val="auto"/>
        </w:rPr>
      </w:pPr>
      <w:r>
        <w:rPr>
          <w:rFonts w:ascii="Times New Roman" w:cs="Times New Roman" w:eastAsia="Times New Roman" w:hAnsi="Times New Roman"/>
          <w:sz w:val="18"/>
          <w:szCs w:val="18"/>
          <w:color w:val="auto"/>
        </w:rPr>
        <w:t>During the third quarter of 2024, the Bank executed sale-leaseback transactions with the sale of two buildings, that are utilized as Banking Centers, for an aggregate sale price of $17 million. The Bank simultaneously entered into lease agreements with the respective purchasers for initial terms of 15 and 18 years. These sale-leaseback transactions resulted in a pre-tax net gain of $9.1 million for the third quarter of 2024. The Bank also recorded ROU assets and corresponding operating lease liabilities each totaling $11.2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Securities</w:t>
      </w:r>
    </w:p>
    <w:p>
      <w:pPr>
        <w:spacing w:after="0" w:line="229" w:lineRule="exact"/>
        <w:rPr>
          <w:sz w:val="20"/>
          <w:szCs w:val="20"/>
          <w:color w:val="auto"/>
        </w:rPr>
      </w:pPr>
    </w:p>
    <w:p>
      <w:pPr>
        <w:ind w:firstLine="469"/>
        <w:spacing w:after="0" w:line="258" w:lineRule="auto"/>
        <w:rPr>
          <w:sz w:val="20"/>
          <w:szCs w:val="20"/>
          <w:color w:val="auto"/>
        </w:rPr>
      </w:pPr>
      <w:r>
        <w:rPr>
          <w:rFonts w:ascii="Times New Roman" w:cs="Times New Roman" w:eastAsia="Times New Roman" w:hAnsi="Times New Roman"/>
          <w:sz w:val="18"/>
          <w:szCs w:val="18"/>
          <w:color w:val="auto"/>
        </w:rPr>
        <w:t>The Company maintains a portfolio of investment securities to provide interest income and to serve as a source of liquidity for its ongoing operations. At September 30, 2024, total investment securities were $4.87 billion. This represented a decrease of $549.9 million, or 10.14%, from $5.42 billion at December 31, 2023. The overall decrease in investment securities was primarily due to a $490.5 million decline in our AFS securities. Concurrent with the sale-leaseback transactions during the third quarter of 2024, the Bank sold AFS securities with a book value of $312 million, resulting in a net pre-tax loss of $11.6 million.</w:t>
      </w:r>
    </w:p>
    <w:p>
      <w:pPr>
        <w:spacing w:after="0" w:line="183" w:lineRule="exact"/>
        <w:rPr>
          <w:sz w:val="20"/>
          <w:szCs w:val="20"/>
          <w:color w:val="auto"/>
        </w:rPr>
      </w:pPr>
    </w:p>
    <w:p>
      <w:pPr>
        <w:ind w:right="20" w:firstLine="469"/>
        <w:spacing w:after="0" w:line="253" w:lineRule="auto"/>
        <w:rPr>
          <w:sz w:val="20"/>
          <w:szCs w:val="20"/>
          <w:color w:val="auto"/>
        </w:rPr>
      </w:pPr>
      <w:r>
        <w:rPr>
          <w:rFonts w:ascii="Times New Roman" w:cs="Times New Roman" w:eastAsia="Times New Roman" w:hAnsi="Times New Roman"/>
          <w:sz w:val="18"/>
          <w:szCs w:val="18"/>
          <w:color w:val="auto"/>
        </w:rPr>
        <w:t>At September 30, 2024, our AFS investment securities totaled $2.47 billion, inclusive of a pre-tax net unrealized loss of $367.7 million. The $82.1 million increase in fair value of our AFS securities was partially offset by an $8.0 million decrease in the fair value of our derivatives that hedge the change in value of our AFS portfolio. The after-tax unrealized loss reported in AOCI on our AFS investment securities at September 30, 2024 was $271.1 million. The changes in the net unrealized holding loss resulted from the sale of AFS securities and fluctuations in market interest rates. At September 30, 2024, investment securities HTM totaled $2.41 billion. For the nine months ended September 30, 2024 and 2023, repayments/maturities of investment securities totaled $366.4 million and $358.6 million, respectively. The Company purchased $33 million of short-term treasury notes in the second quarter of 2024 for pledging purposes. We also originated $11.5 million of Commercial Property Assessed Clean Energy ("C-PACE") bonds in the first nine months of 2024, which are included in our HTM securities portfolio. There were no purchases of investment securities during the nine months ended September 30, 2023 as cashflows generated from the portfolio were not reinvested during the year. There were no investment securities sold during the nine months ended September 30, 2023.</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53" w:name="page54"/>
    <w:bookmarkEnd w:id="53"/>
    <w:p>
      <w:pPr>
        <w:ind w:left="480"/>
        <w:spacing w:after="0"/>
        <w:rPr>
          <w:sz w:val="20"/>
          <w:szCs w:val="20"/>
          <w:color w:val="auto"/>
        </w:rPr>
      </w:pPr>
      <w:r>
        <w:rPr>
          <w:rFonts w:ascii="Times New Roman" w:cs="Times New Roman" w:eastAsia="Times New Roman" w:hAnsi="Times New Roman"/>
          <w:sz w:val="18"/>
          <w:szCs w:val="18"/>
          <w:color w:val="auto"/>
        </w:rPr>
        <w:t>The tables below set forth our investment securities AFS and HTM portfolio by type for the dates presented.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9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gridSpan w:val="4"/>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140" w:type="dxa"/>
            <w:vAlign w:val="bottom"/>
          </w:tcPr>
          <w:p>
            <w:pPr>
              <w:spacing w:after="0"/>
              <w:rPr>
                <w:sz w:val="18"/>
                <w:szCs w:val="18"/>
                <w:color w:val="auto"/>
              </w:rPr>
            </w:pPr>
          </w:p>
        </w:tc>
        <w:tc>
          <w:tcPr>
            <w:tcW w:w="11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9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Cost</w:t>
            </w:r>
          </w:p>
        </w:tc>
        <w:tc>
          <w:tcPr>
            <w:tcW w:w="340" w:type="dxa"/>
            <w:vAlign w:val="bottom"/>
          </w:tcPr>
          <w:p>
            <w:pPr>
              <w:spacing w:after="0"/>
              <w:rPr>
                <w:sz w:val="21"/>
                <w:szCs w:val="21"/>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Holding Gain</w:t>
            </w:r>
          </w:p>
        </w:tc>
        <w:tc>
          <w:tcPr>
            <w:tcW w:w="320" w:type="dxa"/>
            <w:vAlign w:val="bottom"/>
          </w:tcPr>
          <w:p>
            <w:pPr>
              <w:spacing w:after="0"/>
              <w:rPr>
                <w:sz w:val="21"/>
                <w:szCs w:val="21"/>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Holding Loss</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60" w:type="dxa"/>
            <w:vAlign w:val="bottom"/>
          </w:tcPr>
          <w:p>
            <w:pPr>
              <w:spacing w:after="0"/>
              <w:rPr>
                <w:sz w:val="21"/>
                <w:szCs w:val="21"/>
                <w:color w:val="auto"/>
              </w:rPr>
            </w:pPr>
          </w:p>
        </w:tc>
        <w:tc>
          <w:tcPr>
            <w:tcW w:w="1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Percent</w:t>
            </w:r>
          </w:p>
        </w:tc>
        <w:tc>
          <w:tcPr>
            <w:tcW w:w="16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3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20" w:type="dxa"/>
            <w:vAlign w:val="bottom"/>
            <w:gridSpan w:val="4"/>
          </w:tcPr>
          <w:p>
            <w:pPr>
              <w:jc w:val="right"/>
              <w:ind w:right="30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 securities available-for-sale:</w:t>
            </w: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Government agency/GSE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33,921</w:t>
            </w:r>
          </w:p>
        </w:tc>
        <w:tc>
          <w:tcPr>
            <w:tcW w:w="3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34,129</w:t>
            </w: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1.38 %</w:t>
            </w:r>
          </w:p>
        </w:tc>
        <w:tc>
          <w:tcPr>
            <w:tcW w:w="0" w:type="dxa"/>
            <w:vAlign w:val="bottom"/>
          </w:tcPr>
          <w:p>
            <w:pPr>
              <w:spacing w:after="0"/>
              <w:rPr>
                <w:sz w:val="1"/>
                <w:szCs w:val="1"/>
                <w:color w:val="auto"/>
              </w:rPr>
            </w:pPr>
          </w:p>
        </w:tc>
      </w:tr>
      <w:tr>
        <w:trPr>
          <w:trHeight w:val="238"/>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2,295,381</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(261,825 )</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2,033,599</w:t>
            </w: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82.48 %</w:t>
            </w:r>
          </w:p>
        </w:tc>
        <w:tc>
          <w:tcPr>
            <w:tcW w:w="0" w:type="dxa"/>
            <w:vAlign w:val="bottom"/>
          </w:tcPr>
          <w:p>
            <w:pPr>
              <w:spacing w:after="0"/>
              <w:rPr>
                <w:sz w:val="1"/>
                <w:szCs w:val="1"/>
                <w:color w:val="auto"/>
              </w:rPr>
            </w:pPr>
          </w:p>
        </w:tc>
      </w:tr>
      <w:tr>
        <w:trPr>
          <w:trHeight w:val="243"/>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CMO/REMIC</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476,051</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(105,044 )</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371,007</w:t>
            </w: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15.05 %</w:t>
            </w:r>
          </w:p>
        </w:tc>
        <w:tc>
          <w:tcPr>
            <w:tcW w:w="0" w:type="dxa"/>
            <w:vAlign w:val="bottom"/>
          </w:tcPr>
          <w:p>
            <w:pPr>
              <w:spacing w:after="0"/>
              <w:rPr>
                <w:sz w:val="1"/>
                <w:szCs w:val="1"/>
                <w:color w:val="auto"/>
              </w:rPr>
            </w:pPr>
          </w:p>
        </w:tc>
      </w:tr>
      <w:tr>
        <w:trPr>
          <w:trHeight w:val="243"/>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Municipal bonds</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26,489</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(1,115 )</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25,420</w:t>
            </w: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1.03 %</w:t>
            </w:r>
          </w:p>
        </w:tc>
        <w:tc>
          <w:tcPr>
            <w:tcW w:w="0" w:type="dxa"/>
            <w:vAlign w:val="bottom"/>
          </w:tcPr>
          <w:p>
            <w:pPr>
              <w:spacing w:after="0"/>
              <w:rPr>
                <w:sz w:val="1"/>
                <w:szCs w:val="1"/>
                <w:color w:val="auto"/>
              </w:rPr>
            </w:pPr>
          </w:p>
        </w:tc>
      </w:tr>
      <w:tr>
        <w:trPr>
          <w:trHeight w:val="243"/>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securities</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0.06 %</w:t>
            </w:r>
          </w:p>
        </w:tc>
        <w:tc>
          <w:tcPr>
            <w:tcW w:w="0" w:type="dxa"/>
            <w:vAlign w:val="bottom"/>
          </w:tcPr>
          <w:p>
            <w:pPr>
              <w:spacing w:after="0"/>
              <w:rPr>
                <w:sz w:val="1"/>
                <w:szCs w:val="1"/>
                <w:color w:val="auto"/>
              </w:rPr>
            </w:pPr>
          </w:p>
        </w:tc>
      </w:tr>
      <w:tr>
        <w:trPr>
          <w:trHeight w:val="225"/>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Unallocated portfolio layer fair value basis</w:t>
            </w:r>
          </w:p>
        </w:tc>
        <w:tc>
          <w:tcPr>
            <w:tcW w:w="140" w:type="dxa"/>
            <w:vAlign w:val="bottom"/>
          </w:tcPr>
          <w:p>
            <w:pPr>
              <w:spacing w:after="0"/>
              <w:rPr>
                <w:sz w:val="19"/>
                <w:szCs w:val="19"/>
                <w:color w:val="auto"/>
              </w:rPr>
            </w:pPr>
          </w:p>
        </w:tc>
        <w:tc>
          <w:tcPr>
            <w:tcW w:w="14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(14,959 )</w:t>
            </w:r>
          </w:p>
        </w:tc>
        <w:tc>
          <w:tcPr>
            <w:tcW w:w="140" w:type="dxa"/>
            <w:vAlign w:val="bottom"/>
          </w:tcPr>
          <w:p>
            <w:pPr>
              <w:spacing w:after="0"/>
              <w:rPr>
                <w:sz w:val="19"/>
                <w:szCs w:val="19"/>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14,959</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color w:val="auto"/>
              </w:rPr>
              <w:t>0.00 %</w:t>
            </w:r>
          </w:p>
        </w:tc>
        <w:tc>
          <w:tcPr>
            <w:tcW w:w="0" w:type="dxa"/>
            <w:vAlign w:val="bottom"/>
          </w:tcPr>
          <w:p>
            <w:pPr>
              <w:spacing w:after="0"/>
              <w:rPr>
                <w:sz w:val="1"/>
                <w:szCs w:val="1"/>
                <w:color w:val="auto"/>
              </w:rPr>
            </w:pPr>
          </w:p>
        </w:tc>
      </w:tr>
      <w:tr>
        <w:trPr>
          <w:trHeight w:val="234"/>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(1)</w:t>
            </w:r>
          </w:p>
        </w:tc>
        <w:tc>
          <w:tcPr>
            <w:tcW w:w="140" w:type="dxa"/>
            <w:vAlign w:val="bottom"/>
          </w:tcPr>
          <w:p>
            <w:pPr>
              <w:spacing w:after="0"/>
              <w:rPr>
                <w:sz w:val="20"/>
                <w:szCs w:val="20"/>
                <w:color w:val="auto"/>
              </w:rPr>
            </w:pPr>
          </w:p>
        </w:tc>
        <w:tc>
          <w:tcPr>
            <w:tcW w:w="142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1540" w:type="dxa"/>
            <w:vAlign w:val="bottom"/>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2,818,313</w:t>
            </w:r>
          </w:p>
        </w:tc>
        <w:tc>
          <w:tcPr>
            <w:tcW w:w="3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15,256</w:t>
            </w:r>
          </w:p>
        </w:tc>
        <w:tc>
          <w:tcPr>
            <w:tcW w:w="3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(367,984 )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2,465,585</w:t>
            </w: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 securities held-to-maturity:</w:t>
            </w: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Government agency/GSE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518,446</w:t>
            </w:r>
          </w:p>
        </w:tc>
        <w:tc>
          <w:tcPr>
            <w:tcW w:w="3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(84,898 )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433,548</w:t>
            </w: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21.55 %</w:t>
            </w:r>
          </w:p>
        </w:tc>
        <w:tc>
          <w:tcPr>
            <w:tcW w:w="0" w:type="dxa"/>
            <w:vAlign w:val="bottom"/>
          </w:tcPr>
          <w:p>
            <w:pPr>
              <w:spacing w:after="0"/>
              <w:rPr>
                <w:sz w:val="1"/>
                <w:szCs w:val="1"/>
                <w:color w:val="auto"/>
              </w:rPr>
            </w:pPr>
          </w:p>
        </w:tc>
      </w:tr>
      <w:tr>
        <w:trPr>
          <w:trHeight w:val="238"/>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626,474</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(85,320 )</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541,159</w:t>
            </w: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26.05 %</w:t>
            </w:r>
          </w:p>
        </w:tc>
        <w:tc>
          <w:tcPr>
            <w:tcW w:w="0" w:type="dxa"/>
            <w:vAlign w:val="bottom"/>
          </w:tcPr>
          <w:p>
            <w:pPr>
              <w:spacing w:after="0"/>
              <w:rPr>
                <w:sz w:val="1"/>
                <w:szCs w:val="1"/>
                <w:color w:val="auto"/>
              </w:rPr>
            </w:pPr>
          </w:p>
        </w:tc>
      </w:tr>
      <w:tr>
        <w:trPr>
          <w:trHeight w:val="243"/>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CMO/REMIC</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788,622</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(144,801 )</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643,821</w:t>
            </w: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32.79 %</w:t>
            </w:r>
          </w:p>
        </w:tc>
        <w:tc>
          <w:tcPr>
            <w:tcW w:w="0" w:type="dxa"/>
            <w:vAlign w:val="bottom"/>
          </w:tcPr>
          <w:p>
            <w:pPr>
              <w:spacing w:after="0"/>
              <w:rPr>
                <w:sz w:val="1"/>
                <w:szCs w:val="1"/>
                <w:color w:val="auto"/>
              </w:rPr>
            </w:pPr>
          </w:p>
        </w:tc>
      </w:tr>
      <w:tr>
        <w:trPr>
          <w:trHeight w:val="243"/>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Municipal bonds</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460,257</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2,994</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(29,540 )</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433,711</w:t>
            </w: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19.14 %</w:t>
            </w:r>
          </w:p>
        </w:tc>
        <w:tc>
          <w:tcPr>
            <w:tcW w:w="0" w:type="dxa"/>
            <w:vAlign w:val="bottom"/>
          </w:tcPr>
          <w:p>
            <w:pPr>
              <w:spacing w:after="0"/>
              <w:rPr>
                <w:sz w:val="1"/>
                <w:szCs w:val="1"/>
                <w:color w:val="auto"/>
              </w:rPr>
            </w:pPr>
          </w:p>
        </w:tc>
      </w:tr>
      <w:tr>
        <w:trPr>
          <w:trHeight w:val="257"/>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securities (2)</w:t>
            </w: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11,455</w:t>
            </w: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11,455</w:t>
            </w:r>
          </w:p>
        </w:tc>
        <w:tc>
          <w:tcPr>
            <w:tcW w:w="260" w:type="dxa"/>
            <w:vAlign w:val="bottom"/>
          </w:tcPr>
          <w:p>
            <w:pPr>
              <w:spacing w:after="0"/>
              <w:rPr>
                <w:sz w:val="22"/>
                <w:szCs w:val="22"/>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0.47 %</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held-to-maturity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2,405,254</w:t>
            </w:r>
          </w:p>
        </w:tc>
        <w:tc>
          <w:tcPr>
            <w:tcW w:w="3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2,999</w:t>
            </w:r>
          </w:p>
        </w:tc>
        <w:tc>
          <w:tcPr>
            <w:tcW w:w="3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(344,559 )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2,063,694</w:t>
            </w: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-2202180</wp:posOffset>
            </wp:positionV>
            <wp:extent cx="7132320" cy="15430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-1893570</wp:posOffset>
            </wp:positionV>
            <wp:extent cx="7132320" cy="15430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-805180</wp:posOffset>
            </wp:positionV>
            <wp:extent cx="7132320" cy="15430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-496570</wp:posOffset>
            </wp:positionV>
            <wp:extent cx="7132320" cy="15430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-1585595</wp:posOffset>
            </wp:positionV>
            <wp:extent cx="7132320" cy="29146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82" w:lineRule="exact"/>
        <w:rPr>
          <w:sz w:val="20"/>
          <w:szCs w:val="20"/>
          <w:color w:val="auto"/>
        </w:rPr>
      </w:pPr>
    </w:p>
    <w:p>
      <w:pPr>
        <w:ind w:left="760" w:right="180" w:hanging="378"/>
        <w:spacing w:after="0" w:line="267" w:lineRule="auto"/>
        <w:tabs>
          <w:tab w:leader="none" w:pos="7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amount of portfolio layer method basis adjustments related to AFS MBS securities hedged in a closed portfolio. Under U.S. GAAP, portfolio layer method basis adjustments are not allocated to individual securities, however the amounts impact the unrealized gains or losses for the individual securities being hedged. Refer to Note 3 and Note 10 for additional information.</w:t>
      </w:r>
    </w:p>
    <w:p>
      <w:pPr>
        <w:spacing w:after="0" w:line="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Commercial Property Assessed Clean Energy ("C-PACE") bonds.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9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gridSpan w:val="4"/>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140" w:type="dxa"/>
            <w:vAlign w:val="bottom"/>
          </w:tcPr>
          <w:p>
            <w:pPr>
              <w:spacing w:after="0"/>
              <w:rPr>
                <w:sz w:val="18"/>
                <w:szCs w:val="18"/>
                <w:color w:val="auto"/>
              </w:rPr>
            </w:pPr>
          </w:p>
        </w:tc>
        <w:tc>
          <w:tcPr>
            <w:tcW w:w="11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9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Cost</w:t>
            </w:r>
          </w:p>
        </w:tc>
        <w:tc>
          <w:tcPr>
            <w:tcW w:w="340" w:type="dxa"/>
            <w:vAlign w:val="bottom"/>
          </w:tcPr>
          <w:p>
            <w:pPr>
              <w:spacing w:after="0"/>
              <w:rPr>
                <w:sz w:val="21"/>
                <w:szCs w:val="21"/>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Holding Gain</w:t>
            </w:r>
          </w:p>
        </w:tc>
        <w:tc>
          <w:tcPr>
            <w:tcW w:w="320" w:type="dxa"/>
            <w:vAlign w:val="bottom"/>
          </w:tcPr>
          <w:p>
            <w:pPr>
              <w:spacing w:after="0"/>
              <w:rPr>
                <w:sz w:val="21"/>
                <w:szCs w:val="21"/>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Holding Loss</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60" w:type="dxa"/>
            <w:vAlign w:val="bottom"/>
          </w:tcPr>
          <w:p>
            <w:pPr>
              <w:spacing w:after="0"/>
              <w:rPr>
                <w:sz w:val="21"/>
                <w:szCs w:val="21"/>
                <w:color w:val="auto"/>
              </w:rPr>
            </w:pPr>
          </w:p>
        </w:tc>
        <w:tc>
          <w:tcPr>
            <w:tcW w:w="1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Percent</w:t>
            </w:r>
          </w:p>
        </w:tc>
        <w:tc>
          <w:tcPr>
            <w:tcW w:w="16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3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w w:val="91"/>
              </w:rPr>
              <w:t>(Dollars in thousands)</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 securities available-for-sale:</w:t>
            </w: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tcBorders>
              <w:right w:val="single" w:sz="8" w:color="CFF0FC"/>
            </w:tcBorders>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Government agency/GSE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32,229</w:t>
            </w:r>
          </w:p>
        </w:tc>
        <w:tc>
          <w:tcPr>
            <w:tcW w:w="3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32,253</w:t>
            </w: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0" w:type="dxa"/>
            <w:vAlign w:val="bottom"/>
          </w:tcPr>
          <w:p>
            <w:pPr>
              <w:spacing w:after="0"/>
              <w:rPr>
                <w:sz w:val="1"/>
                <w:szCs w:val="1"/>
                <w:color w:val="auto"/>
              </w:rPr>
            </w:pPr>
          </w:p>
        </w:tc>
      </w:tr>
      <w:tr>
        <w:trPr>
          <w:trHeight w:val="238"/>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2,843,744</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(336,107 )</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2,507,679</w:t>
            </w: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84.83 %</w:t>
            </w:r>
          </w:p>
        </w:tc>
        <w:tc>
          <w:tcPr>
            <w:tcW w:w="0" w:type="dxa"/>
            <w:vAlign w:val="bottom"/>
          </w:tcPr>
          <w:p>
            <w:pPr>
              <w:spacing w:after="0"/>
              <w:rPr>
                <w:sz w:val="1"/>
                <w:szCs w:val="1"/>
                <w:color w:val="auto"/>
              </w:rPr>
            </w:pPr>
          </w:p>
        </w:tc>
      </w:tr>
      <w:tr>
        <w:trPr>
          <w:trHeight w:val="243"/>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CMO/REMIC</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502,234</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(112,872 )</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389,362</w:t>
            </w: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13.17 %</w:t>
            </w:r>
          </w:p>
        </w:tc>
        <w:tc>
          <w:tcPr>
            <w:tcW w:w="0" w:type="dxa"/>
            <w:vAlign w:val="bottom"/>
          </w:tcPr>
          <w:p>
            <w:pPr>
              <w:spacing w:after="0"/>
              <w:rPr>
                <w:sz w:val="1"/>
                <w:szCs w:val="1"/>
                <w:color w:val="auto"/>
              </w:rPr>
            </w:pPr>
          </w:p>
        </w:tc>
      </w:tr>
      <w:tr>
        <w:trPr>
          <w:trHeight w:val="243"/>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Municipal bonds</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26,477</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(888 )</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25,635</w:t>
            </w: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0.87 %</w:t>
            </w:r>
          </w:p>
        </w:tc>
        <w:tc>
          <w:tcPr>
            <w:tcW w:w="0" w:type="dxa"/>
            <w:vAlign w:val="bottom"/>
          </w:tcPr>
          <w:p>
            <w:pPr>
              <w:spacing w:after="0"/>
              <w:rPr>
                <w:sz w:val="1"/>
                <w:szCs w:val="1"/>
                <w:color w:val="auto"/>
              </w:rPr>
            </w:pPr>
          </w:p>
        </w:tc>
      </w:tr>
      <w:tr>
        <w:trPr>
          <w:trHeight w:val="243"/>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securities</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0.04 %</w:t>
            </w:r>
          </w:p>
        </w:tc>
        <w:tc>
          <w:tcPr>
            <w:tcW w:w="0" w:type="dxa"/>
            <w:vAlign w:val="bottom"/>
          </w:tcPr>
          <w:p>
            <w:pPr>
              <w:spacing w:after="0"/>
              <w:rPr>
                <w:sz w:val="1"/>
                <w:szCs w:val="1"/>
                <w:color w:val="auto"/>
              </w:rPr>
            </w:pPr>
          </w:p>
        </w:tc>
      </w:tr>
      <w:tr>
        <w:trPr>
          <w:trHeight w:val="225"/>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Unallocated portfolio layer fair value basis</w:t>
            </w:r>
          </w:p>
        </w:tc>
        <w:tc>
          <w:tcPr>
            <w:tcW w:w="140" w:type="dxa"/>
            <w:vAlign w:val="bottom"/>
          </w:tcPr>
          <w:p>
            <w:pPr>
              <w:spacing w:after="0"/>
              <w:rPr>
                <w:sz w:val="19"/>
                <w:szCs w:val="19"/>
                <w:color w:val="auto"/>
              </w:rPr>
            </w:pPr>
          </w:p>
        </w:tc>
        <w:tc>
          <w:tcPr>
            <w:tcW w:w="14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(6,938 )</w:t>
            </w:r>
          </w:p>
        </w:tc>
        <w:tc>
          <w:tcPr>
            <w:tcW w:w="140" w:type="dxa"/>
            <w:vAlign w:val="bottom"/>
          </w:tcPr>
          <w:p>
            <w:pPr>
              <w:spacing w:after="0"/>
              <w:rPr>
                <w:sz w:val="19"/>
                <w:szCs w:val="19"/>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6,938</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color w:val="auto"/>
              </w:rPr>
              <w:t>0.00 %</w:t>
            </w:r>
          </w:p>
        </w:tc>
        <w:tc>
          <w:tcPr>
            <w:tcW w:w="0" w:type="dxa"/>
            <w:vAlign w:val="bottom"/>
          </w:tcPr>
          <w:p>
            <w:pPr>
              <w:spacing w:after="0"/>
              <w:rPr>
                <w:sz w:val="1"/>
                <w:szCs w:val="1"/>
                <w:color w:val="auto"/>
              </w:rPr>
            </w:pPr>
          </w:p>
        </w:tc>
      </w:tr>
      <w:tr>
        <w:trPr>
          <w:trHeight w:val="234"/>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(1)</w:t>
            </w:r>
          </w:p>
        </w:tc>
        <w:tc>
          <w:tcPr>
            <w:tcW w:w="140" w:type="dxa"/>
            <w:vAlign w:val="bottom"/>
          </w:tcPr>
          <w:p>
            <w:pPr>
              <w:spacing w:after="0"/>
              <w:rPr>
                <w:sz w:val="20"/>
                <w:szCs w:val="20"/>
                <w:color w:val="auto"/>
              </w:rPr>
            </w:pPr>
          </w:p>
        </w:tc>
        <w:tc>
          <w:tcPr>
            <w:tcW w:w="142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1540" w:type="dxa"/>
            <w:vAlign w:val="bottom"/>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3,398,942</w:t>
            </w:r>
          </w:p>
        </w:tc>
        <w:tc>
          <w:tcPr>
            <w:tcW w:w="3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7,050</w:t>
            </w:r>
          </w:p>
        </w:tc>
        <w:tc>
          <w:tcPr>
            <w:tcW w:w="3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(449,867 )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2,956,125</w:t>
            </w: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 securities held-to-maturity:</w:t>
            </w: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tcBorders>
              <w:right w:val="single" w:sz="8" w:color="CFF0FC"/>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Government agency/GSE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530,656</w:t>
            </w:r>
          </w:p>
        </w:tc>
        <w:tc>
          <w:tcPr>
            <w:tcW w:w="3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(97,972 )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432,684</w:t>
            </w: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21.53 %</w:t>
            </w:r>
          </w:p>
        </w:tc>
        <w:tc>
          <w:tcPr>
            <w:tcW w:w="0" w:type="dxa"/>
            <w:vAlign w:val="bottom"/>
          </w:tcPr>
          <w:p>
            <w:pPr>
              <w:spacing w:after="0"/>
              <w:rPr>
                <w:sz w:val="1"/>
                <w:szCs w:val="1"/>
                <w:color w:val="auto"/>
              </w:rPr>
            </w:pPr>
          </w:p>
        </w:tc>
      </w:tr>
      <w:tr>
        <w:trPr>
          <w:trHeight w:val="238"/>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663,090</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(97,436 )</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565,654</w:t>
            </w: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26.90 %</w:t>
            </w:r>
          </w:p>
        </w:tc>
        <w:tc>
          <w:tcPr>
            <w:tcW w:w="0" w:type="dxa"/>
            <w:vAlign w:val="bottom"/>
          </w:tcPr>
          <w:p>
            <w:pPr>
              <w:spacing w:after="0"/>
              <w:rPr>
                <w:sz w:val="1"/>
                <w:szCs w:val="1"/>
                <w:color w:val="auto"/>
              </w:rPr>
            </w:pPr>
          </w:p>
        </w:tc>
      </w:tr>
      <w:tr>
        <w:trPr>
          <w:trHeight w:val="243"/>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CMO/REMIC</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802,892</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(156,155 )</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646,737</w:t>
            </w: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32.58 %</w:t>
            </w:r>
          </w:p>
        </w:tc>
        <w:tc>
          <w:tcPr>
            <w:tcW w:w="0" w:type="dxa"/>
            <w:vAlign w:val="bottom"/>
          </w:tcPr>
          <w:p>
            <w:pPr>
              <w:spacing w:after="0"/>
              <w:rPr>
                <w:sz w:val="1"/>
                <w:szCs w:val="1"/>
                <w:color w:val="auto"/>
              </w:rPr>
            </w:pPr>
          </w:p>
        </w:tc>
      </w:tr>
      <w:tr>
        <w:trPr>
          <w:trHeight w:val="256"/>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Municipal bonds</w:t>
            </w: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467,972</w:t>
            </w: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3,438</w:t>
            </w: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(33,604 )</w:t>
            </w:r>
          </w:p>
        </w:tc>
        <w:tc>
          <w:tcPr>
            <w:tcW w:w="1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437,806</w:t>
            </w: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18.99 %</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held-to-maturity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2,464,610</w:t>
            </w:r>
          </w:p>
        </w:tc>
        <w:tc>
          <w:tcPr>
            <w:tcW w:w="3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3,438</w:t>
            </w:r>
          </w:p>
        </w:tc>
        <w:tc>
          <w:tcPr>
            <w:tcW w:w="3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(385,167 )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2,082,881</w:t>
            </w: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-2047875</wp:posOffset>
            </wp:positionV>
            <wp:extent cx="7132320" cy="15430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-1739265</wp:posOffset>
            </wp:positionV>
            <wp:extent cx="7132320" cy="15430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-650875</wp:posOffset>
            </wp:positionV>
            <wp:extent cx="7132320" cy="15430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-1430655</wp:posOffset>
            </wp:positionV>
            <wp:extent cx="7132320" cy="29146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-342265</wp:posOffset>
            </wp:positionV>
            <wp:extent cx="7132320" cy="16256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78" w:lineRule="exact"/>
        <w:rPr>
          <w:sz w:val="20"/>
          <w:szCs w:val="20"/>
          <w:color w:val="auto"/>
        </w:rPr>
      </w:pPr>
    </w:p>
    <w:p>
      <w:pPr>
        <w:jc w:val="both"/>
        <w:ind w:right="340" w:firstLine="469"/>
        <w:spacing w:after="0" w:line="266" w:lineRule="auto"/>
        <w:rPr>
          <w:sz w:val="20"/>
          <w:szCs w:val="20"/>
          <w:color w:val="auto"/>
        </w:rPr>
      </w:pPr>
      <w:r>
        <w:rPr>
          <w:rFonts w:ascii="Times New Roman" w:cs="Times New Roman" w:eastAsia="Times New Roman" w:hAnsi="Times New Roman"/>
          <w:sz w:val="18"/>
          <w:szCs w:val="18"/>
          <w:color w:val="auto"/>
        </w:rPr>
        <w:t>As of September 30, 2024, approximately $27.6 million in U.S. government agency bonds are callable. The Agency CMO/REMIC securities are backed by agency-pooled collateral. Municipal bonds, which represented approximately 10% of the total investment portfolio, are predominately AA or higher rated securities.</w:t>
      </w:r>
    </w:p>
    <w:p>
      <w:pPr>
        <w:spacing w:after="0" w:line="17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093" w:right="279" w:bottom="1440" w:gutter="0" w:footer="0" w:header="0"/>
        </w:sectPr>
      </w:pPr>
    </w:p>
    <w:bookmarkStart w:id="54" w:name="page55"/>
    <w:bookmarkEnd w:id="54"/>
    <w:p>
      <w:pPr>
        <w:ind w:right="20" w:firstLine="46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AFS investment securities and HTM investment securities, by investment category, in an unrealized loss position for which an allowance for credit losses has not been recorded as of September 30, 2024 and December 31, 2023.</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gridSpan w:val="5"/>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60" w:type="dxa"/>
            <w:vAlign w:val="bottom"/>
            <w:gridSpan w:val="5"/>
          </w:tcPr>
          <w:p>
            <w:pPr>
              <w:jc w:val="right"/>
              <w:ind w:right="740"/>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120" w:type="dxa"/>
            <w:vAlign w:val="bottom"/>
          </w:tcPr>
          <w:p>
            <w:pPr>
              <w:spacing w:after="0"/>
              <w:rPr>
                <w:sz w:val="19"/>
                <w:szCs w:val="19"/>
                <w:color w:val="auto"/>
              </w:rPr>
            </w:pPr>
          </w:p>
        </w:tc>
        <w:tc>
          <w:tcPr>
            <w:tcW w:w="2520" w:type="dxa"/>
            <w:vAlign w:val="bottom"/>
            <w:gridSpan w:val="5"/>
          </w:tcPr>
          <w:p>
            <w:pPr>
              <w:jc w:val="right"/>
              <w:ind w:right="740"/>
              <w:spacing w:after="0"/>
              <w:rPr>
                <w:sz w:val="20"/>
                <w:szCs w:val="20"/>
                <w:color w:val="auto"/>
              </w:rPr>
            </w:pPr>
            <w:r>
              <w:rPr>
                <w:rFonts w:ascii="Times New Roman" w:cs="Times New Roman" w:eastAsia="Times New Roman" w:hAnsi="Times New Roman"/>
                <w:sz w:val="16"/>
                <w:szCs w:val="16"/>
                <w:b w:val="1"/>
                <w:bCs w:val="1"/>
                <w:color w:val="auto"/>
              </w:rPr>
              <w:t>12 Months or Longer</w:t>
            </w:r>
          </w:p>
        </w:tc>
        <w:tc>
          <w:tcPr>
            <w:tcW w:w="100" w:type="dxa"/>
            <w:vAlign w:val="bottom"/>
          </w:tcPr>
          <w:p>
            <w:pPr>
              <w:spacing w:after="0"/>
              <w:rPr>
                <w:sz w:val="19"/>
                <w:szCs w:val="19"/>
                <w:color w:val="auto"/>
              </w:rPr>
            </w:pPr>
          </w:p>
        </w:tc>
        <w:tc>
          <w:tcPr>
            <w:tcW w:w="12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0"/>
        </w:trPr>
        <w:tc>
          <w:tcPr>
            <w:tcW w:w="35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3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Gross</w:t>
            </w:r>
          </w:p>
        </w:tc>
        <w:tc>
          <w:tcPr>
            <w:tcW w:w="3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10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Unrealized</w:t>
            </w:r>
          </w:p>
        </w:tc>
      </w:t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Holding</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Holding</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Holding</w:t>
            </w:r>
          </w:p>
        </w:tc>
      </w:tr>
      <w:tr>
        <w:trPr>
          <w:trHeight w:val="225"/>
        </w:trPr>
        <w:tc>
          <w:tcPr>
            <w:tcW w:w="3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00" w:type="dxa"/>
            <w:vAlign w:val="bottom"/>
          </w:tcPr>
          <w:p>
            <w:pPr>
              <w:spacing w:after="0"/>
              <w:rPr>
                <w:sz w:val="19"/>
                <w:szCs w:val="19"/>
                <w:color w:val="auto"/>
              </w:rPr>
            </w:pPr>
          </w:p>
        </w:tc>
      </w:tr>
      <w:tr>
        <w:trPr>
          <w:trHeight w:val="221"/>
        </w:trPr>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20" w:type="dxa"/>
            <w:vAlign w:val="bottom"/>
            <w:gridSpan w:val="5"/>
          </w:tcPr>
          <w:p>
            <w:pPr>
              <w:jc w:val="center"/>
              <w:ind w:right="5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Investment securities available-for-sale:</w:t>
            </w: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3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Government agency/GSE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3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2,032,214</w:t>
            </w:r>
          </w:p>
        </w:tc>
        <w:tc>
          <w:tcPr>
            <w:tcW w:w="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(261,824 )</w:t>
            </w: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2,032,223</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(261,825 )</w:t>
            </w:r>
          </w:p>
        </w:tc>
      </w:tr>
      <w:tr>
        <w:trPr>
          <w:trHeight w:val="220"/>
        </w:trPr>
        <w:tc>
          <w:tcPr>
            <w:tcW w:w="3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CMO/REMIC</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371,006</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(105,044 )</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371,006</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(105,044 )</w:t>
            </w:r>
          </w:p>
        </w:tc>
      </w:tr>
      <w:tr>
        <w:trPr>
          <w:trHeight w:val="236"/>
        </w:trPr>
        <w:tc>
          <w:tcPr>
            <w:tcW w:w="3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Municipal bonds</w:t>
            </w: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3,323</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(48 )</w:t>
            </w: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21,190</w:t>
            </w:r>
          </w:p>
        </w:tc>
        <w:tc>
          <w:tcPr>
            <w:tcW w:w="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(1,068 )</w:t>
            </w: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24,513</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(1,115 )</w:t>
            </w:r>
          </w:p>
        </w:tc>
      </w:tr>
      <w:tr>
        <w:trPr>
          <w:trHeight w:val="20"/>
        </w:trPr>
        <w:tc>
          <w:tcPr>
            <w:tcW w:w="35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6"/>
        </w:trPr>
        <w:tc>
          <w:tcPr>
            <w:tcW w:w="35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available-for-sale securities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3,332</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(48 )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2,424,410</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(367,936 )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2,427,742</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(367,984 )</w:t>
            </w:r>
          </w:p>
        </w:tc>
      </w:tr>
      <w:tr>
        <w:trPr>
          <w:trHeight w:val="20"/>
        </w:trPr>
        <w:tc>
          <w:tcPr>
            <w:tcW w:w="3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Investment securities held-to-maturity:</w:t>
            </w: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0"/>
        </w:trPr>
        <w:tc>
          <w:tcPr>
            <w:tcW w:w="35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Government agency/GSE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433,548</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(84,898 )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433,548</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(84,898 )</w:t>
            </w:r>
          </w:p>
        </w:tc>
      </w:tr>
      <w:tr>
        <w:trPr>
          <w:trHeight w:val="239"/>
        </w:trPr>
        <w:tc>
          <w:tcPr>
            <w:tcW w:w="35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538,947</w:t>
            </w:r>
          </w:p>
        </w:tc>
        <w:tc>
          <w:tcPr>
            <w:tcW w:w="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(85,320 )</w:t>
            </w: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538,947</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(85,320 )</w:t>
            </w:r>
          </w:p>
        </w:tc>
      </w:tr>
      <w:tr>
        <w:trPr>
          <w:trHeight w:val="220"/>
        </w:trPr>
        <w:tc>
          <w:tcPr>
            <w:tcW w:w="35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CMO/REMIC</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643,821</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(144,801 )</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643,821</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(144,801 )</w:t>
            </w:r>
          </w:p>
        </w:tc>
      </w:tr>
      <w:tr>
        <w:trPr>
          <w:trHeight w:val="236"/>
        </w:trPr>
        <w:tc>
          <w:tcPr>
            <w:tcW w:w="35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Municipal bonds</w:t>
            </w: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12,760</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(101 )</w:t>
            </w: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301,057</w:t>
            </w:r>
          </w:p>
        </w:tc>
        <w:tc>
          <w:tcPr>
            <w:tcW w:w="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(29,439 )</w:t>
            </w: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313,817</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(29,539 )</w:t>
            </w:r>
          </w:p>
        </w:tc>
      </w:tr>
      <w:tr>
        <w:trPr>
          <w:trHeight w:val="20"/>
        </w:trPr>
        <w:tc>
          <w:tcPr>
            <w:tcW w:w="35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6"/>
        </w:trPr>
        <w:tc>
          <w:tcPr>
            <w:tcW w:w="35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held-to-maturity securities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12,760</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(101 )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1,917,373</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(344,458 )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1,930,134</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(344,558 )</w:t>
            </w:r>
          </w:p>
        </w:tc>
      </w:tr>
      <w:tr>
        <w:trPr>
          <w:trHeight w:val="20"/>
        </w:trPr>
        <w:tc>
          <w:tcPr>
            <w:tcW w:w="3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0"/>
        </w:trPr>
        <w:tc>
          <w:tcPr>
            <w:tcW w:w="35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5"/>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60" w:type="dxa"/>
            <w:vAlign w:val="bottom"/>
            <w:gridSpan w:val="5"/>
          </w:tcPr>
          <w:p>
            <w:pPr>
              <w:jc w:val="right"/>
              <w:ind w:right="740"/>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120" w:type="dxa"/>
            <w:vAlign w:val="bottom"/>
          </w:tcPr>
          <w:p>
            <w:pPr>
              <w:spacing w:after="0"/>
              <w:rPr>
                <w:sz w:val="19"/>
                <w:szCs w:val="19"/>
                <w:color w:val="auto"/>
              </w:rPr>
            </w:pPr>
          </w:p>
        </w:tc>
        <w:tc>
          <w:tcPr>
            <w:tcW w:w="2520" w:type="dxa"/>
            <w:vAlign w:val="bottom"/>
            <w:gridSpan w:val="5"/>
          </w:tcPr>
          <w:p>
            <w:pPr>
              <w:jc w:val="right"/>
              <w:ind w:right="740"/>
              <w:spacing w:after="0"/>
              <w:rPr>
                <w:sz w:val="20"/>
                <w:szCs w:val="20"/>
                <w:color w:val="auto"/>
              </w:rPr>
            </w:pPr>
            <w:r>
              <w:rPr>
                <w:rFonts w:ascii="Times New Roman" w:cs="Times New Roman" w:eastAsia="Times New Roman" w:hAnsi="Times New Roman"/>
                <w:sz w:val="16"/>
                <w:szCs w:val="16"/>
                <w:b w:val="1"/>
                <w:bCs w:val="1"/>
                <w:color w:val="auto"/>
              </w:rPr>
              <w:t>12 Months or Longer</w:t>
            </w:r>
          </w:p>
        </w:tc>
        <w:tc>
          <w:tcPr>
            <w:tcW w:w="100" w:type="dxa"/>
            <w:vAlign w:val="bottom"/>
          </w:tcPr>
          <w:p>
            <w:pPr>
              <w:spacing w:after="0"/>
              <w:rPr>
                <w:sz w:val="19"/>
                <w:szCs w:val="19"/>
                <w:color w:val="auto"/>
              </w:rPr>
            </w:pPr>
          </w:p>
        </w:tc>
        <w:tc>
          <w:tcPr>
            <w:tcW w:w="12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0"/>
        </w:trPr>
        <w:tc>
          <w:tcPr>
            <w:tcW w:w="35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3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3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10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Unrealized</w:t>
            </w:r>
          </w:p>
        </w:tc>
      </w:t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Holding</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Holding</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Holding</w:t>
            </w:r>
          </w:p>
        </w:tc>
      </w:tr>
      <w:tr>
        <w:trPr>
          <w:trHeight w:val="225"/>
        </w:trPr>
        <w:tc>
          <w:tcPr>
            <w:tcW w:w="3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00" w:type="dxa"/>
            <w:vAlign w:val="bottom"/>
          </w:tcPr>
          <w:p>
            <w:pPr>
              <w:spacing w:after="0"/>
              <w:rPr>
                <w:sz w:val="19"/>
                <w:szCs w:val="19"/>
                <w:color w:val="auto"/>
              </w:rPr>
            </w:pPr>
          </w:p>
        </w:tc>
      </w:tr>
      <w:tr>
        <w:trPr>
          <w:trHeight w:val="221"/>
        </w:trPr>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20" w:type="dxa"/>
            <w:vAlign w:val="bottom"/>
            <w:gridSpan w:val="5"/>
          </w:tcPr>
          <w:p>
            <w:pPr>
              <w:jc w:val="center"/>
              <w:ind w:right="5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Investment securities available-for-sale:</w:t>
            </w: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3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Government agency/GSE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3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2,506,162</w:t>
            </w:r>
          </w:p>
        </w:tc>
        <w:tc>
          <w:tcPr>
            <w:tcW w:w="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(336,107 )</w:t>
            </w: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2,506,210</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(336,107 )</w:t>
            </w:r>
          </w:p>
        </w:tc>
      </w:tr>
      <w:tr>
        <w:trPr>
          <w:trHeight w:val="220"/>
        </w:trPr>
        <w:tc>
          <w:tcPr>
            <w:tcW w:w="3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CMO/REMIC</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389,359</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(112,872 )</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389,359</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(112,872 )</w:t>
            </w:r>
          </w:p>
        </w:tc>
      </w:tr>
      <w:tr>
        <w:trPr>
          <w:trHeight w:val="236"/>
        </w:trPr>
        <w:tc>
          <w:tcPr>
            <w:tcW w:w="3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Municipal bonds</w:t>
            </w: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3,286</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(17 )</w:t>
            </w: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18,105</w:t>
            </w:r>
          </w:p>
        </w:tc>
        <w:tc>
          <w:tcPr>
            <w:tcW w:w="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(871 )</w:t>
            </w: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21,391</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(888 )</w:t>
            </w:r>
          </w:p>
        </w:tc>
      </w:tr>
      <w:tr>
        <w:trPr>
          <w:trHeight w:val="20"/>
        </w:trPr>
        <w:tc>
          <w:tcPr>
            <w:tcW w:w="35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6"/>
        </w:trPr>
        <w:tc>
          <w:tcPr>
            <w:tcW w:w="35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available-for-sale securities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3,334</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(17 )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2,913,626</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(449,850 )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2,916,960</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(449,867 )</w:t>
            </w:r>
          </w:p>
        </w:tc>
      </w:tr>
      <w:tr>
        <w:trPr>
          <w:trHeight w:val="20"/>
        </w:trPr>
        <w:tc>
          <w:tcPr>
            <w:tcW w:w="3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Investment securities held-to-maturity:</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3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Government agency/GSE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432,684</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(97,972 )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432,684</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(97,972 )</w:t>
            </w:r>
          </w:p>
        </w:tc>
      </w:tr>
      <w:tr>
        <w:trPr>
          <w:trHeight w:val="239"/>
        </w:trPr>
        <w:tc>
          <w:tcPr>
            <w:tcW w:w="3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565,655</w:t>
            </w:r>
          </w:p>
        </w:tc>
        <w:tc>
          <w:tcPr>
            <w:tcW w:w="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(97,436 )</w:t>
            </w: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565,655</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(97,436 )</w:t>
            </w:r>
          </w:p>
        </w:tc>
      </w:tr>
      <w:tr>
        <w:trPr>
          <w:trHeight w:val="220"/>
        </w:trPr>
        <w:tc>
          <w:tcPr>
            <w:tcW w:w="3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CMO/REMIC</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646,737</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(156,155 )</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646,737</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(156,155 )</w:t>
            </w:r>
          </w:p>
        </w:tc>
      </w:tr>
      <w:tr>
        <w:trPr>
          <w:trHeight w:val="236"/>
        </w:trPr>
        <w:tc>
          <w:tcPr>
            <w:tcW w:w="3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Municipal bonds</w:t>
            </w: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20,609</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(200 )</w:t>
            </w: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293,467</w:t>
            </w:r>
          </w:p>
        </w:tc>
        <w:tc>
          <w:tcPr>
            <w:tcW w:w="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(33,404 )</w:t>
            </w: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314,076</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(33,604 )</w:t>
            </w:r>
          </w:p>
        </w:tc>
      </w:tr>
      <w:tr>
        <w:trPr>
          <w:trHeight w:val="20"/>
        </w:trPr>
        <w:tc>
          <w:tcPr>
            <w:tcW w:w="35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6"/>
        </w:trPr>
        <w:tc>
          <w:tcPr>
            <w:tcW w:w="35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held-to-maturity securities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20,609</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(200 )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1,938,543</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(384,967 )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1,959,152</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(385,167 )</w:t>
            </w:r>
          </w:p>
        </w:tc>
      </w:tr>
      <w:tr>
        <w:trPr>
          <w:trHeight w:val="20"/>
        </w:trPr>
        <w:tc>
          <w:tcPr>
            <w:tcW w:w="3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-4182745</wp:posOffset>
            </wp:positionV>
            <wp:extent cx="76835"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-4182745</wp:posOffset>
            </wp:positionV>
            <wp:extent cx="76835" cy="88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-4182745</wp:posOffset>
            </wp:positionV>
            <wp:extent cx="77470" cy="88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-4182745</wp:posOffset>
            </wp:positionV>
            <wp:extent cx="68580" cy="88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-4182745</wp:posOffset>
            </wp:positionV>
            <wp:extent cx="68580"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-4182745</wp:posOffset>
            </wp:positionV>
            <wp:extent cx="68580"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-3274060</wp:posOffset>
            </wp:positionV>
            <wp:extent cx="76835"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-3274060</wp:posOffset>
            </wp:positionV>
            <wp:extent cx="76835" cy="82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-3274060</wp:posOffset>
            </wp:positionV>
            <wp:extent cx="77470"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-3274060</wp:posOffset>
            </wp:positionV>
            <wp:extent cx="68580" cy="825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-3274060</wp:posOffset>
            </wp:positionV>
            <wp:extent cx="68580"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-3274060</wp:posOffset>
            </wp:positionV>
            <wp:extent cx="68580" cy="825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-1233805</wp:posOffset>
            </wp:positionV>
            <wp:extent cx="76835" cy="82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-1233805</wp:posOffset>
            </wp:positionV>
            <wp:extent cx="76835"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-1233805</wp:posOffset>
            </wp:positionV>
            <wp:extent cx="77470" cy="82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-1233805</wp:posOffset>
            </wp:positionV>
            <wp:extent cx="68580" cy="82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-1233805</wp:posOffset>
            </wp:positionV>
            <wp:extent cx="68580" cy="82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-1233805</wp:posOffset>
            </wp:positionV>
            <wp:extent cx="68580" cy="825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-179070</wp:posOffset>
            </wp:positionV>
            <wp:extent cx="76835" cy="82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-179070</wp:posOffset>
            </wp:positionV>
            <wp:extent cx="76835" cy="82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-179070</wp:posOffset>
            </wp:positionV>
            <wp:extent cx="77470" cy="82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-179070</wp:posOffset>
            </wp:positionV>
            <wp:extent cx="68580" cy="825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-179070</wp:posOffset>
            </wp:positionV>
            <wp:extent cx="68580" cy="82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20" w:firstLine="469"/>
        <w:spacing w:after="0" w:line="266" w:lineRule="auto"/>
        <w:rPr>
          <w:sz w:val="20"/>
          <w:szCs w:val="20"/>
          <w:color w:val="auto"/>
        </w:rPr>
      </w:pPr>
      <w:r>
        <w:rPr>
          <w:rFonts w:ascii="Times New Roman" w:cs="Times New Roman" w:eastAsia="Times New Roman" w:hAnsi="Times New Roman"/>
          <w:sz w:val="18"/>
          <w:szCs w:val="18"/>
          <w:color w:val="auto"/>
        </w:rPr>
        <w:t>Once it is determined that a credit loss has occurred, an allowance for credit losses is established on our available-for-sale and held-to-maturity securities. Management determined that credit losses did not exist for securities in an unrealized loss position as of September 30, 2024 and December 31, 2023.</w:t>
      </w:r>
    </w:p>
    <w:p>
      <w:pPr>
        <w:spacing w:after="0" w:line="174" w:lineRule="exact"/>
        <w:rPr>
          <w:sz w:val="20"/>
          <w:szCs w:val="20"/>
          <w:color w:val="auto"/>
        </w:rPr>
      </w:pPr>
    </w:p>
    <w:p>
      <w:pPr>
        <w:ind w:right="700" w:firstLine="374"/>
        <w:spacing w:after="0" w:line="262" w:lineRule="auto"/>
        <w:rPr>
          <w:sz w:val="20"/>
          <w:szCs w:val="20"/>
          <w:color w:val="auto"/>
        </w:rPr>
      </w:pPr>
      <w:r>
        <w:rPr>
          <w:rFonts w:ascii="Times New Roman" w:cs="Times New Roman" w:eastAsia="Times New Roman" w:hAnsi="Times New Roman"/>
          <w:sz w:val="18"/>
          <w:szCs w:val="18"/>
          <w:color w:val="auto"/>
        </w:rPr>
        <w:t xml:space="preserve">Refer to Note 4 – </w:t>
      </w:r>
      <w:r>
        <w:rPr>
          <w:rFonts w:ascii="Times New Roman" w:cs="Times New Roman" w:eastAsia="Times New Roman" w:hAnsi="Times New Roman"/>
          <w:sz w:val="18"/>
          <w:szCs w:val="18"/>
          <w:i w:val="1"/>
          <w:iCs w:val="1"/>
          <w:color w:val="auto"/>
        </w:rPr>
        <w:t>Investment Securities</w:t>
      </w:r>
      <w:r>
        <w:rPr>
          <w:rFonts w:ascii="Times New Roman" w:cs="Times New Roman" w:eastAsia="Times New Roman" w:hAnsi="Times New Roman"/>
          <w:sz w:val="18"/>
          <w:szCs w:val="18"/>
          <w:color w:val="auto"/>
        </w:rPr>
        <w:t xml:space="preserve"> of the notes to the unaudited condensed consolidated financial statements of this report for additional information on our investment securities portfolio.</w:t>
      </w: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i w:val="1"/>
          <w:iCs w:val="1"/>
          <w:color w:val="auto"/>
        </w:rPr>
        <w:t>Loans</w:t>
      </w:r>
    </w:p>
    <w:p>
      <w:pPr>
        <w:spacing w:after="0" w:line="229" w:lineRule="exact"/>
        <w:rPr>
          <w:sz w:val="20"/>
          <w:szCs w:val="20"/>
          <w:color w:val="auto"/>
        </w:rPr>
      </w:pPr>
    </w:p>
    <w:p>
      <w:pPr>
        <w:ind w:right="100" w:firstLine="469"/>
        <w:spacing w:after="0" w:line="258" w:lineRule="auto"/>
        <w:rPr>
          <w:sz w:val="20"/>
          <w:szCs w:val="20"/>
          <w:color w:val="auto"/>
        </w:rPr>
      </w:pPr>
      <w:r>
        <w:rPr>
          <w:rFonts w:ascii="Times New Roman" w:cs="Times New Roman" w:eastAsia="Times New Roman" w:hAnsi="Times New Roman"/>
          <w:sz w:val="18"/>
          <w:szCs w:val="18"/>
          <w:color w:val="auto"/>
        </w:rPr>
        <w:t>Total loans and leases, at amortized cost, of $8.57 billion at September 30, 2024 decreased by $332.3 million, or 3.73%, from December 31, 2023. The decrease in total loans included decreases of $165.9 million in commercial real estate loans, $70.5 million in dairy &amp; livestock and agribusiness loans, $52.0 million in construction loans, and $33.4 million in commercial and industrial loans. The decline in dairy &amp; livestock loans primarily relates to the seasonal peak in line utilization at the end of every calendar year, demonstrated by a decline in utilization from 80% at the end of 2023 to 71% at September 30, 2024.</w:t>
      </w:r>
    </w:p>
    <w:p>
      <w:pPr>
        <w:spacing w:after="0" w:line="18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presents our loan portfolio by type as of the dates presented.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00" w:type="dxa"/>
            <w:vAlign w:val="bottom"/>
          </w:tcPr>
          <w:p>
            <w:pPr>
              <w:spacing w:after="0"/>
              <w:rPr>
                <w:sz w:val="20"/>
                <w:szCs w:val="20"/>
                <w:color w:val="auto"/>
              </w:rPr>
            </w:pPr>
          </w:p>
        </w:tc>
        <w:tc>
          <w:tcPr>
            <w:tcW w:w="5340" w:type="dxa"/>
            <w:vAlign w:val="bottom"/>
            <w:gridSpan w:val="4"/>
          </w:tcPr>
          <w:p>
            <w:pPr>
              <w:jc w:val="right"/>
              <w:ind w:right="2140"/>
              <w:spacing w:after="0"/>
              <w:rPr>
                <w:sz w:val="20"/>
                <w:szCs w:val="20"/>
                <w:color w:val="auto"/>
              </w:rPr>
            </w:pPr>
            <w:r>
              <w:rPr>
                <w:rFonts w:ascii="Times New Roman" w:cs="Times New Roman" w:eastAsia="Times New Roman" w:hAnsi="Times New Roman"/>
                <w:sz w:val="18"/>
                <w:szCs w:val="18"/>
                <w:b w:val="1"/>
                <w:bCs w:val="1"/>
                <w:color w:val="auto"/>
              </w:rPr>
              <w:t>Distribution of Loan Portfolio by Type</w:t>
            </w:r>
          </w:p>
        </w:tc>
        <w:tc>
          <w:tcPr>
            <w:tcW w:w="1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39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4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0" w:type="dxa"/>
            <w:vAlign w:val="bottom"/>
          </w:tcPr>
          <w:p>
            <w:pPr>
              <w:spacing w:after="0"/>
              <w:rPr>
                <w:sz w:val="24"/>
                <w:szCs w:val="24"/>
                <w:color w:val="auto"/>
              </w:rPr>
            </w:pPr>
          </w:p>
        </w:tc>
      </w:tr>
      <w:tr>
        <w:trPr>
          <w:trHeight w:val="233"/>
        </w:trPr>
        <w:tc>
          <w:tcPr>
            <w:tcW w:w="390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380" w:type="dxa"/>
            <w:vAlign w:val="bottom"/>
            <w:gridSpan w:val="5"/>
          </w:tcPr>
          <w:p>
            <w:pPr>
              <w:jc w:val="right"/>
              <w:ind w:right="16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r>
      <w:tr>
        <w:trPr>
          <w:trHeight w:val="253"/>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29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6,618,637</w:t>
            </w:r>
          </w:p>
        </w:tc>
        <w:tc>
          <w:tcPr>
            <w:tcW w:w="40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6,784,505</w:t>
            </w:r>
          </w:p>
        </w:tc>
        <w:tc>
          <w:tcPr>
            <w:tcW w:w="100" w:type="dxa"/>
            <w:vAlign w:val="bottom"/>
            <w:shd w:val="clear" w:color="auto" w:fill="CFF0FC"/>
          </w:tcPr>
          <w:p>
            <w:pPr>
              <w:spacing w:after="0"/>
              <w:rPr>
                <w:sz w:val="21"/>
                <w:szCs w:val="21"/>
                <w:color w:val="auto"/>
              </w:rPr>
            </w:pPr>
          </w:p>
        </w:tc>
      </w:tr>
      <w:tr>
        <w:trPr>
          <w:trHeight w:val="239"/>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2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14,755</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66,734</w:t>
            </w:r>
          </w:p>
        </w:tc>
        <w:tc>
          <w:tcPr>
            <w:tcW w:w="100" w:type="dxa"/>
            <w:vAlign w:val="bottom"/>
          </w:tcPr>
          <w:p>
            <w:pPr>
              <w:spacing w:after="0"/>
              <w:rPr>
                <w:sz w:val="20"/>
                <w:szCs w:val="20"/>
                <w:color w:val="auto"/>
              </w:rPr>
            </w:pPr>
          </w:p>
        </w:tc>
      </w:tr>
      <w:tr>
        <w:trPr>
          <w:trHeight w:val="247"/>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SBA</w:t>
            </w:r>
          </w:p>
        </w:tc>
        <w:tc>
          <w:tcPr>
            <w:tcW w:w="27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272,001</w:t>
            </w:r>
          </w:p>
        </w:tc>
        <w:tc>
          <w:tcPr>
            <w:tcW w:w="4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270,619</w:t>
            </w:r>
          </w:p>
        </w:tc>
        <w:tc>
          <w:tcPr>
            <w:tcW w:w="100" w:type="dxa"/>
            <w:vAlign w:val="bottom"/>
            <w:shd w:val="clear" w:color="auto" w:fill="CFF0FC"/>
          </w:tcPr>
          <w:p>
            <w:pPr>
              <w:spacing w:after="0"/>
              <w:rPr>
                <w:sz w:val="21"/>
                <w:szCs w:val="21"/>
                <w:color w:val="auto"/>
              </w:rPr>
            </w:pPr>
          </w:p>
        </w:tc>
      </w:tr>
      <w:tr>
        <w:trPr>
          <w:trHeight w:val="239"/>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SBA - Paycheck Protection Program (PPP)</w:t>
            </w:r>
          </w:p>
        </w:tc>
        <w:tc>
          <w:tcPr>
            <w:tcW w:w="2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2,736</w:t>
            </w:r>
          </w:p>
        </w:tc>
        <w:tc>
          <w:tcPr>
            <w:tcW w:w="100" w:type="dxa"/>
            <w:vAlign w:val="bottom"/>
          </w:tcPr>
          <w:p>
            <w:pPr>
              <w:spacing w:after="0"/>
              <w:rPr>
                <w:sz w:val="20"/>
                <w:szCs w:val="20"/>
                <w:color w:val="auto"/>
              </w:rPr>
            </w:pPr>
          </w:p>
        </w:tc>
      </w:tr>
      <w:tr>
        <w:trPr>
          <w:trHeight w:val="247"/>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7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936,489</w:t>
            </w:r>
          </w:p>
        </w:tc>
        <w:tc>
          <w:tcPr>
            <w:tcW w:w="4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969,895</w:t>
            </w:r>
          </w:p>
        </w:tc>
        <w:tc>
          <w:tcPr>
            <w:tcW w:w="100" w:type="dxa"/>
            <w:vAlign w:val="bottom"/>
            <w:shd w:val="clear" w:color="auto" w:fill="CFF0FC"/>
          </w:tcPr>
          <w:p>
            <w:pPr>
              <w:spacing w:after="0"/>
              <w:rPr>
                <w:sz w:val="21"/>
                <w:szCs w:val="21"/>
                <w:color w:val="auto"/>
              </w:rPr>
            </w:pPr>
          </w:p>
        </w:tc>
      </w:tr>
      <w:tr>
        <w:trPr>
          <w:trHeight w:val="239"/>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Dairy &amp; livestock and agribusiness</w:t>
            </w:r>
          </w:p>
        </w:tc>
        <w:tc>
          <w:tcPr>
            <w:tcW w:w="2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342,445</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412,891</w:t>
            </w:r>
          </w:p>
        </w:tc>
        <w:tc>
          <w:tcPr>
            <w:tcW w:w="100" w:type="dxa"/>
            <w:vAlign w:val="bottom"/>
          </w:tcPr>
          <w:p>
            <w:pPr>
              <w:spacing w:after="0"/>
              <w:rPr>
                <w:sz w:val="20"/>
                <w:szCs w:val="20"/>
                <w:color w:val="auto"/>
              </w:rPr>
            </w:pPr>
          </w:p>
        </w:tc>
      </w:tr>
      <w:tr>
        <w:trPr>
          <w:trHeight w:val="247"/>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Municipal lease finance receivables</w:t>
            </w:r>
          </w:p>
        </w:tc>
        <w:tc>
          <w:tcPr>
            <w:tcW w:w="27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67,585</w:t>
            </w:r>
          </w:p>
        </w:tc>
        <w:tc>
          <w:tcPr>
            <w:tcW w:w="4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73,590</w:t>
            </w:r>
          </w:p>
        </w:tc>
        <w:tc>
          <w:tcPr>
            <w:tcW w:w="100" w:type="dxa"/>
            <w:vAlign w:val="bottom"/>
            <w:shd w:val="clear" w:color="auto" w:fill="CFF0FC"/>
          </w:tcPr>
          <w:p>
            <w:pPr>
              <w:spacing w:after="0"/>
              <w:rPr>
                <w:sz w:val="21"/>
                <w:szCs w:val="21"/>
                <w:color w:val="auto"/>
              </w:rPr>
            </w:pPr>
          </w:p>
        </w:tc>
      </w:tr>
      <w:tr>
        <w:trPr>
          <w:trHeight w:val="239"/>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SFR mortgage</w:t>
            </w:r>
          </w:p>
        </w:tc>
        <w:tc>
          <w:tcPr>
            <w:tcW w:w="2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267,181</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269,868</w:t>
            </w:r>
          </w:p>
        </w:tc>
        <w:tc>
          <w:tcPr>
            <w:tcW w:w="100" w:type="dxa"/>
            <w:vAlign w:val="bottom"/>
          </w:tcPr>
          <w:p>
            <w:pPr>
              <w:spacing w:after="0"/>
              <w:rPr>
                <w:sz w:val="20"/>
                <w:szCs w:val="20"/>
                <w:color w:val="auto"/>
              </w:rPr>
            </w:pPr>
          </w:p>
        </w:tc>
      </w:tr>
      <w:tr>
        <w:trPr>
          <w:trHeight w:val="247"/>
        </w:trPr>
        <w:tc>
          <w:tcPr>
            <w:tcW w:w="3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Consumer and other loans</w:t>
            </w:r>
          </w:p>
        </w:tc>
        <w:tc>
          <w:tcPr>
            <w:tcW w:w="27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52,217</w:t>
            </w:r>
          </w:p>
        </w:tc>
        <w:tc>
          <w:tcPr>
            <w:tcW w:w="4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54,072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39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loans, at amortized cost</w:t>
            </w:r>
          </w:p>
        </w:tc>
        <w:tc>
          <w:tcPr>
            <w:tcW w:w="2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8,572,565</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8,904,910</w:t>
            </w:r>
          </w:p>
        </w:tc>
        <w:tc>
          <w:tcPr>
            <w:tcW w:w="100" w:type="dxa"/>
            <w:vAlign w:val="bottom"/>
          </w:tcPr>
          <w:p>
            <w:pPr>
              <w:spacing w:after="0"/>
              <w:rPr>
                <w:sz w:val="20"/>
                <w:szCs w:val="20"/>
                <w:color w:val="auto"/>
              </w:rPr>
            </w:pPr>
          </w:p>
        </w:tc>
      </w:tr>
      <w:tr>
        <w:trPr>
          <w:trHeight w:val="247"/>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27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3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(82,942 )</w:t>
            </w:r>
          </w:p>
        </w:tc>
        <w:tc>
          <w:tcPr>
            <w:tcW w:w="160" w:type="dxa"/>
            <w:vAlign w:val="bottom"/>
            <w:shd w:val="clear" w:color="auto" w:fill="CFF0FC"/>
          </w:tcPr>
          <w:p>
            <w:pPr>
              <w:spacing w:after="0"/>
              <w:rPr>
                <w:sz w:val="21"/>
                <w:szCs w:val="21"/>
                <w:color w:val="auto"/>
              </w:rPr>
            </w:pPr>
          </w:p>
        </w:tc>
        <w:tc>
          <w:tcPr>
            <w:tcW w:w="1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(86,842 )</w:t>
            </w:r>
          </w:p>
        </w:tc>
      </w:tr>
      <w:tr>
        <w:trPr>
          <w:trHeight w:val="237"/>
        </w:trPr>
        <w:tc>
          <w:tcPr>
            <w:tcW w:w="3900" w:type="dxa"/>
            <w:vAlign w:val="bottom"/>
            <w:tcBorders>
              <w:top w:val="single" w:sz="8" w:color="CFF0FC"/>
            </w:tcBorders>
          </w:tcPr>
          <w:p>
            <w:pPr>
              <w:ind w:left="420"/>
              <w:spacing w:after="0"/>
              <w:rPr>
                <w:sz w:val="20"/>
                <w:szCs w:val="20"/>
                <w:color w:val="auto"/>
              </w:rPr>
            </w:pPr>
            <w:r>
              <w:rPr>
                <w:rFonts w:ascii="Times New Roman" w:cs="Times New Roman" w:eastAsia="Times New Roman" w:hAnsi="Times New Roman"/>
                <w:sz w:val="18"/>
                <w:szCs w:val="18"/>
                <w:color w:val="auto"/>
              </w:rPr>
              <w:t>Total loans and lease finance receivables, net</w:t>
            </w:r>
          </w:p>
        </w:tc>
        <w:tc>
          <w:tcPr>
            <w:tcW w:w="274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8,489,623</w:t>
            </w:r>
          </w:p>
        </w:tc>
        <w:tc>
          <w:tcPr>
            <w:tcW w:w="400" w:type="dxa"/>
            <w:vAlign w:val="bottom"/>
            <w:tcBorders>
              <w:top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8,818,068</w:t>
            </w:r>
          </w:p>
        </w:tc>
        <w:tc>
          <w:tcPr>
            <w:tcW w:w="100" w:type="dxa"/>
            <w:vAlign w:val="bottom"/>
            <w:tcBorders>
              <w:top w:val="single" w:sz="8" w:color="CFF0FC"/>
            </w:tcBorders>
          </w:tcPr>
          <w:p>
            <w:pPr>
              <w:spacing w:after="0"/>
              <w:rPr>
                <w:sz w:val="20"/>
                <w:szCs w:val="20"/>
                <w:color w:val="auto"/>
              </w:rPr>
            </w:pPr>
          </w:p>
        </w:tc>
      </w:tr>
      <w:tr>
        <w:trPr>
          <w:trHeight w:val="20"/>
        </w:trPr>
        <w:tc>
          <w:tcPr>
            <w:tcW w:w="39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-504825</wp:posOffset>
            </wp:positionV>
            <wp:extent cx="77470" cy="825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-187960</wp:posOffset>
            </wp:positionV>
            <wp:extent cx="77470" cy="88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As of September 30, 2024, $460.7 million, or 6.96% of the total commercial real estate loans included loans secured by farmland, compared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$497.7 million, or 7.34%, at December 31, 2023. The loans secured by farmland included $121.9 million for loans secured by dairy &amp; livestock land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$338.8 million for loans secured by agricultural land at September 30, 2024, compared to $122.4 million for loans secured by dairy &amp; livestock land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$375.3 million for loans secured by agricultural land at December 31, 2023. As of September 30, 2024, dairy &amp; livestock and agribusiness loans of $342.4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were comprised of $298.3 million for dairy &amp; livestock loans and $44.1 million for agribusiness loans, compared to $412.9 million comprised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$374.9 million of dairy &amp; livestock loans and $38.0 million of agribusiness loans December 31, 2023.</w:t>
      </w:r>
    </w:p>
    <w:p>
      <w:pPr>
        <w:spacing w:after="0" w:line="207" w:lineRule="exact"/>
        <w:rPr>
          <w:sz w:val="20"/>
          <w:szCs w:val="20"/>
          <w:color w:val="auto"/>
        </w:rPr>
      </w:pPr>
    </w:p>
    <w:p>
      <w:pPr>
        <w:ind w:firstLine="469"/>
        <w:spacing w:after="0" w:line="258" w:lineRule="auto"/>
        <w:rPr>
          <w:sz w:val="20"/>
          <w:szCs w:val="20"/>
          <w:color w:val="auto"/>
        </w:rPr>
      </w:pPr>
      <w:r>
        <w:rPr>
          <w:rFonts w:ascii="Times New Roman" w:cs="Times New Roman" w:eastAsia="Times New Roman" w:hAnsi="Times New Roman"/>
          <w:sz w:val="18"/>
          <w:szCs w:val="18"/>
          <w:color w:val="auto"/>
        </w:rPr>
        <w:t>Real estate loans are loans secured by conforming trust deeds on real property, including property under construction, land development, commercial property and single-family and multi-family residences. Our real estate loans are comprised of industrial, office, retail, medical, single family residences, multi-family residences, and farmland. Consumer loans include installment loans to consumers as well as home equity loans, auto and equipment leases and other loans secured by junior liens on real property. Municipal lease finance receivables are leases to municipalities. Dairy &amp; livestock and agribusiness loans are loans to finance the operating needs of wholesale dairy farm operations, cattle feeders, livestock raisers and farmers.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6" w:name="page57"/>
    <w:bookmarkEnd w:id="56"/>
    <w:p>
      <w:pPr>
        <w:ind w:right="140" w:firstLine="464"/>
        <w:spacing w:after="0" w:line="254" w:lineRule="auto"/>
        <w:rPr>
          <w:sz w:val="20"/>
          <w:szCs w:val="20"/>
          <w:color w:val="auto"/>
        </w:rPr>
      </w:pPr>
      <w:r>
        <w:rPr>
          <w:rFonts w:ascii="Times New Roman" w:cs="Times New Roman" w:eastAsia="Times New Roman" w:hAnsi="Times New Roman"/>
          <w:sz w:val="18"/>
          <w:szCs w:val="18"/>
          <w:color w:val="auto"/>
        </w:rPr>
        <w:t>As of September 30, 2024, the Company had $202.6 million of total SBA 504 loans. SBA 504 loans include term loans to finance capital expenditures and for the purchase of commercial real estate. Initially the Bank provides two separate loans to the borrower representing a first and second lien on the collateral. The loan with the first lien is typically at a 50% advance to the acquisition costs and the second lien loan provides the financing for 40% of the acquisition costs with the borrower’s down payment of 10% of the acquisition costs. The Bank retains the first lien loan for its term and sells the second lien loan to the SBA subordinated debenture program. A majority of the Bank’s 504 loans are granted for the purpose of commercial real estate acquisition. As of September 30, 2024, the Company had $69.4 million of total SBA 7(a) loans that include a guarantee of payment from the SBA (typically 75% of the loan amount, but up to 90% in certain cases) in the event of default. The SBA 7(a) loans include revolving lines of credit (SBA Express) and term loans of up to ten (10) years to finance long-term working capital requirements, capital expenditures, and/or for the purchase or refinance of commercial real estate.</w:t>
      </w:r>
    </w:p>
    <w:p>
      <w:pPr>
        <w:spacing w:after="0" w:line="188" w:lineRule="exact"/>
        <w:rPr>
          <w:sz w:val="20"/>
          <w:szCs w:val="20"/>
          <w:color w:val="auto"/>
        </w:rPr>
      </w:pPr>
    </w:p>
    <w:p>
      <w:pPr>
        <w:ind w:right="80" w:firstLine="464"/>
        <w:spacing w:after="0" w:line="266" w:lineRule="auto"/>
        <w:rPr>
          <w:sz w:val="20"/>
          <w:szCs w:val="20"/>
          <w:color w:val="auto"/>
        </w:rPr>
      </w:pPr>
      <w:r>
        <w:rPr>
          <w:rFonts w:ascii="Times New Roman" w:cs="Times New Roman" w:eastAsia="Times New Roman" w:hAnsi="Times New Roman"/>
          <w:sz w:val="18"/>
          <w:szCs w:val="18"/>
          <w:color w:val="auto"/>
        </w:rPr>
        <w:t>As of September 30, 2024, the Company had $14.8 million in construction loans. This represents 0.17% of total loans held-for-investment. Although our construction loans are located throughout our market footprint, the majority of construction loans consist of commercial land development and construction projects throughout California. There were no nonperforming construction loans at September 30, 2024.</w:t>
      </w:r>
    </w:p>
    <w:p>
      <w:pPr>
        <w:spacing w:after="0" w:line="176" w:lineRule="exact"/>
        <w:rPr>
          <w:sz w:val="20"/>
          <w:szCs w:val="20"/>
          <w:color w:val="auto"/>
        </w:rPr>
      </w:pPr>
    </w:p>
    <w:p>
      <w:pPr>
        <w:ind w:right="740" w:firstLine="464"/>
        <w:spacing w:after="0" w:line="282" w:lineRule="auto"/>
        <w:rPr>
          <w:sz w:val="20"/>
          <w:szCs w:val="20"/>
          <w:color w:val="auto"/>
        </w:rPr>
      </w:pPr>
      <w:r>
        <w:rPr>
          <w:rFonts w:ascii="Times New Roman" w:cs="Times New Roman" w:eastAsia="Times New Roman" w:hAnsi="Times New Roman"/>
          <w:sz w:val="18"/>
          <w:szCs w:val="18"/>
          <w:color w:val="auto"/>
        </w:rPr>
        <w:t>Our loan portfolio is geographically disbursed throughout our marketplace. The following is the breakdown of our total held-for-investment commercial real estate loans, by region as of September 30, 2024.</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0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8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00"/>
        </w:trPr>
        <w:tc>
          <w:tcPr>
            <w:tcW w:w="50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8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Commercial Real</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25"/>
        </w:trPr>
        <w:tc>
          <w:tcPr>
            <w:tcW w:w="50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6"/>
                <w:szCs w:val="16"/>
                <w:b w:val="1"/>
                <w:bCs w:val="1"/>
                <w:color w:val="auto"/>
              </w:rPr>
              <w:t>Total Loans</w:t>
            </w:r>
          </w:p>
        </w:tc>
        <w:tc>
          <w:tcPr>
            <w:tcW w:w="8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Estate Loans</w:t>
            </w:r>
          </w:p>
        </w:tc>
        <w:tc>
          <w:tcPr>
            <w:tcW w:w="6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12"/>
        </w:trPr>
        <w:tc>
          <w:tcPr>
            <w:tcW w:w="5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16"/>
                <w:szCs w:val="16"/>
                <w:i w:val="1"/>
                <w:iCs w:val="1"/>
                <w:color w:val="auto"/>
              </w:rPr>
              <w:t>(Dollars</w:t>
            </w:r>
          </w:p>
        </w:tc>
        <w:tc>
          <w:tcPr>
            <w:tcW w:w="10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i w:val="1"/>
                <w:iCs w:val="1"/>
                <w:color w:val="auto"/>
                <w:w w:val="99"/>
              </w:rPr>
              <w:t>in thousands)</w:t>
            </w: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7"/>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 Angeles County</w:t>
            </w: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3,090,804</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36.1 %</w:t>
            </w:r>
          </w:p>
        </w:tc>
        <w:tc>
          <w:tcPr>
            <w:tcW w:w="66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2,263,690</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34.2 %</w:t>
            </w: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Central Valley and Sacramento</w:t>
            </w: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2,043,515</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23.8 %</w:t>
            </w:r>
          </w:p>
        </w:tc>
        <w:tc>
          <w:tcPr>
            <w:tcW w:w="6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1,607,888</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24.3 %</w:t>
            </w: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Orange County</w:t>
            </w: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1,170,127</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13.7 %</w:t>
            </w:r>
          </w:p>
        </w:tc>
        <w:tc>
          <w:tcPr>
            <w:tcW w:w="6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706,681</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10.7 %</w:t>
            </w: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Inland Empire</w:t>
            </w: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977,409</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11.4 %</w:t>
            </w:r>
          </w:p>
        </w:tc>
        <w:tc>
          <w:tcPr>
            <w:tcW w:w="6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885,469</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13.4 %</w:t>
            </w: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Central Coast</w:t>
            </w: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464,180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5.4 %</w:t>
            </w:r>
          </w:p>
        </w:tc>
        <w:tc>
          <w:tcPr>
            <w:tcW w:w="6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393,793</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5.9 %</w:t>
            </w: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San Diego</w:t>
            </w: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318,109</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3.7 %</w:t>
            </w:r>
          </w:p>
        </w:tc>
        <w:tc>
          <w:tcPr>
            <w:tcW w:w="6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324,087</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4.9 %</w:t>
            </w: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California</w:t>
            </w: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153,115</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1.8 %</w:t>
            </w:r>
          </w:p>
        </w:tc>
        <w:tc>
          <w:tcPr>
            <w:tcW w:w="6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103,619</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1.6 %</w:t>
            </w:r>
          </w:p>
        </w:tc>
      </w:tr>
      <w:tr>
        <w:trPr>
          <w:trHeight w:val="239"/>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Out of State</w:t>
            </w:r>
          </w:p>
        </w:tc>
        <w:tc>
          <w:tcPr>
            <w:tcW w:w="4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355,306</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4.1 %</w:t>
            </w:r>
          </w:p>
        </w:tc>
        <w:tc>
          <w:tcPr>
            <w:tcW w:w="6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333,410</w:t>
            </w: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5.0 %</w:t>
            </w:r>
          </w:p>
        </w:tc>
      </w:tr>
      <w:tr>
        <w:trPr>
          <w:trHeight w:val="23"/>
        </w:trPr>
        <w:tc>
          <w:tcPr>
            <w:tcW w:w="50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23"/>
        </w:trPr>
        <w:tc>
          <w:tcPr>
            <w:tcW w:w="5020" w:type="dxa"/>
            <w:vAlign w:val="bottom"/>
          </w:tcPr>
          <w:p>
            <w:pPr>
              <w:spacing w:after="0"/>
              <w:rPr>
                <w:sz w:val="19"/>
                <w:szCs w:val="19"/>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8,572,565</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100.0 %</w:t>
            </w:r>
          </w:p>
        </w:tc>
        <w:tc>
          <w:tcPr>
            <w:tcW w:w="66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6,618,637</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0"/>
        </w:trPr>
        <w:tc>
          <w:tcPr>
            <w:tcW w:w="50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-1344930</wp:posOffset>
            </wp:positionV>
            <wp:extent cx="7132320" cy="14541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-1054100</wp:posOffset>
            </wp:positionV>
            <wp:extent cx="7132320" cy="14605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-762635</wp:posOffset>
            </wp:positionV>
            <wp:extent cx="7132320" cy="14605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14541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7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table below breaks down our commercial real estate portfolio.</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9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3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0"/>
        </w:trPr>
        <w:tc>
          <w:tcPr>
            <w:tcW w:w="4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jc w:val="center"/>
              <w:ind w:left="199"/>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jc w:val="center"/>
              <w:ind w:left="239"/>
              <w:spacing w:after="0"/>
              <w:rPr>
                <w:sz w:val="20"/>
                <w:szCs w:val="20"/>
                <w:color w:val="auto"/>
              </w:rPr>
            </w:pPr>
            <w:r>
              <w:rPr>
                <w:rFonts w:ascii="Times New Roman" w:cs="Times New Roman" w:eastAsia="Times New Roman" w:hAnsi="Times New Roman"/>
                <w:sz w:val="16"/>
                <w:szCs w:val="16"/>
                <w:b w:val="1"/>
                <w:bCs w:val="1"/>
                <w:color w:val="auto"/>
              </w:rPr>
              <w:t>Owner-</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Average</w:t>
            </w:r>
          </w:p>
        </w:tc>
      </w:tr>
      <w:tr>
        <w:trPr>
          <w:trHeight w:val="225"/>
        </w:trPr>
        <w:tc>
          <w:tcPr>
            <w:tcW w:w="4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Loan Balance</w:t>
            </w:r>
          </w:p>
        </w:tc>
        <w:tc>
          <w:tcPr>
            <w:tcW w:w="300" w:type="dxa"/>
            <w:vAlign w:val="bottom"/>
          </w:tcPr>
          <w:p>
            <w:pPr>
              <w:spacing w:after="0"/>
              <w:rPr>
                <w:sz w:val="19"/>
                <w:szCs w:val="19"/>
                <w:color w:val="auto"/>
              </w:rPr>
            </w:pPr>
          </w:p>
        </w:tc>
        <w:tc>
          <w:tcPr>
            <w:tcW w:w="1360" w:type="dxa"/>
            <w:vAlign w:val="bottom"/>
            <w:gridSpan w:val="2"/>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1220" w:type="dxa"/>
            <w:vAlign w:val="bottom"/>
          </w:tcPr>
          <w:p>
            <w:pPr>
              <w:jc w:val="center"/>
              <w:ind w:left="239"/>
              <w:spacing w:after="0"/>
              <w:rPr>
                <w:sz w:val="20"/>
                <w:szCs w:val="20"/>
                <w:color w:val="auto"/>
              </w:rPr>
            </w:pPr>
            <w:r>
              <w:rPr>
                <w:rFonts w:ascii="Times New Roman" w:cs="Times New Roman" w:eastAsia="Times New Roman" w:hAnsi="Times New Roman"/>
                <w:sz w:val="16"/>
                <w:szCs w:val="16"/>
                <w:b w:val="1"/>
                <w:bCs w:val="1"/>
                <w:color w:val="auto"/>
              </w:rPr>
              <w:t>Occupied (1)</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Loan Balance</w:t>
            </w:r>
          </w:p>
        </w:tc>
      </w:tr>
      <w:tr>
        <w:trPr>
          <w:trHeight w:val="221"/>
        </w:trPr>
        <w:tc>
          <w:tcPr>
            <w:tcW w:w="49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(Dollars</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i w:val="1"/>
                <w:iCs w:val="1"/>
                <w:color w:val="auto"/>
              </w:rPr>
              <w:t>in</w:t>
            </w:r>
          </w:p>
        </w:tc>
        <w:tc>
          <w:tcPr>
            <w:tcW w:w="1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thousands)</w:t>
            </w:r>
          </w:p>
        </w:tc>
        <w:tc>
          <w:tcPr>
            <w:tcW w:w="3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Commercial real estate:</w:t>
            </w:r>
          </w:p>
        </w:tc>
        <w:tc>
          <w:tcPr>
            <w:tcW w:w="20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4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Industrial</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2,237,917</w:t>
            </w:r>
          </w:p>
        </w:tc>
        <w:tc>
          <w:tcPr>
            <w:tcW w:w="1660" w:type="dxa"/>
            <w:vAlign w:val="bottom"/>
            <w:gridSpan w:val="3"/>
          </w:tcPr>
          <w:p>
            <w:pPr>
              <w:jc w:val="right"/>
              <w:ind w:right="59"/>
              <w:spacing w:after="0"/>
              <w:rPr>
                <w:sz w:val="20"/>
                <w:szCs w:val="20"/>
                <w:color w:val="auto"/>
              </w:rPr>
            </w:pPr>
            <w:r>
              <w:rPr>
                <w:rFonts w:ascii="Times New Roman" w:cs="Times New Roman" w:eastAsia="Times New Roman" w:hAnsi="Times New Roman"/>
                <w:sz w:val="16"/>
                <w:szCs w:val="16"/>
                <w:color w:val="auto"/>
              </w:rPr>
              <w:t>33.8 %</w:t>
            </w:r>
          </w:p>
        </w:tc>
        <w:tc>
          <w:tcPr>
            <w:tcW w:w="122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6"/>
              </w:rPr>
              <w:t>48.3 %</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1,619</w:t>
            </w:r>
          </w:p>
        </w:tc>
        <w:tc>
          <w:tcPr>
            <w:tcW w:w="100" w:type="dxa"/>
            <w:vAlign w:val="bottom"/>
          </w:tcPr>
          <w:p>
            <w:pPr>
              <w:spacing w:after="0"/>
              <w:rPr>
                <w:sz w:val="19"/>
                <w:szCs w:val="19"/>
                <w:color w:val="auto"/>
              </w:rPr>
            </w:pPr>
          </w:p>
        </w:tc>
      </w:tr>
      <w:tr>
        <w:trPr>
          <w:trHeight w:val="239"/>
        </w:trPr>
        <w:tc>
          <w:tcPr>
            <w:tcW w:w="4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Office</w:t>
            </w:r>
          </w:p>
        </w:tc>
        <w:tc>
          <w:tcPr>
            <w:tcW w:w="20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1,057,927</w:t>
            </w:r>
          </w:p>
        </w:tc>
        <w:tc>
          <w:tcPr>
            <w:tcW w:w="1660" w:type="dxa"/>
            <w:vAlign w:val="bottom"/>
            <w:gridSpan w:val="3"/>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16.0 %</w:t>
            </w:r>
          </w:p>
        </w:tc>
        <w:tc>
          <w:tcPr>
            <w:tcW w:w="1220" w:type="dxa"/>
            <w:vAlign w:val="bottom"/>
            <w:shd w:val="clear" w:color="auto" w:fill="CFF0FC"/>
          </w:tcPr>
          <w:p>
            <w:pPr>
              <w:spacing w:after="0"/>
              <w:rPr>
                <w:sz w:val="20"/>
                <w:szCs w:val="20"/>
                <w:color w:val="auto"/>
              </w:rPr>
            </w:pPr>
          </w:p>
        </w:tc>
        <w:tc>
          <w:tcPr>
            <w:tcW w:w="6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w w:val="96"/>
              </w:rPr>
              <w:t>25.9 %</w:t>
            </w:r>
          </w:p>
        </w:tc>
        <w:tc>
          <w:tcPr>
            <w:tcW w:w="18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1,679</w:t>
            </w:r>
          </w:p>
        </w:tc>
        <w:tc>
          <w:tcPr>
            <w:tcW w:w="100" w:type="dxa"/>
            <w:vAlign w:val="bottom"/>
            <w:shd w:val="clear" w:color="auto" w:fill="CFF0FC"/>
          </w:tcPr>
          <w:p>
            <w:pPr>
              <w:spacing w:after="0"/>
              <w:rPr>
                <w:sz w:val="20"/>
                <w:szCs w:val="20"/>
                <w:color w:val="auto"/>
              </w:rPr>
            </w:pPr>
          </w:p>
        </w:tc>
      </w:tr>
      <w:tr>
        <w:trPr>
          <w:trHeight w:val="220"/>
        </w:trPr>
        <w:tc>
          <w:tcPr>
            <w:tcW w:w="4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Retail</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910,557</w:t>
            </w:r>
          </w:p>
        </w:tc>
        <w:tc>
          <w:tcPr>
            <w:tcW w:w="1660" w:type="dxa"/>
            <w:vAlign w:val="bottom"/>
            <w:gridSpan w:val="3"/>
          </w:tcPr>
          <w:p>
            <w:pPr>
              <w:jc w:val="right"/>
              <w:ind w:right="59"/>
              <w:spacing w:after="0"/>
              <w:rPr>
                <w:sz w:val="20"/>
                <w:szCs w:val="20"/>
                <w:color w:val="auto"/>
              </w:rPr>
            </w:pPr>
            <w:r>
              <w:rPr>
                <w:rFonts w:ascii="Times New Roman" w:cs="Times New Roman" w:eastAsia="Times New Roman" w:hAnsi="Times New Roman"/>
                <w:sz w:val="16"/>
                <w:szCs w:val="16"/>
                <w:color w:val="auto"/>
              </w:rPr>
              <w:t>13.8 %</w:t>
            </w:r>
          </w:p>
        </w:tc>
        <w:tc>
          <w:tcPr>
            <w:tcW w:w="122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6"/>
              </w:rPr>
              <w:t>11.3 %</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1,712</w:t>
            </w:r>
          </w:p>
        </w:tc>
        <w:tc>
          <w:tcPr>
            <w:tcW w:w="100" w:type="dxa"/>
            <w:vAlign w:val="bottom"/>
          </w:tcPr>
          <w:p>
            <w:pPr>
              <w:spacing w:after="0"/>
              <w:rPr>
                <w:sz w:val="19"/>
                <w:szCs w:val="19"/>
                <w:color w:val="auto"/>
              </w:rPr>
            </w:pPr>
          </w:p>
        </w:tc>
      </w:tr>
      <w:tr>
        <w:trPr>
          <w:trHeight w:val="239"/>
        </w:trPr>
        <w:tc>
          <w:tcPr>
            <w:tcW w:w="4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Multi-family</w:t>
            </w:r>
          </w:p>
        </w:tc>
        <w:tc>
          <w:tcPr>
            <w:tcW w:w="20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827,866</w:t>
            </w:r>
          </w:p>
        </w:tc>
        <w:tc>
          <w:tcPr>
            <w:tcW w:w="1660" w:type="dxa"/>
            <w:vAlign w:val="bottom"/>
            <w:gridSpan w:val="3"/>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12.5 %</w:t>
            </w:r>
          </w:p>
        </w:tc>
        <w:tc>
          <w:tcPr>
            <w:tcW w:w="1220" w:type="dxa"/>
            <w:vAlign w:val="bottom"/>
            <w:shd w:val="clear" w:color="auto" w:fill="CFF0FC"/>
          </w:tcPr>
          <w:p>
            <w:pPr>
              <w:spacing w:after="0"/>
              <w:rPr>
                <w:sz w:val="20"/>
                <w:szCs w:val="20"/>
                <w:color w:val="auto"/>
              </w:rPr>
            </w:pPr>
          </w:p>
        </w:tc>
        <w:tc>
          <w:tcPr>
            <w:tcW w:w="6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0.6 %</w:t>
            </w:r>
          </w:p>
        </w:tc>
        <w:tc>
          <w:tcPr>
            <w:tcW w:w="18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1,583</w:t>
            </w:r>
          </w:p>
        </w:tc>
        <w:tc>
          <w:tcPr>
            <w:tcW w:w="100" w:type="dxa"/>
            <w:vAlign w:val="bottom"/>
            <w:shd w:val="clear" w:color="auto" w:fill="CFF0FC"/>
          </w:tcPr>
          <w:p>
            <w:pPr>
              <w:spacing w:after="0"/>
              <w:rPr>
                <w:sz w:val="20"/>
                <w:szCs w:val="20"/>
                <w:color w:val="auto"/>
              </w:rPr>
            </w:pPr>
          </w:p>
        </w:tc>
      </w:tr>
      <w:tr>
        <w:trPr>
          <w:trHeight w:val="220"/>
        </w:trPr>
        <w:tc>
          <w:tcPr>
            <w:tcW w:w="4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Secured by farmland (2)</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460,710</w:t>
            </w:r>
          </w:p>
        </w:tc>
        <w:tc>
          <w:tcPr>
            <w:tcW w:w="1660" w:type="dxa"/>
            <w:vAlign w:val="bottom"/>
            <w:gridSpan w:val="3"/>
          </w:tcPr>
          <w:p>
            <w:pPr>
              <w:jc w:val="right"/>
              <w:ind w:right="59"/>
              <w:spacing w:after="0"/>
              <w:rPr>
                <w:sz w:val="20"/>
                <w:szCs w:val="20"/>
                <w:color w:val="auto"/>
              </w:rPr>
            </w:pPr>
            <w:r>
              <w:rPr>
                <w:rFonts w:ascii="Times New Roman" w:cs="Times New Roman" w:eastAsia="Times New Roman" w:hAnsi="Times New Roman"/>
                <w:sz w:val="16"/>
                <w:szCs w:val="16"/>
                <w:color w:val="auto"/>
              </w:rPr>
              <w:t>7.0 %</w:t>
            </w:r>
          </w:p>
        </w:tc>
        <w:tc>
          <w:tcPr>
            <w:tcW w:w="122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6"/>
              </w:rPr>
              <w:t>98.6 %</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1,477</w:t>
            </w:r>
          </w:p>
        </w:tc>
        <w:tc>
          <w:tcPr>
            <w:tcW w:w="100" w:type="dxa"/>
            <w:vAlign w:val="bottom"/>
          </w:tcPr>
          <w:p>
            <w:pPr>
              <w:spacing w:after="0"/>
              <w:rPr>
                <w:sz w:val="19"/>
                <w:szCs w:val="19"/>
                <w:color w:val="auto"/>
              </w:rPr>
            </w:pPr>
          </w:p>
        </w:tc>
      </w:tr>
      <w:tr>
        <w:trPr>
          <w:trHeight w:val="239"/>
        </w:trPr>
        <w:tc>
          <w:tcPr>
            <w:tcW w:w="4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Medical</w:t>
            </w:r>
          </w:p>
        </w:tc>
        <w:tc>
          <w:tcPr>
            <w:tcW w:w="20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309,023</w:t>
            </w:r>
          </w:p>
        </w:tc>
        <w:tc>
          <w:tcPr>
            <w:tcW w:w="1660" w:type="dxa"/>
            <w:vAlign w:val="bottom"/>
            <w:gridSpan w:val="3"/>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4.6 %</w:t>
            </w:r>
          </w:p>
        </w:tc>
        <w:tc>
          <w:tcPr>
            <w:tcW w:w="1220" w:type="dxa"/>
            <w:vAlign w:val="bottom"/>
            <w:shd w:val="clear" w:color="auto" w:fill="CFF0FC"/>
          </w:tcPr>
          <w:p>
            <w:pPr>
              <w:spacing w:after="0"/>
              <w:rPr>
                <w:sz w:val="20"/>
                <w:szCs w:val="20"/>
                <w:color w:val="auto"/>
              </w:rPr>
            </w:pPr>
          </w:p>
        </w:tc>
        <w:tc>
          <w:tcPr>
            <w:tcW w:w="6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w w:val="96"/>
              </w:rPr>
              <w:t>32.9 %</w:t>
            </w:r>
          </w:p>
        </w:tc>
        <w:tc>
          <w:tcPr>
            <w:tcW w:w="18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1,472</w:t>
            </w:r>
          </w:p>
        </w:tc>
        <w:tc>
          <w:tcPr>
            <w:tcW w:w="100" w:type="dxa"/>
            <w:vAlign w:val="bottom"/>
            <w:shd w:val="clear" w:color="auto" w:fill="CFF0FC"/>
          </w:tcPr>
          <w:p>
            <w:pPr>
              <w:spacing w:after="0"/>
              <w:rPr>
                <w:sz w:val="20"/>
                <w:szCs w:val="20"/>
                <w:color w:val="auto"/>
              </w:rPr>
            </w:pPr>
          </w:p>
        </w:tc>
      </w:tr>
      <w:tr>
        <w:trPr>
          <w:trHeight w:val="226"/>
        </w:trPr>
        <w:tc>
          <w:tcPr>
            <w:tcW w:w="4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(3)</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814,637</w:t>
            </w:r>
          </w:p>
        </w:tc>
        <w:tc>
          <w:tcPr>
            <w:tcW w:w="300" w:type="dxa"/>
            <w:vAlign w:val="bottom"/>
          </w:tcPr>
          <w:p>
            <w:pPr>
              <w:spacing w:after="0"/>
              <w:rPr>
                <w:sz w:val="19"/>
                <w:szCs w:val="19"/>
                <w:color w:val="auto"/>
              </w:rPr>
            </w:pPr>
          </w:p>
        </w:tc>
        <w:tc>
          <w:tcPr>
            <w:tcW w:w="136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12.3 %</w:t>
            </w:r>
          </w:p>
        </w:tc>
        <w:tc>
          <w:tcPr>
            <w:tcW w:w="122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6"/>
              </w:rPr>
              <w:t>42.5 %</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1,715</w:t>
            </w:r>
          </w:p>
        </w:tc>
        <w:tc>
          <w:tcPr>
            <w:tcW w:w="100" w:type="dxa"/>
            <w:vAlign w:val="bottom"/>
          </w:tcPr>
          <w:p>
            <w:pPr>
              <w:spacing w:after="0"/>
              <w:rPr>
                <w:sz w:val="19"/>
                <w:szCs w:val="19"/>
                <w:color w:val="auto"/>
              </w:rPr>
            </w:pPr>
          </w:p>
        </w:tc>
      </w:tr>
      <w:tr>
        <w:trPr>
          <w:trHeight w:val="20"/>
        </w:trPr>
        <w:tc>
          <w:tcPr>
            <w:tcW w:w="4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6"/>
        </w:trPr>
        <w:tc>
          <w:tcPr>
            <w:tcW w:w="4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Total commercial real estate</w:t>
            </w: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6,618,637</w:t>
            </w:r>
          </w:p>
        </w:tc>
        <w:tc>
          <w:tcPr>
            <w:tcW w:w="3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100.0 %</w:t>
            </w:r>
          </w:p>
        </w:tc>
        <w:tc>
          <w:tcPr>
            <w:tcW w:w="1220" w:type="dxa"/>
            <w:vAlign w:val="bottom"/>
            <w:shd w:val="clear" w:color="auto" w:fill="CFF0FC"/>
          </w:tcPr>
          <w:p>
            <w:pPr>
              <w:spacing w:after="0"/>
              <w:rPr>
                <w:sz w:val="21"/>
                <w:szCs w:val="21"/>
                <w:color w:val="auto"/>
              </w:rPr>
            </w:pPr>
          </w:p>
        </w:tc>
        <w:tc>
          <w:tcPr>
            <w:tcW w:w="6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w w:val="96"/>
              </w:rPr>
              <w:t>35.7 %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1,629</w:t>
            </w:r>
          </w:p>
        </w:tc>
        <w:tc>
          <w:tcPr>
            <w:tcW w:w="100" w:type="dxa"/>
            <w:vAlign w:val="bottom"/>
            <w:shd w:val="clear" w:color="auto" w:fill="CFF0FC"/>
          </w:tcPr>
          <w:p>
            <w:pPr>
              <w:spacing w:after="0"/>
              <w:rPr>
                <w:sz w:val="21"/>
                <w:szCs w:val="21"/>
                <w:color w:val="auto"/>
              </w:rPr>
            </w:pPr>
          </w:p>
        </w:tc>
      </w:tr>
      <w:tr>
        <w:trPr>
          <w:trHeight w:val="20"/>
        </w:trPr>
        <w:tc>
          <w:tcPr>
            <w:tcW w:w="49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-24765</wp:posOffset>
            </wp:positionV>
            <wp:extent cx="77470" cy="825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-7620</wp:posOffset>
            </wp:positionV>
            <wp:extent cx="77470" cy="825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-24765</wp:posOffset>
            </wp:positionV>
            <wp:extent cx="76835" cy="825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-7620</wp:posOffset>
            </wp:positionV>
            <wp:extent cx="76835" cy="825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73" w:lineRule="exact"/>
        <w:rPr>
          <w:sz w:val="20"/>
          <w:szCs w:val="20"/>
          <w:color w:val="auto"/>
        </w:rPr>
      </w:pPr>
    </w:p>
    <w:p>
      <w:pPr>
        <w:ind w:left="1320" w:hanging="473"/>
        <w:spacing w:after="0"/>
        <w:tabs>
          <w:tab w:leader="none" w:pos="13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percentage of reported owner-occupied at origination in each real estate loan category.</w:t>
      </w:r>
    </w:p>
    <w:p>
      <w:pPr>
        <w:spacing w:after="0" w:line="3" w:lineRule="exact"/>
        <w:rPr>
          <w:rFonts w:ascii="Times New Roman" w:cs="Times New Roman" w:eastAsia="Times New Roman" w:hAnsi="Times New Roman"/>
          <w:sz w:val="14"/>
          <w:szCs w:val="14"/>
          <w:color w:val="auto"/>
        </w:rPr>
      </w:pPr>
    </w:p>
    <w:p>
      <w:pPr>
        <w:ind w:left="1320" w:right="160" w:hanging="470"/>
        <w:spacing w:after="0" w:line="221" w:lineRule="auto"/>
        <w:tabs>
          <w:tab w:leader="none" w:pos="13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loans secured by farmland included $121.9 million for loans secured by dairy &amp; livestock land and $338.8 million for loans secured by agricultural land at September 30, 2024.</w:t>
      </w:r>
    </w:p>
    <w:p>
      <w:pPr>
        <w:ind w:left="1320" w:hanging="470"/>
        <w:spacing w:after="0"/>
        <w:tabs>
          <w:tab w:leader="none" w:pos="13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loans consist of a variety of loan types, none of which exceeds 2.0% of total commercial real estate loans at September 30, 2024.</w:t>
      </w:r>
    </w:p>
    <w:p>
      <w:pPr>
        <w:spacing w:after="0" w:line="1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1093" w:right="2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i w:val="1"/>
          <w:iCs w:val="1"/>
          <w:color w:val="auto"/>
        </w:rPr>
        <w:t>Nonperforming Assets</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provides information on nonperforming assets as of the dates presented.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8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40" w:type="dxa"/>
            <w:vAlign w:val="bottom"/>
            <w:gridSpan w:val="2"/>
          </w:tcPr>
          <w:p>
            <w:pPr>
              <w:spacing w:after="0"/>
              <w:rPr>
                <w:sz w:val="19"/>
                <w:szCs w:val="19"/>
                <w:color w:val="auto"/>
              </w:rPr>
            </w:pPr>
          </w:p>
        </w:tc>
      </w:tr>
      <w:tr>
        <w:trPr>
          <w:trHeight w:val="221"/>
        </w:trPr>
        <w:tc>
          <w:tcPr>
            <w:tcW w:w="6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(Dollars in</w:t>
            </w:r>
          </w:p>
        </w:tc>
        <w:tc>
          <w:tcPr>
            <w:tcW w:w="2120" w:type="dxa"/>
            <w:vAlign w:val="bottom"/>
            <w:gridSpan w:val="3"/>
          </w:tcPr>
          <w:p>
            <w:pPr>
              <w:jc w:val="center"/>
              <w:ind w:right="1319"/>
              <w:spacing w:after="0"/>
              <w:rPr>
                <w:sz w:val="20"/>
                <w:szCs w:val="20"/>
                <w:color w:val="auto"/>
              </w:rPr>
            </w:pPr>
            <w:r>
              <w:rPr>
                <w:rFonts w:ascii="Times New Roman" w:cs="Times New Roman" w:eastAsia="Times New Roman" w:hAnsi="Times New Roman"/>
                <w:sz w:val="16"/>
                <w:szCs w:val="16"/>
                <w:i w:val="1"/>
                <w:iCs w:val="1"/>
                <w:color w:val="auto"/>
              </w:rPr>
              <w:t>thousands)</w:t>
            </w:r>
          </w:p>
        </w:tc>
        <w:tc>
          <w:tcPr>
            <w:tcW w:w="140" w:type="dxa"/>
            <w:vAlign w:val="bottom"/>
            <w:gridSpan w:val="2"/>
          </w:tcPr>
          <w:p>
            <w:pPr>
              <w:spacing w:after="0"/>
              <w:rPr>
                <w:sz w:val="19"/>
                <w:szCs w:val="19"/>
                <w:color w:val="auto"/>
              </w:rPr>
            </w:pPr>
          </w:p>
        </w:tc>
      </w:tr>
      <w:tr>
        <w:trPr>
          <w:trHeight w:val="238"/>
        </w:trPr>
        <w:tc>
          <w:tcPr>
            <w:tcW w:w="6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Nonaccrual loans</w:t>
            </w:r>
          </w:p>
        </w:tc>
        <w:tc>
          <w:tcPr>
            <w:tcW w:w="2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21,913</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21,302</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10"/>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Loans past due 90 days or more and still accruing interest</w:t>
            </w:r>
          </w:p>
        </w:tc>
        <w:tc>
          <w:tcPr>
            <w:tcW w:w="260" w:type="dxa"/>
            <w:vAlign w:val="bottom"/>
          </w:tcPr>
          <w:p>
            <w:pPr>
              <w:spacing w:after="0"/>
              <w:rPr>
                <w:sz w:val="18"/>
                <w:szCs w:val="18"/>
                <w:color w:val="auto"/>
              </w:rPr>
            </w:pPr>
          </w:p>
        </w:tc>
        <w:tc>
          <w:tcPr>
            <w:tcW w:w="21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r>
      <w:tr>
        <w:trPr>
          <w:trHeight w:val="246"/>
        </w:trPr>
        <w:tc>
          <w:tcPr>
            <w:tcW w:w="6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Nonperforming modified loans to borrowers experiencing financial difficulty</w:t>
            </w:r>
          </w:p>
        </w:tc>
        <w:tc>
          <w:tcPr>
            <w:tcW w:w="260" w:type="dxa"/>
            <w:vAlign w:val="bottom"/>
            <w:shd w:val="clear" w:color="auto" w:fill="CFF0FC"/>
          </w:tcPr>
          <w:p>
            <w:pPr>
              <w:spacing w:after="0"/>
              <w:rPr>
                <w:sz w:val="21"/>
                <w:szCs w:val="21"/>
                <w:color w:val="auto"/>
              </w:rPr>
            </w:pPr>
          </w:p>
        </w:tc>
        <w:tc>
          <w:tcPr>
            <w:tcW w:w="218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1"/>
                <w:szCs w:val="21"/>
                <w:color w:val="auto"/>
              </w:rPr>
            </w:pPr>
          </w:p>
        </w:tc>
        <w:tc>
          <w:tcPr>
            <w:tcW w:w="1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1"/>
                <w:szCs w:val="21"/>
                <w:color w:val="auto"/>
              </w:rPr>
            </w:pPr>
          </w:p>
        </w:tc>
      </w:tr>
      <w:tr>
        <w:trPr>
          <w:trHeight w:val="209"/>
        </w:trPr>
        <w:tc>
          <w:tcPr>
            <w:tcW w:w="68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nonperforming loans</w:t>
            </w:r>
          </w:p>
        </w:tc>
        <w:tc>
          <w:tcPr>
            <w:tcW w:w="26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21,913</w:t>
            </w:r>
          </w:p>
        </w:tc>
        <w:tc>
          <w:tcPr>
            <w:tcW w:w="28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21,302</w:t>
            </w:r>
          </w:p>
        </w:tc>
        <w:tc>
          <w:tcPr>
            <w:tcW w:w="100" w:type="dxa"/>
            <w:vAlign w:val="bottom"/>
            <w:tcBorders>
              <w:top w:val="single" w:sz="8" w:color="CFF0FC"/>
            </w:tcBorders>
          </w:tcPr>
          <w:p>
            <w:pPr>
              <w:spacing w:after="0"/>
              <w:rPr>
                <w:sz w:val="18"/>
                <w:szCs w:val="18"/>
                <w:color w:val="auto"/>
              </w:rPr>
            </w:pPr>
          </w:p>
        </w:tc>
        <w:tc>
          <w:tcPr>
            <w:tcW w:w="40" w:type="dxa"/>
            <w:vAlign w:val="bottom"/>
          </w:tcPr>
          <w:p>
            <w:pPr>
              <w:spacing w:after="0"/>
              <w:rPr>
                <w:sz w:val="18"/>
                <w:szCs w:val="18"/>
                <w:color w:val="auto"/>
              </w:rPr>
            </w:pPr>
          </w:p>
        </w:tc>
      </w:tr>
      <w:tr>
        <w:trPr>
          <w:trHeight w:val="244"/>
        </w:trPr>
        <w:tc>
          <w:tcPr>
            <w:tcW w:w="6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OREO, net</w:t>
            </w:r>
          </w:p>
        </w:tc>
        <w:tc>
          <w:tcPr>
            <w:tcW w:w="260" w:type="dxa"/>
            <w:vAlign w:val="bottom"/>
            <w:shd w:val="clear" w:color="auto" w:fill="CFF0FC"/>
          </w:tcPr>
          <w:p>
            <w:pPr>
              <w:spacing w:after="0"/>
              <w:rPr>
                <w:sz w:val="21"/>
                <w:szCs w:val="21"/>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647</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1"/>
                <w:szCs w:val="21"/>
                <w:color w:val="auto"/>
              </w:rPr>
            </w:pPr>
          </w:p>
        </w:tc>
      </w:tr>
      <w:tr>
        <w:trPr>
          <w:trHeight w:val="226"/>
        </w:trPr>
        <w:tc>
          <w:tcPr>
            <w:tcW w:w="68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nonperforming assets</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22,560</w:t>
            </w:r>
          </w:p>
        </w:tc>
        <w:tc>
          <w:tcPr>
            <w:tcW w:w="280" w:type="dxa"/>
            <w:vAlign w:val="bottom"/>
            <w:tcBorders>
              <w:top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21,302</w:t>
            </w:r>
          </w:p>
        </w:tc>
        <w:tc>
          <w:tcPr>
            <w:tcW w:w="100" w:type="dxa"/>
            <w:vAlign w:val="bottom"/>
            <w:tcBorders>
              <w:top w:val="single" w:sz="8" w:color="CFF0FC"/>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Modified loans to borrowers experiencing financial difficulty</w:t>
            </w: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15,769</w:t>
            </w: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9,460</w:t>
            </w:r>
          </w:p>
        </w:tc>
        <w:tc>
          <w:tcPr>
            <w:tcW w:w="100" w:type="dxa"/>
            <w:vAlign w:val="bottom"/>
            <w:tcBorders>
              <w:bottom w:val="single" w:sz="8" w:color="CFF0FC"/>
            </w:tcBorders>
            <w:shd w:val="clear" w:color="auto" w:fill="CFF0FC"/>
          </w:tcPr>
          <w:p>
            <w:pPr>
              <w:spacing w:after="0"/>
              <w:rPr>
                <w:sz w:val="21"/>
                <w:szCs w:val="21"/>
                <w:color w:val="auto"/>
              </w:rPr>
            </w:pPr>
          </w:p>
        </w:tc>
        <w:tc>
          <w:tcPr>
            <w:tcW w:w="40" w:type="dxa"/>
            <w:vAlign w:val="bottom"/>
          </w:tcPr>
          <w:p>
            <w:pPr>
              <w:spacing w:after="0"/>
              <w:rPr>
                <w:sz w:val="21"/>
                <w:szCs w:val="21"/>
                <w:color w:val="auto"/>
              </w:rPr>
            </w:pPr>
          </w:p>
        </w:tc>
      </w:tr>
      <w:tr>
        <w:trPr>
          <w:trHeight w:val="412"/>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nonperforming loans and performing modified loans to borrowers</w:t>
            </w:r>
          </w:p>
        </w:tc>
        <w:tc>
          <w:tcPr>
            <w:tcW w:w="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0"/>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experiencing financial difficulty</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37,682</w:t>
            </w:r>
          </w:p>
        </w:tc>
        <w:tc>
          <w:tcPr>
            <w:tcW w:w="280" w:type="dxa"/>
            <w:vAlign w:val="bottom"/>
          </w:tcPr>
          <w:p>
            <w:pPr>
              <w:spacing w:after="0"/>
              <w:rPr>
                <w:sz w:val="18"/>
                <w:szCs w:val="18"/>
                <w:color w:val="auto"/>
              </w:rPr>
            </w:pPr>
          </w:p>
        </w:tc>
        <w:tc>
          <w:tcPr>
            <w:tcW w:w="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30,762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451"/>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Percentage of nonperforming loans and performing modified loans to</w:t>
            </w:r>
          </w:p>
        </w:tc>
        <w:tc>
          <w:tcPr>
            <w:tcW w:w="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0"/>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borrowers experiencing financial difficulty to total loans, at amortized cost</w:t>
            </w:r>
          </w:p>
        </w:tc>
        <w:tc>
          <w:tcPr>
            <w:tcW w:w="260" w:type="dxa"/>
            <w:vAlign w:val="bottom"/>
          </w:tcPr>
          <w:p>
            <w:pPr>
              <w:spacing w:after="0"/>
              <w:rPr>
                <w:sz w:val="18"/>
                <w:szCs w:val="18"/>
                <w:color w:val="auto"/>
              </w:rPr>
            </w:pPr>
          </w:p>
        </w:tc>
        <w:tc>
          <w:tcPr>
            <w:tcW w:w="21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0.44 %</w:t>
            </w:r>
          </w:p>
        </w:tc>
        <w:tc>
          <w:tcPr>
            <w:tcW w:w="180" w:type="dxa"/>
            <w:vAlign w:val="bottom"/>
          </w:tcPr>
          <w:p>
            <w:pPr>
              <w:spacing w:after="0"/>
              <w:rPr>
                <w:sz w:val="18"/>
                <w:szCs w:val="18"/>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0.35 %</w:t>
            </w:r>
          </w:p>
        </w:tc>
      </w:tr>
      <w:tr>
        <w:trPr>
          <w:trHeight w:val="451"/>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Percentage of nonperforming assets to total loans, at amortized cost,</w:t>
            </w:r>
          </w:p>
        </w:tc>
        <w:tc>
          <w:tcPr>
            <w:tcW w:w="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0"/>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and OREO</w:t>
            </w:r>
          </w:p>
        </w:tc>
        <w:tc>
          <w:tcPr>
            <w:tcW w:w="260" w:type="dxa"/>
            <w:vAlign w:val="bottom"/>
          </w:tcPr>
          <w:p>
            <w:pPr>
              <w:spacing w:after="0"/>
              <w:rPr>
                <w:sz w:val="18"/>
                <w:szCs w:val="18"/>
                <w:color w:val="auto"/>
              </w:rPr>
            </w:pPr>
          </w:p>
        </w:tc>
        <w:tc>
          <w:tcPr>
            <w:tcW w:w="21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0.26 %</w:t>
            </w:r>
          </w:p>
        </w:tc>
        <w:tc>
          <w:tcPr>
            <w:tcW w:w="180" w:type="dxa"/>
            <w:vAlign w:val="bottom"/>
          </w:tcPr>
          <w:p>
            <w:pPr>
              <w:spacing w:after="0"/>
              <w:rPr>
                <w:sz w:val="18"/>
                <w:szCs w:val="18"/>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0.24 %</w:t>
            </w:r>
          </w:p>
        </w:tc>
      </w:tr>
      <w:tr>
        <w:trPr>
          <w:trHeight w:val="230"/>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Percentage of nonperforming assets to total assets</w:t>
            </w:r>
          </w:p>
        </w:tc>
        <w:tc>
          <w:tcPr>
            <w:tcW w:w="260" w:type="dxa"/>
            <w:vAlign w:val="bottom"/>
          </w:tcPr>
          <w:p>
            <w:pPr>
              <w:spacing w:after="0"/>
              <w:rPr>
                <w:sz w:val="19"/>
                <w:szCs w:val="19"/>
                <w:color w:val="auto"/>
              </w:rPr>
            </w:pPr>
          </w:p>
        </w:tc>
        <w:tc>
          <w:tcPr>
            <w:tcW w:w="21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0.15 %</w:t>
            </w:r>
          </w:p>
        </w:tc>
        <w:tc>
          <w:tcPr>
            <w:tcW w:w="180" w:type="dxa"/>
            <w:vAlign w:val="bottom"/>
          </w:tcPr>
          <w:p>
            <w:pPr>
              <w:spacing w:after="0"/>
              <w:rPr>
                <w:sz w:val="19"/>
                <w:szCs w:val="19"/>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0.13 %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-827405</wp:posOffset>
            </wp:positionV>
            <wp:extent cx="7132320" cy="27432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4605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-2044700</wp:posOffset>
            </wp:positionV>
            <wp:extent cx="68580" cy="825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-2044700</wp:posOffset>
            </wp:positionV>
            <wp:extent cx="68580" cy="825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-1744345</wp:posOffset>
            </wp:positionV>
            <wp:extent cx="68580" cy="82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-1744345</wp:posOffset>
            </wp:positionV>
            <wp:extent cx="68580" cy="825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-1418590</wp:posOffset>
            </wp:positionV>
            <wp:extent cx="68580" cy="889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-1401445</wp:posOffset>
            </wp:positionV>
            <wp:extent cx="68580" cy="825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-1418590</wp:posOffset>
            </wp:positionV>
            <wp:extent cx="68580" cy="889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-1401445</wp:posOffset>
            </wp:positionV>
            <wp:extent cx="68580" cy="825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Modifications of Loans to Borrowers Experiencing Financial Difficulty</w:t>
      </w:r>
    </w:p>
    <w:p>
      <w:pPr>
        <w:spacing w:after="0" w:line="229" w:lineRule="exact"/>
        <w:rPr>
          <w:sz w:val="20"/>
          <w:szCs w:val="20"/>
          <w:color w:val="auto"/>
        </w:rPr>
      </w:pPr>
    </w:p>
    <w:p>
      <w:pPr>
        <w:ind w:right="440" w:firstLine="469"/>
        <w:spacing w:after="0" w:line="266" w:lineRule="auto"/>
        <w:rPr>
          <w:sz w:val="20"/>
          <w:szCs w:val="20"/>
          <w:color w:val="auto"/>
        </w:rPr>
      </w:pPr>
      <w:r>
        <w:rPr>
          <w:rFonts w:ascii="Times New Roman" w:cs="Times New Roman" w:eastAsia="Times New Roman" w:hAnsi="Times New Roman"/>
          <w:sz w:val="18"/>
          <w:szCs w:val="18"/>
          <w:color w:val="auto"/>
        </w:rPr>
        <w:t>The Company adopted Accounting Standards Update (“ASU”) 2022-02, Financial Instruments - Credit Losses (Topic 326) Troubled Debt Restructurings and Vintage Disclosures (“ASU 2022-02”) effective January 1, 2023. The amendments in ASU 2022-02 eliminated the recognition and measurement of TDRs and enhanced disclosures for loan modifications to borrowers experiencing financial difficulty.</w:t>
      </w:r>
    </w:p>
    <w:p>
      <w:pPr>
        <w:spacing w:after="0" w:line="176" w:lineRule="exact"/>
        <w:rPr>
          <w:sz w:val="20"/>
          <w:szCs w:val="20"/>
          <w:color w:val="auto"/>
        </w:rPr>
      </w:pPr>
    </w:p>
    <w:p>
      <w:pPr>
        <w:ind w:right="360" w:firstLine="469"/>
        <w:spacing w:after="0" w:line="266" w:lineRule="auto"/>
        <w:rPr>
          <w:sz w:val="20"/>
          <w:szCs w:val="20"/>
          <w:color w:val="auto"/>
        </w:rPr>
      </w:pPr>
      <w:r>
        <w:rPr>
          <w:rFonts w:ascii="Times New Roman" w:cs="Times New Roman" w:eastAsia="Times New Roman" w:hAnsi="Times New Roman"/>
          <w:sz w:val="18"/>
          <w:szCs w:val="18"/>
          <w:color w:val="auto"/>
        </w:rPr>
        <w:t>There were 10 loans to borrowers experiencing financial difficulty that were modified during the nine months ended September 30, 2024 with an amortized cost totaling $8.0 million as of September 30, 2024, including two dairy &amp; livestock and agribusiness loans of $5.2 million, and eight commercial and industrial loans totaling $2.8 million.</w:t>
      </w:r>
    </w:p>
    <w:p>
      <w:pPr>
        <w:spacing w:after="0" w:line="176" w:lineRule="exact"/>
        <w:rPr>
          <w:sz w:val="20"/>
          <w:szCs w:val="20"/>
          <w:color w:val="auto"/>
        </w:rPr>
      </w:pPr>
    </w:p>
    <w:p>
      <w:pPr>
        <w:ind w:right="140" w:firstLine="469"/>
        <w:spacing w:after="0" w:line="282" w:lineRule="auto"/>
        <w:rPr>
          <w:sz w:val="20"/>
          <w:szCs w:val="20"/>
          <w:color w:val="auto"/>
        </w:rPr>
      </w:pPr>
      <w:r>
        <w:rPr>
          <w:rFonts w:ascii="Times New Roman" w:cs="Times New Roman" w:eastAsia="Times New Roman" w:hAnsi="Times New Roman"/>
          <w:sz w:val="18"/>
          <w:szCs w:val="18"/>
          <w:color w:val="auto"/>
        </w:rPr>
        <w:t>The table below reflects the amortized cost of loans by type made to borrowers experiencing financial difficulty that were modified as of September 30, 2024 and September 30, 2023.</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20" w:type="dxa"/>
            <w:vAlign w:val="bottom"/>
            <w:gridSpan w:val="5"/>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Combination-Term Extension and</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920" w:type="dxa"/>
            <w:vAlign w:val="bottom"/>
            <w:gridSpan w:val="4"/>
          </w:tcPr>
          <w:p>
            <w:pPr>
              <w:jc w:val="right"/>
              <w:ind w:right="1160"/>
              <w:spacing w:after="0"/>
              <w:rPr>
                <w:sz w:val="20"/>
                <w:szCs w:val="20"/>
                <w:color w:val="auto"/>
              </w:rPr>
            </w:pPr>
            <w:r>
              <w:rPr>
                <w:rFonts w:ascii="Times New Roman" w:cs="Times New Roman" w:eastAsia="Times New Roman" w:hAnsi="Times New Roman"/>
                <w:sz w:val="18"/>
                <w:szCs w:val="18"/>
                <w:b w:val="1"/>
                <w:bCs w:val="1"/>
                <w:color w:val="auto"/>
              </w:rPr>
              <w:t>Term Extension</w:t>
            </w:r>
          </w:p>
        </w:tc>
        <w:tc>
          <w:tcPr>
            <w:tcW w:w="300" w:type="dxa"/>
            <w:vAlign w:val="bottom"/>
          </w:tcPr>
          <w:p>
            <w:pPr>
              <w:spacing w:after="0"/>
              <w:rPr>
                <w:sz w:val="21"/>
                <w:szCs w:val="21"/>
                <w:color w:val="auto"/>
              </w:rPr>
            </w:pPr>
          </w:p>
        </w:tc>
        <w:tc>
          <w:tcPr>
            <w:tcW w:w="2920" w:type="dxa"/>
            <w:vAlign w:val="bottom"/>
            <w:gridSpan w:val="4"/>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Interest Rate Reduction</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34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 of Total</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 of Total Class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Class of</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18"/>
                <w:szCs w:val="18"/>
                <w:color w:val="auto"/>
              </w:rPr>
            </w:pPr>
          </w:p>
        </w:tc>
        <w:tc>
          <w:tcPr>
            <w:tcW w:w="1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240" w:type="dxa"/>
            <w:vAlign w:val="bottom"/>
          </w:tcPr>
          <w:p>
            <w:pPr>
              <w:spacing w:after="0"/>
              <w:rPr>
                <w:sz w:val="18"/>
                <w:szCs w:val="18"/>
                <w:color w:val="auto"/>
              </w:rPr>
            </w:pPr>
          </w:p>
        </w:tc>
        <w:tc>
          <w:tcPr>
            <w:tcW w:w="16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of Financing</w:t>
            </w: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200" w:type="dxa"/>
            <w:vAlign w:val="bottom"/>
          </w:tcPr>
          <w:p>
            <w:pPr>
              <w:spacing w:after="0"/>
              <w:rPr>
                <w:sz w:val="18"/>
                <w:szCs w:val="18"/>
                <w:color w:val="auto"/>
              </w:rPr>
            </w:pPr>
          </w:p>
        </w:tc>
        <w:tc>
          <w:tcPr>
            <w:tcW w:w="16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Financing</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Basis</w:t>
            </w:r>
          </w:p>
        </w:tc>
        <w:tc>
          <w:tcPr>
            <w:tcW w:w="240" w:type="dxa"/>
            <w:vAlign w:val="bottom"/>
          </w:tcPr>
          <w:p>
            <w:pPr>
              <w:spacing w:after="0"/>
              <w:rPr>
                <w:sz w:val="21"/>
                <w:szCs w:val="21"/>
                <w:color w:val="auto"/>
              </w:rPr>
            </w:pPr>
          </w:p>
        </w:tc>
        <w:tc>
          <w:tcPr>
            <w:tcW w:w="16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Receivables</w:t>
            </w:r>
          </w:p>
        </w:tc>
        <w:tc>
          <w:tcPr>
            <w:tcW w:w="300" w:type="dxa"/>
            <w:vAlign w:val="bottom"/>
          </w:tcPr>
          <w:p>
            <w:pPr>
              <w:spacing w:after="0"/>
              <w:rPr>
                <w:sz w:val="21"/>
                <w:szCs w:val="21"/>
                <w:color w:val="auto"/>
              </w:rPr>
            </w:pPr>
          </w:p>
        </w:tc>
        <w:tc>
          <w:tcPr>
            <w:tcW w:w="10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Basis</w:t>
            </w:r>
          </w:p>
        </w:tc>
        <w:tc>
          <w:tcPr>
            <w:tcW w:w="200" w:type="dxa"/>
            <w:vAlign w:val="bottom"/>
          </w:tcPr>
          <w:p>
            <w:pPr>
              <w:spacing w:after="0"/>
              <w:rPr>
                <w:sz w:val="21"/>
                <w:szCs w:val="21"/>
                <w:color w:val="auto"/>
              </w:rPr>
            </w:pPr>
          </w:p>
        </w:tc>
        <w:tc>
          <w:tcPr>
            <w:tcW w:w="16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Receivables</w:t>
            </w:r>
          </w:p>
        </w:tc>
        <w:tc>
          <w:tcPr>
            <w:tcW w:w="280" w:type="dxa"/>
            <w:vAlign w:val="bottom"/>
          </w:tcPr>
          <w:p>
            <w:pPr>
              <w:spacing w:after="0"/>
              <w:rPr>
                <w:sz w:val="21"/>
                <w:szCs w:val="21"/>
                <w:color w:val="auto"/>
              </w:rPr>
            </w:pPr>
          </w:p>
        </w:tc>
        <w:tc>
          <w:tcPr>
            <w:tcW w:w="11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6"/>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real estate loans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184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0.02 %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86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0.01 %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2,785</w:t>
            </w:r>
          </w:p>
        </w:tc>
        <w:tc>
          <w:tcPr>
            <w:tcW w:w="18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0.03 %</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8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0.00 %</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Dairy &amp; livestock and agribusiness</w:t>
            </w:r>
          </w:p>
        </w:tc>
        <w:tc>
          <w:tcPr>
            <w:tcW w:w="30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10,350</w:t>
            </w:r>
          </w:p>
        </w:tc>
        <w:tc>
          <w:tcPr>
            <w:tcW w:w="184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0.12 %</w:t>
            </w:r>
          </w:p>
        </w:tc>
        <w:tc>
          <w:tcPr>
            <w:tcW w:w="3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0.00 %</w:t>
            </w:r>
          </w:p>
        </w:tc>
        <w:tc>
          <w:tcPr>
            <w:tcW w:w="28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10,350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34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14,916</w:t>
            </w: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2023</w:t>
            </w: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34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real estate loans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184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0.02 %</w:t>
            </w: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86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0.01 %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0.00 %</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0.00 %</w:t>
            </w:r>
          </w:p>
        </w:tc>
        <w:tc>
          <w:tcPr>
            <w:tcW w:w="28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Dairy &amp; livestock and agribusiness</w:t>
            </w:r>
          </w:p>
        </w:tc>
        <w:tc>
          <w:tcPr>
            <w:tcW w:w="30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4,799</w:t>
            </w:r>
          </w:p>
        </w:tc>
        <w:tc>
          <w:tcPr>
            <w:tcW w:w="184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0.05 %</w:t>
            </w:r>
          </w:p>
        </w:tc>
        <w:tc>
          <w:tcPr>
            <w:tcW w:w="3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0.00 %</w:t>
            </w:r>
          </w:p>
        </w:tc>
        <w:tc>
          <w:tcPr>
            <w:tcW w:w="28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34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6,614</w:t>
            </w: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540" w:type="dxa"/>
            <w:vAlign w:val="bottom"/>
            <w:gridSpan w:val="2"/>
            <w:vMerge w:val="restart"/>
          </w:tcPr>
          <w:p>
            <w:pPr>
              <w:jc w:val="right"/>
              <w:ind w:right="510"/>
              <w:spacing w:after="0"/>
              <w:rPr>
                <w:sz w:val="20"/>
                <w:szCs w:val="20"/>
                <w:color w:val="auto"/>
              </w:rPr>
            </w:pPr>
            <w:r>
              <w:rPr>
                <w:rFonts w:ascii="Times New Roman" w:cs="Times New Roman" w:eastAsia="Times New Roman" w:hAnsi="Times New Roman"/>
                <w:sz w:val="18"/>
                <w:szCs w:val="18"/>
                <w:color w:val="auto"/>
              </w:rPr>
              <w:t>58</w:t>
            </w: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4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4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80"/>
          </w:cols>
          <w:pgMar w:left="320" w:top="1089" w:right="299" w:bottom="1440" w:gutter="0" w:footer="0" w:header="0"/>
        </w:sectPr>
      </w:pPr>
    </w:p>
    <w:bookmarkStart w:id="58" w:name="page59"/>
    <w:bookmarkEnd w:id="58"/>
    <w:p>
      <w:pPr>
        <w:ind w:right="460" w:firstLine="464"/>
        <w:spacing w:after="0" w:line="282" w:lineRule="auto"/>
        <w:rPr>
          <w:sz w:val="20"/>
          <w:szCs w:val="20"/>
          <w:color w:val="auto"/>
        </w:rPr>
      </w:pPr>
      <w:r>
        <w:rPr>
          <w:rFonts w:ascii="Times New Roman" w:cs="Times New Roman" w:eastAsia="Times New Roman" w:hAnsi="Times New Roman"/>
          <w:sz w:val="18"/>
          <w:szCs w:val="18"/>
          <w:color w:val="auto"/>
        </w:rPr>
        <w:t>The following table describes the financial effect of the loan modifications made to borrowers experiencing financial difficulty during the three months ended September 30, 2024 and September 30, 2023.</w:t>
      </w:r>
    </w:p>
    <w:p>
      <w:pPr>
        <w:sectPr>
          <w:pgSz w:w="11900" w:h="16838" w:orient="portrait"/>
          <w:cols w:equalWidth="0" w:num="1">
            <w:col w:w="11240"/>
          </w:cols>
          <w:pgMar w:left="320" w:top="1309" w:right="339" w:bottom="1440" w:gutter="0" w:footer="0" w:header="0"/>
        </w:sectPr>
      </w:pPr>
    </w:p>
    <w:p>
      <w:pPr>
        <w:spacing w:after="0" w:line="17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b w:val="1"/>
          <w:bCs w:val="1"/>
          <w:color w:val="auto"/>
        </w:rPr>
        <w:t>Loan 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1885950" cy="88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2960" w:type="dxa"/>
            <w:vAlign w:val="bottom"/>
            <w:tcBorders>
              <w:bottom w:val="single" w:sz="8" w:color="auto"/>
            </w:tcBorders>
          </w:tcPr>
          <w:p>
            <w:pPr>
              <w:spacing w:after="0"/>
              <w:rPr>
                <w:sz w:val="21"/>
                <w:szCs w:val="21"/>
                <w:color w:val="auto"/>
              </w:rPr>
            </w:pPr>
          </w:p>
        </w:tc>
        <w:tc>
          <w:tcPr>
            <w:tcW w:w="50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Financial Effect</w:t>
            </w:r>
          </w:p>
        </w:tc>
      </w:tr>
      <w:tr>
        <w:trPr>
          <w:trHeight w:val="207"/>
        </w:trPr>
        <w:tc>
          <w:tcPr>
            <w:tcW w:w="2960" w:type="dxa"/>
            <w:vAlign w:val="bottom"/>
          </w:tcPr>
          <w:p>
            <w:pPr>
              <w:spacing w:after="0"/>
              <w:rPr>
                <w:sz w:val="18"/>
                <w:szCs w:val="18"/>
                <w:color w:val="auto"/>
              </w:rPr>
            </w:pPr>
          </w:p>
        </w:tc>
        <w:tc>
          <w:tcPr>
            <w:tcW w:w="5000" w:type="dxa"/>
            <w:vAlign w:val="bottom"/>
          </w:tcPr>
          <w:p>
            <w:pPr>
              <w:jc w:val="center"/>
              <w:ind w:left="1050"/>
              <w:spacing w:after="0"/>
              <w:rPr>
                <w:sz w:val="20"/>
                <w:szCs w:val="20"/>
                <w:color w:val="auto"/>
              </w:rPr>
            </w:pPr>
            <w:r>
              <w:rPr>
                <w:rFonts w:ascii="Times New Roman" w:cs="Times New Roman" w:eastAsia="Times New Roman" w:hAnsi="Times New Roman"/>
                <w:sz w:val="18"/>
                <w:szCs w:val="18"/>
                <w:b w:val="1"/>
                <w:bCs w:val="1"/>
                <w:color w:val="auto"/>
                <w:w w:val="99"/>
              </w:rPr>
              <w:t>Combination-Term Extension and</w:t>
            </w:r>
          </w:p>
        </w:tc>
      </w:tr>
      <w:tr>
        <w:trPr>
          <w:trHeight w:val="238"/>
        </w:trPr>
        <w:tc>
          <w:tcPr>
            <w:tcW w:w="2960" w:type="dxa"/>
            <w:vAlign w:val="bottom"/>
          </w:tcPr>
          <w:p>
            <w:pPr>
              <w:ind w:left="1320"/>
              <w:spacing w:after="0"/>
              <w:rPr>
                <w:sz w:val="20"/>
                <w:szCs w:val="20"/>
                <w:color w:val="auto"/>
              </w:rPr>
            </w:pPr>
            <w:r>
              <w:rPr>
                <w:rFonts w:ascii="Times New Roman" w:cs="Times New Roman" w:eastAsia="Times New Roman" w:hAnsi="Times New Roman"/>
                <w:sz w:val="18"/>
                <w:szCs w:val="18"/>
                <w:b w:val="1"/>
                <w:bCs w:val="1"/>
                <w:color w:val="auto"/>
              </w:rPr>
              <w:t>Term Extension</w:t>
            </w:r>
          </w:p>
        </w:tc>
        <w:tc>
          <w:tcPr>
            <w:tcW w:w="5000" w:type="dxa"/>
            <w:vAlign w:val="bottom"/>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8"/>
              </w:rPr>
              <w:t>Interest Rate Reduction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5048885" cy="889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5048885" cy="8890"/>
                    </a:xfrm>
                    <a:prstGeom prst="rect">
                      <a:avLst/>
                    </a:prstGeom>
                    <a:noFill/>
                  </pic:spPr>
                </pic:pic>
              </a:graphicData>
            </a:graphic>
          </wp:anchor>
        </w:drawing>
      </w:r>
    </w:p>
    <w:p>
      <w:pPr>
        <w:spacing w:after="0" w:line="18" w:lineRule="exact"/>
        <w:rPr>
          <w:sz w:val="20"/>
          <w:szCs w:val="20"/>
          <w:color w:val="auto"/>
        </w:rPr>
      </w:pPr>
    </w:p>
    <w:p>
      <w:pPr>
        <w:sectPr>
          <w:pgSz w:w="11900" w:h="16838" w:orient="portrait"/>
          <w:cols w:equalWidth="0" w:num="2">
            <w:col w:w="2560" w:space="720"/>
            <w:col w:w="7960"/>
          </w:cols>
          <w:pgMar w:left="320" w:top="1309" w:right="339" w:bottom="1440" w:gutter="0" w:footer="0" w:header="0"/>
          <w:type w:val="continuous"/>
        </w:sectPr>
      </w:pPr>
    </w:p>
    <w:p>
      <w:pPr>
        <w:ind w:left="20" w:right="480"/>
        <w:spacing w:after="0" w:line="350" w:lineRule="auto"/>
        <w:rPr>
          <w:sz w:val="20"/>
          <w:szCs w:val="20"/>
          <w:color w:val="auto"/>
        </w:rPr>
      </w:pPr>
      <w:r>
        <w:rPr>
          <w:rFonts w:ascii="Times New Roman" w:cs="Times New Roman" w:eastAsia="Times New Roman" w:hAnsi="Times New Roman"/>
          <w:sz w:val="17"/>
          <w:szCs w:val="17"/>
          <w:b w:val="1"/>
          <w:bCs w:val="1"/>
          <w:color w:val="auto"/>
        </w:rPr>
        <w:t xml:space="preserve">September 30, 2024 </w:t>
      </w:r>
      <w:r>
        <w:rPr>
          <w:rFonts w:ascii="Times New Roman" w:cs="Times New Roman" w:eastAsia="Times New Roman" w:hAnsi="Times New Roman"/>
          <w:sz w:val="17"/>
          <w:szCs w:val="17"/>
          <w:color w:val="auto"/>
        </w:rPr>
        <w:t>Commercial real estate loans</w:t>
      </w:r>
    </w:p>
    <w:p>
      <w:pPr>
        <w:spacing w:after="0" w:line="3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p>
      <w:pPr>
        <w:spacing w:after="0" w:line="200" w:lineRule="exact"/>
        <w:rPr>
          <w:sz w:val="20"/>
          <w:szCs w:val="20"/>
          <w:color w:val="auto"/>
        </w:rPr>
      </w:pPr>
    </w:p>
    <w:p>
      <w:pPr>
        <w:spacing w:after="0" w:line="2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Dairy &amp; livestock and agribusiness</w:t>
      </w:r>
    </w:p>
    <w:p>
      <w:pPr>
        <w:spacing w:after="0" w:line="200" w:lineRule="exact"/>
        <w:rPr>
          <w:sz w:val="20"/>
          <w:szCs w:val="20"/>
          <w:color w:val="auto"/>
        </w:rPr>
      </w:pPr>
    </w:p>
    <w:p>
      <w:pPr>
        <w:spacing w:after="0" w:line="2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Commercial real estate loans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2023</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Added a weighted-average 1.9 years to the life of loans, which reduced monthly payment amounts for the borrowers.</w:t>
      </w:r>
    </w:p>
    <w:p>
      <w:pPr>
        <w:spacing w:after="0" w:line="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Added a weighted-average 1.1 years to the life of loans, which reduced monthly payment amounts for the borrowers.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-2089785</wp:posOffset>
            </wp:positionH>
            <wp:positionV relativeFrom="paragraph">
              <wp:posOffset>-423545</wp:posOffset>
            </wp:positionV>
            <wp:extent cx="7132320" cy="42862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7132320" cy="428625"/>
                    </a:xfrm>
                    <a:prstGeom prst="rect">
                      <a:avLst/>
                    </a:prstGeom>
                    <a:noFill/>
                  </pic:spPr>
                </pic:pic>
              </a:graphicData>
            </a:graphic>
          </wp:anchor>
        </w:drawing>
      </w:r>
    </w:p>
    <w:p>
      <w:pPr>
        <w:spacing w:after="0" w:line="266" w:lineRule="auto"/>
        <w:rPr>
          <w:sz w:val="20"/>
          <w:szCs w:val="20"/>
          <w:color w:val="auto"/>
        </w:rPr>
      </w:pPr>
      <w:r>
        <w:rPr>
          <w:rFonts w:ascii="Times New Roman" w:cs="Times New Roman" w:eastAsia="Times New Roman" w:hAnsi="Times New Roman"/>
          <w:sz w:val="18"/>
          <w:szCs w:val="18"/>
          <w:color w:val="auto"/>
        </w:rPr>
        <w:t>Added a weighted-average 1.3 years to the life of loans, which reduced monthly payment amounts for the borrowers.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-2089785</wp:posOffset>
            </wp:positionH>
            <wp:positionV relativeFrom="paragraph">
              <wp:posOffset>-4445</wp:posOffset>
            </wp:positionV>
            <wp:extent cx="7132320" cy="56578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7132320" cy="565785"/>
                    </a:xfrm>
                    <a:prstGeom prst="rect">
                      <a:avLst/>
                    </a:prstGeom>
                    <a:noFill/>
                  </pic:spPr>
                </pic:pic>
              </a:graphicData>
            </a:graphic>
          </wp:anchor>
        </w:drawing>
      </w:r>
    </w:p>
    <w:p>
      <w:pPr>
        <w:spacing w:after="0" w:line="291"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-2089785</wp:posOffset>
            </wp:positionH>
            <wp:positionV relativeFrom="paragraph">
              <wp:posOffset>231775</wp:posOffset>
            </wp:positionV>
            <wp:extent cx="7132320" cy="15430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right="60" w:firstLine="35"/>
        <w:spacing w:after="0" w:line="258" w:lineRule="auto"/>
        <w:rPr>
          <w:sz w:val="20"/>
          <w:szCs w:val="20"/>
          <w:color w:val="auto"/>
        </w:rPr>
      </w:pPr>
      <w:r>
        <w:rPr>
          <w:rFonts w:ascii="Times New Roman" w:cs="Times New Roman" w:eastAsia="Times New Roman" w:hAnsi="Times New Roman"/>
          <w:sz w:val="18"/>
          <w:szCs w:val="18"/>
          <w:color w:val="auto"/>
        </w:rPr>
        <w:t>Added a weighted-average 7.6 years to the life of loans, which reduced monthly payment amounts for the borrowers; reduced weighted-average contractual interest rate from 10% to 7.25%.</w:t>
      </w:r>
    </w:p>
    <w:p>
      <w:pPr>
        <w:spacing w:after="0" w:line="1" w:lineRule="exact"/>
        <w:rPr>
          <w:sz w:val="20"/>
          <w:szCs w:val="20"/>
          <w:color w:val="auto"/>
        </w:rPr>
      </w:pPr>
    </w:p>
    <w:p>
      <w:pPr>
        <w:ind w:right="60" w:firstLine="35"/>
        <w:spacing w:after="0" w:line="261" w:lineRule="auto"/>
        <w:rPr>
          <w:sz w:val="20"/>
          <w:szCs w:val="20"/>
          <w:color w:val="auto"/>
        </w:rPr>
      </w:pPr>
      <w:r>
        <w:rPr>
          <w:rFonts w:ascii="Times New Roman" w:cs="Times New Roman" w:eastAsia="Times New Roman" w:hAnsi="Times New Roman"/>
          <w:sz w:val="18"/>
          <w:szCs w:val="18"/>
          <w:color w:val="auto"/>
        </w:rPr>
        <w:t>Added a weighted-average 2.0 years to the life of loans, which reduced monthly payment amounts for the borrowers; reduced weighted-average contractual interest rate from 8.75% to 7.75%.</w:t>
      </w:r>
    </w:p>
    <w:p>
      <w:pPr>
        <w:spacing w:after="0" w:line="476" w:lineRule="exact"/>
        <w:rPr>
          <w:sz w:val="20"/>
          <w:szCs w:val="20"/>
          <w:color w:val="auto"/>
        </w:rPr>
      </w:pPr>
    </w:p>
    <w:p>
      <w:pPr>
        <w:sectPr>
          <w:pgSz w:w="11900" w:h="16838" w:orient="portrait"/>
          <w:cols w:equalWidth="0" w:num="3">
            <w:col w:w="2580" w:space="720"/>
            <w:col w:w="3740" w:space="400"/>
            <w:col w:w="3800"/>
          </w:cols>
          <w:pgMar w:left="320" w:top="1309"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Commercial real estate loans</w:t>
      </w:r>
    </w:p>
    <w:p>
      <w:pPr>
        <w:spacing w:after="0" w:line="200" w:lineRule="exact"/>
        <w:rPr>
          <w:sz w:val="20"/>
          <w:szCs w:val="20"/>
          <w:color w:val="auto"/>
        </w:rPr>
      </w:pPr>
    </w:p>
    <w:p>
      <w:pPr>
        <w:spacing w:after="0" w:line="2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Dairy &amp; livestock and agribusiness</w:t>
      </w:r>
    </w:p>
    <w:p>
      <w:pPr>
        <w:spacing w:after="0" w:line="200" w:lineRule="exact"/>
        <w:rPr>
          <w:sz w:val="20"/>
          <w:szCs w:val="20"/>
          <w:color w:val="auto"/>
        </w:rPr>
      </w:pPr>
    </w:p>
    <w:p>
      <w:pPr>
        <w:spacing w:after="0" w:line="2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Commercial real estate loans</w:t>
      </w:r>
    </w:p>
    <w:p>
      <w:pPr>
        <w:spacing w:after="0" w:line="20" w:lineRule="exact"/>
        <w:rPr>
          <w:sz w:val="20"/>
          <w:szCs w:val="20"/>
          <w:color w:val="auto"/>
        </w:rPr>
      </w:pPr>
      <w:r>
        <w:rPr>
          <w:sz w:val="20"/>
          <w:szCs w:val="20"/>
          <w:color w:val="auto"/>
        </w:rPr>
        <w:br w:type="column"/>
      </w:r>
    </w:p>
    <w:p>
      <w:pPr>
        <w:spacing w:after="0" w:line="260" w:lineRule="auto"/>
        <w:rPr>
          <w:sz w:val="20"/>
          <w:szCs w:val="20"/>
          <w:color w:val="auto"/>
        </w:rPr>
      </w:pPr>
      <w:r>
        <w:rPr>
          <w:rFonts w:ascii="Times New Roman" w:cs="Times New Roman" w:eastAsia="Times New Roman" w:hAnsi="Times New Roman"/>
          <w:sz w:val="18"/>
          <w:szCs w:val="18"/>
          <w:color w:val="auto"/>
        </w:rPr>
        <w:t>Added a weighted-average 1.0 years to the life of loans, which reduced monthly payment amounts for the borrowers.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-2089785</wp:posOffset>
            </wp:positionH>
            <wp:positionV relativeFrom="paragraph">
              <wp:posOffset>-423545</wp:posOffset>
            </wp:positionV>
            <wp:extent cx="7132320" cy="42862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7132320" cy="428625"/>
                    </a:xfrm>
                    <a:prstGeom prst="rect">
                      <a:avLst/>
                    </a:prstGeom>
                    <a:noFill/>
                  </pic:spPr>
                </pic:pic>
              </a:graphicData>
            </a:graphic>
          </wp:anchor>
        </w:drawing>
      </w:r>
    </w:p>
    <w:p>
      <w:pPr>
        <w:spacing w:after="0" w:line="266" w:lineRule="auto"/>
        <w:rPr>
          <w:sz w:val="20"/>
          <w:szCs w:val="20"/>
          <w:color w:val="auto"/>
        </w:rPr>
      </w:pPr>
      <w:r>
        <w:rPr>
          <w:rFonts w:ascii="Times New Roman" w:cs="Times New Roman" w:eastAsia="Times New Roman" w:hAnsi="Times New Roman"/>
          <w:sz w:val="18"/>
          <w:szCs w:val="18"/>
          <w:color w:val="auto"/>
        </w:rPr>
        <w:t>Added a weighted-average 0.5 years to the life of loans, which reduced monthly payment amounts for the borrowers.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-2089785</wp:posOffset>
            </wp:positionH>
            <wp:positionV relativeFrom="paragraph">
              <wp:posOffset>-4445</wp:posOffset>
            </wp:positionV>
            <wp:extent cx="7132320" cy="56578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7132320" cy="565785"/>
                    </a:xfrm>
                    <a:prstGeom prst="rect">
                      <a:avLst/>
                    </a:prstGeom>
                    <a:noFill/>
                  </pic:spPr>
                </pic:pic>
              </a:graphicData>
            </a:graphic>
          </wp:anchor>
        </w:drawing>
      </w:r>
    </w:p>
    <w:p>
      <w:pPr>
        <w:spacing w:after="0" w:line="291"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right="60" w:firstLine="35"/>
        <w:spacing w:after="0" w:line="261" w:lineRule="auto"/>
        <w:rPr>
          <w:sz w:val="20"/>
          <w:szCs w:val="20"/>
          <w:color w:val="auto"/>
        </w:rPr>
      </w:pPr>
      <w:r>
        <w:rPr>
          <w:rFonts w:ascii="Times New Roman" w:cs="Times New Roman" w:eastAsia="Times New Roman" w:hAnsi="Times New Roman"/>
          <w:sz w:val="18"/>
          <w:szCs w:val="18"/>
          <w:color w:val="auto"/>
        </w:rPr>
        <w:t>Added a weighted-average 7.6 years to the life of loans, which reduced monthly payment amounts for the borrowers; reduced weighted-average contractual interest rate from 10% to 7.25%.</w:t>
      </w:r>
    </w:p>
    <w:p>
      <w:pPr>
        <w:spacing w:after="0" w:line="193" w:lineRule="exact"/>
        <w:rPr>
          <w:sz w:val="20"/>
          <w:szCs w:val="20"/>
          <w:color w:val="auto"/>
        </w:rPr>
      </w:pPr>
    </w:p>
    <w:p>
      <w:pPr>
        <w:sectPr>
          <w:pgSz w:w="11900" w:h="16838" w:orient="portrait"/>
          <w:cols w:equalWidth="0" w:num="3">
            <w:col w:w="2580" w:space="720"/>
            <w:col w:w="3740" w:space="400"/>
            <w:col w:w="3800"/>
          </w:cols>
          <w:pgMar w:left="320" w:top="1309" w:right="339" w:bottom="1440" w:gutter="0" w:footer="0" w:header="0"/>
          <w:type w:val="continuous"/>
        </w:sectPr>
      </w:pPr>
    </w:p>
    <w:p>
      <w:pPr>
        <w:ind w:right="300" w:firstLine="464"/>
        <w:spacing w:after="0" w:line="266" w:lineRule="auto"/>
        <w:rPr>
          <w:sz w:val="20"/>
          <w:szCs w:val="20"/>
          <w:color w:val="auto"/>
        </w:rPr>
      </w:pPr>
      <w:r>
        <w:rPr>
          <w:rFonts w:ascii="Times New Roman" w:cs="Times New Roman" w:eastAsia="Times New Roman" w:hAnsi="Times New Roman"/>
          <w:sz w:val="18"/>
          <w:szCs w:val="18"/>
          <w:color w:val="auto"/>
        </w:rPr>
        <w:t>As of September 30, 2024 and September 30, 2023, the Company did not have any loans made to borrowers experiencing financial difficulty that were modified during the third quarter of 2024 and 2023 that subsequently defaulted. Payment default is defined as movement to nonaccrual (nonperforming) status, foreclosure or charge-off, whichever occurs first.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type w:val="continuous"/>
        </w:sectPr>
      </w:pPr>
    </w:p>
    <w:bookmarkStart w:id="59" w:name="page60"/>
    <w:bookmarkEnd w:id="59"/>
    <w:p>
      <w:pPr>
        <w:ind w:right="200" w:firstLine="46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recorded investment in, and the aging of, past due loans at amortized cost (including nonaccrual loans), by type of loans, made to borrowers experiencing financial difficulty as of September 30, 2024.</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520" w:type="dxa"/>
            <w:vAlign w:val="bottom"/>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292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Payment Status (amortized cost basis)</w:t>
            </w:r>
          </w:p>
        </w:tc>
        <w:tc>
          <w:tcPr>
            <w:tcW w:w="3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07"/>
        </w:trPr>
        <w:tc>
          <w:tcPr>
            <w:tcW w:w="45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3"/>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9"/>
              </w:rPr>
              <w:t>30-89 Days</w:t>
            </w:r>
          </w:p>
        </w:tc>
        <w:tc>
          <w:tcPr>
            <w:tcW w:w="320" w:type="dxa"/>
            <w:vAlign w:val="bottom"/>
          </w:tcPr>
          <w:p>
            <w:pPr>
              <w:spacing w:after="0"/>
              <w:rPr>
                <w:sz w:val="18"/>
                <w:szCs w:val="18"/>
                <w:color w:val="auto"/>
              </w:rPr>
            </w:pPr>
          </w:p>
        </w:tc>
        <w:tc>
          <w:tcPr>
            <w:tcW w:w="15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90+ Days</w:t>
            </w:r>
          </w:p>
        </w:tc>
        <w:tc>
          <w:tcPr>
            <w:tcW w:w="100" w:type="dxa"/>
            <w:vAlign w:val="bottom"/>
          </w:tcPr>
          <w:p>
            <w:pPr>
              <w:spacing w:after="0"/>
              <w:rPr>
                <w:sz w:val="18"/>
                <w:szCs w:val="18"/>
                <w:color w:val="auto"/>
              </w:rPr>
            </w:pPr>
          </w:p>
        </w:tc>
      </w:tr>
      <w:tr>
        <w:trPr>
          <w:trHeight w:val="245"/>
        </w:trPr>
        <w:tc>
          <w:tcPr>
            <w:tcW w:w="45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8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9"/>
              </w:rPr>
              <w:t>Past Due</w:t>
            </w:r>
          </w:p>
        </w:tc>
        <w:tc>
          <w:tcPr>
            <w:tcW w:w="320" w:type="dxa"/>
            <w:vAlign w:val="bottom"/>
          </w:tcPr>
          <w:p>
            <w:pPr>
              <w:spacing w:after="0"/>
              <w:rPr>
                <w:sz w:val="21"/>
                <w:szCs w:val="21"/>
                <w:color w:val="auto"/>
              </w:rPr>
            </w:pPr>
          </w:p>
        </w:tc>
        <w:tc>
          <w:tcPr>
            <w:tcW w:w="16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Past Due</w:t>
            </w:r>
          </w:p>
        </w:tc>
      </w:tr>
      <w:tr>
        <w:trPr>
          <w:trHeight w:val="240"/>
        </w:trPr>
        <w:tc>
          <w:tcPr>
            <w:tcW w:w="4520" w:type="dxa"/>
            <w:vAlign w:val="bottom"/>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5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6"/>
        </w:trPr>
        <w:tc>
          <w:tcPr>
            <w:tcW w:w="452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Commercial real estate loans</w:t>
            </w:r>
          </w:p>
        </w:tc>
        <w:tc>
          <w:tcPr>
            <w:tcW w:w="1300" w:type="dxa"/>
            <w:vAlign w:val="bottom"/>
            <w:shd w:val="clear" w:color="auto" w:fill="CFF0FC"/>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6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gridSpan w:val="3"/>
            <w:shd w:val="clear" w:color="auto" w:fill="CFF0FC"/>
          </w:tcPr>
          <w:p>
            <w:pPr>
              <w:ind w:left="15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shd w:val="clear" w:color="auto" w:fill="CFF0FC"/>
          </w:tcPr>
          <w:p>
            <w:pPr>
              <w:ind w:left="134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4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3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2,954</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gridSpan w:val="3"/>
          </w:tcPr>
          <w:p>
            <w:pPr>
              <w:ind w:left="15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64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52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Dairy &amp; livestock and agribusiness</w:t>
            </w:r>
          </w:p>
        </w:tc>
        <w:tc>
          <w:tcPr>
            <w:tcW w:w="130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10,350</w:t>
            </w:r>
          </w:p>
        </w:tc>
        <w:tc>
          <w:tcPr>
            <w:tcW w:w="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80" w:type="dxa"/>
            <w:vAlign w:val="bottom"/>
            <w:gridSpan w:val="3"/>
            <w:shd w:val="clear" w:color="auto" w:fill="CFF0FC"/>
          </w:tcPr>
          <w:p>
            <w:pPr>
              <w:ind w:left="15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ind w:left="134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452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00" w:type="dxa"/>
            <w:vAlign w:val="bottom"/>
            <w:tcBorders>
              <w:top w:val="single" w:sz="8" w:color="auto"/>
              <w:bottom w:val="single" w:sz="8" w:color="auto"/>
            </w:tcBorders>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15,769</w:t>
            </w:r>
          </w:p>
        </w:tc>
        <w:tc>
          <w:tcPr>
            <w:tcW w:w="20" w:type="dxa"/>
            <w:vAlign w:val="bottom"/>
            <w:tcBorders>
              <w:top w:val="single" w:sz="8" w:color="auto"/>
              <w:bottom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tcPr>
          <w:p>
            <w:pPr>
              <w:ind w:left="1560"/>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r>
      <w:tr>
        <w:trPr>
          <w:trHeight w:val="20"/>
        </w:trPr>
        <w:tc>
          <w:tcPr>
            <w:tcW w:w="45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464"/>
        <w:spacing w:after="0" w:line="266" w:lineRule="auto"/>
        <w:rPr>
          <w:sz w:val="20"/>
          <w:szCs w:val="20"/>
          <w:color w:val="auto"/>
        </w:rPr>
      </w:pPr>
      <w:r>
        <w:rPr>
          <w:rFonts w:ascii="Times New Roman" w:cs="Times New Roman" w:eastAsia="Times New Roman" w:hAnsi="Times New Roman"/>
          <w:sz w:val="18"/>
          <w:szCs w:val="18"/>
          <w:color w:val="auto"/>
        </w:rPr>
        <w:t>At September 30, 2024 and December 31, 2023, there was no ACL allocated to modified loans to borrowers experiencing financial difficulty. Impairment amounts identified are typically charged off against the allowance at the time the loan is considered uncollectible. There were no charge-offs on loans to borrowers experiencing financial difficulty for the nine months ended September 30, 2024 and 2023.</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i w:val="1"/>
          <w:iCs w:val="1"/>
          <w:color w:val="auto"/>
        </w:rPr>
        <w:t>Nonperforming Assets and Delinquencies</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table below provides trends in our nonperforming assets and delinquencies as of the dates presented.</w:t>
      </w:r>
    </w:p>
    <w:p>
      <w:pPr>
        <w:spacing w:after="0" w:line="232" w:lineRule="exact"/>
        <w:rPr>
          <w:sz w:val="20"/>
          <w:szCs w:val="20"/>
          <w:color w:val="auto"/>
        </w:rPr>
      </w:pPr>
    </w:p>
    <w:tbl>
      <w:tblPr>
        <w:tblLayout w:type="fixed"/>
        <w:tblInd w:w="10" w:type="dxa"/>
        <w:tblCellMar>
          <w:top w:w="0" w:type="dxa"/>
          <w:left w:w="0" w:type="dxa"/>
          <w:bottom w:w="0" w:type="dxa"/>
          <w:right w:w="0" w:type="dxa"/>
        </w:tblCellMar>
      </w:tblPr>
      <w:tr>
        <w:trPr>
          <w:trHeight w:val="175"/>
        </w:trPr>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5"/>
                <w:szCs w:val="15"/>
                <w:color w:val="auto"/>
              </w:rPr>
            </w:pPr>
          </w:p>
        </w:tc>
        <w:tc>
          <w:tcPr>
            <w:tcW w:w="118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5"/>
                <w:szCs w:val="15"/>
                <w:color w:val="auto"/>
              </w:rPr>
            </w:pPr>
          </w:p>
        </w:tc>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5"/>
                <w:szCs w:val="15"/>
                <w:color w:val="auto"/>
              </w:rPr>
            </w:pPr>
          </w:p>
        </w:tc>
        <w:tc>
          <w:tcPr>
            <w:tcW w:w="116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w w:val="94"/>
              </w:rPr>
              <w:t>(Dollars in thousands)</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60" w:type="dxa"/>
            <w:vAlign w:val="bottom"/>
            <w:tcBorders>
              <w:left w:val="single" w:sz="8" w:color="CFF0FC"/>
            </w:tcBorders>
            <w:gridSpan w:val="4"/>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Nonperforming loans:</w:t>
            </w:r>
          </w:p>
        </w:tc>
        <w:tc>
          <w:tcPr>
            <w:tcW w:w="16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500" w:type="dxa"/>
            <w:vAlign w:val="bottom"/>
            <w:tcBorders>
              <w:left w:val="single" w:sz="8" w:color="CFF0FC"/>
            </w:tcBorders>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60" w:type="dxa"/>
            <w:vAlign w:val="bottom"/>
            <w:shd w:val="clear" w:color="auto" w:fill="CFF0FC"/>
          </w:tcPr>
          <w:p>
            <w:pPr>
              <w:spacing w:after="0"/>
              <w:rPr>
                <w:sz w:val="2"/>
                <w:szCs w:val="2"/>
                <w:color w:val="auto"/>
              </w:rPr>
            </w:pPr>
          </w:p>
        </w:tc>
        <w:tc>
          <w:tcPr>
            <w:tcW w:w="142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116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02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6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02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08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1160" w:type="dxa"/>
            <w:vAlign w:val="bottom"/>
            <w:shd w:val="clear" w:color="auto" w:fill="CFF0FC"/>
          </w:tcPr>
          <w:p>
            <w:pPr>
              <w:spacing w:after="0"/>
              <w:rPr>
                <w:sz w:val="2"/>
                <w:szCs w:val="2"/>
                <w:color w:val="auto"/>
              </w:rPr>
            </w:pPr>
          </w:p>
        </w:tc>
        <w:tc>
          <w:tcPr>
            <w:tcW w:w="42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3360" w:type="dxa"/>
            <w:vAlign w:val="bottom"/>
            <w:gridSpan w:val="4"/>
          </w:tcPr>
          <w:p>
            <w:pPr>
              <w:ind w:left="200"/>
              <w:spacing w:after="0"/>
              <w:rPr>
                <w:sz w:val="20"/>
                <w:szCs w:val="20"/>
                <w:color w:val="auto"/>
              </w:rPr>
            </w:pPr>
            <w:r>
              <w:rPr>
                <w:rFonts w:ascii="Times New Roman" w:cs="Times New Roman" w:eastAsia="Times New Roman" w:hAnsi="Times New Roman"/>
                <w:sz w:val="14"/>
                <w:szCs w:val="14"/>
                <w:color w:val="auto"/>
              </w:rPr>
              <w:t>Commercial real estate</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18,794</w:t>
            </w:r>
          </w:p>
        </w:tc>
        <w:tc>
          <w:tcPr>
            <w:tcW w:w="340" w:type="dxa"/>
            <w:vAlign w:val="bottom"/>
          </w:tcPr>
          <w:p>
            <w:pPr>
              <w:spacing w:after="0"/>
              <w:rPr>
                <w:sz w:val="15"/>
                <w:szCs w:val="15"/>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21,908</w:t>
            </w:r>
          </w:p>
        </w:tc>
        <w:tc>
          <w:tcPr>
            <w:tcW w:w="160" w:type="dxa"/>
            <w:vAlign w:val="bottom"/>
          </w:tcPr>
          <w:p>
            <w:pPr>
              <w:spacing w:after="0"/>
              <w:rPr>
                <w:sz w:val="15"/>
                <w:szCs w:val="15"/>
                <w:color w:val="auto"/>
              </w:rPr>
            </w:pP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10,661</w:t>
            </w:r>
          </w:p>
        </w:tc>
        <w:tc>
          <w:tcPr>
            <w:tcW w:w="34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15,440</w:t>
            </w:r>
          </w:p>
        </w:tc>
        <w:tc>
          <w:tcPr>
            <w:tcW w:w="220" w:type="dxa"/>
            <w:vAlign w:val="bottom"/>
          </w:tcPr>
          <w:p>
            <w:pPr>
              <w:spacing w:after="0"/>
              <w:rPr>
                <w:sz w:val="15"/>
                <w:szCs w:val="15"/>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3,655</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360" w:type="dxa"/>
            <w:vAlign w:val="bottom"/>
            <w:tcBorders>
              <w:left w:val="single" w:sz="8" w:color="CFF0FC"/>
            </w:tcBorders>
            <w:gridSpan w:val="4"/>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Construction</w:t>
            </w:r>
          </w:p>
        </w:tc>
        <w:tc>
          <w:tcPr>
            <w:tcW w:w="16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60" w:type="dxa"/>
            <w:vAlign w:val="bottom"/>
            <w:gridSpan w:val="4"/>
          </w:tcPr>
          <w:p>
            <w:pPr>
              <w:ind w:left="200"/>
              <w:spacing w:after="0"/>
              <w:rPr>
                <w:sz w:val="20"/>
                <w:szCs w:val="20"/>
                <w:color w:val="auto"/>
              </w:rPr>
            </w:pPr>
            <w:r>
              <w:rPr>
                <w:rFonts w:ascii="Times New Roman" w:cs="Times New Roman" w:eastAsia="Times New Roman" w:hAnsi="Times New Roman"/>
                <w:sz w:val="14"/>
                <w:szCs w:val="14"/>
                <w:color w:val="auto"/>
              </w:rPr>
              <w:t>SBA</w:t>
            </w: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969</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1,050</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360" w:type="dxa"/>
            <w:vAlign w:val="bottom"/>
            <w:tcBorders>
              <w:left w:val="single" w:sz="8" w:color="CFF0FC"/>
            </w:tcBorders>
            <w:gridSpan w:val="4"/>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16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2,825</w:t>
            </w:r>
          </w:p>
        </w:tc>
        <w:tc>
          <w:tcPr>
            <w:tcW w:w="3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2,712</w:t>
            </w:r>
          </w:p>
        </w:tc>
        <w:tc>
          <w:tcPr>
            <w:tcW w:w="1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2,727</w:t>
            </w:r>
          </w:p>
        </w:tc>
        <w:tc>
          <w:tcPr>
            <w:tcW w:w="3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4,509</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4,672</w:t>
            </w:r>
          </w:p>
        </w:tc>
        <w:tc>
          <w:tcPr>
            <w:tcW w:w="4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60" w:type="dxa"/>
            <w:vAlign w:val="bottom"/>
            <w:gridSpan w:val="4"/>
          </w:tcPr>
          <w:p>
            <w:pPr>
              <w:ind w:left="200"/>
              <w:spacing w:after="0"/>
              <w:rPr>
                <w:sz w:val="20"/>
                <w:szCs w:val="20"/>
                <w:color w:val="auto"/>
              </w:rPr>
            </w:pPr>
            <w:r>
              <w:rPr>
                <w:rFonts w:ascii="Times New Roman" w:cs="Times New Roman" w:eastAsia="Times New Roman" w:hAnsi="Times New Roman"/>
                <w:sz w:val="14"/>
                <w:szCs w:val="14"/>
                <w:color w:val="auto"/>
              </w:rPr>
              <w:t>Dairy &amp; livestock and agribusiness</w:t>
            </w: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360" w:type="dxa"/>
            <w:vAlign w:val="bottom"/>
            <w:tcBorders>
              <w:left w:val="single" w:sz="8" w:color="CFF0FC"/>
            </w:tcBorders>
            <w:gridSpan w:val="4"/>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SFR mortgage</w:t>
            </w:r>
          </w:p>
        </w:tc>
        <w:tc>
          <w:tcPr>
            <w:tcW w:w="16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3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4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60" w:type="dxa"/>
            <w:vAlign w:val="bottom"/>
            <w:gridSpan w:val="4"/>
          </w:tcPr>
          <w:p>
            <w:pPr>
              <w:ind w:left="200"/>
              <w:spacing w:after="0"/>
              <w:rPr>
                <w:sz w:val="20"/>
                <w:szCs w:val="20"/>
                <w:color w:val="auto"/>
              </w:rPr>
            </w:pPr>
            <w:r>
              <w:rPr>
                <w:rFonts w:ascii="Times New Roman" w:cs="Times New Roman" w:eastAsia="Times New Roman" w:hAnsi="Times New Roman"/>
                <w:sz w:val="14"/>
                <w:szCs w:val="14"/>
                <w:color w:val="auto"/>
              </w:rPr>
              <w:t>Consumer and other loans</w:t>
            </w: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360" w:type="dxa"/>
            <w:vAlign w:val="bottom"/>
            <w:tcBorders>
              <w:left w:val="single" w:sz="8" w:color="CFF0FC"/>
              <w:bottom w:val="single" w:sz="8" w:color="CFF0FC"/>
            </w:tcBorders>
            <w:gridSpan w:val="4"/>
            <w:shd w:val="clear" w:color="auto" w:fill="CFF0FC"/>
          </w:tcPr>
          <w:p>
            <w:pPr>
              <w:ind w:lef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21,913</w:t>
            </w:r>
          </w:p>
        </w:tc>
        <w:tc>
          <w:tcPr>
            <w:tcW w:w="34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24,957</w:t>
            </w:r>
          </w:p>
        </w:tc>
        <w:tc>
          <w:tcPr>
            <w:tcW w:w="16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13,810</w:t>
            </w:r>
          </w:p>
        </w:tc>
        <w:tc>
          <w:tcPr>
            <w:tcW w:w="34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21,302</w:t>
            </w:r>
          </w:p>
        </w:tc>
        <w:tc>
          <w:tcPr>
            <w:tcW w:w="2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9,963</w:t>
            </w:r>
          </w:p>
        </w:tc>
        <w:tc>
          <w:tcPr>
            <w:tcW w:w="4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w:t>
            </w:r>
          </w:p>
        </w:tc>
        <w:tc>
          <w:tcPr>
            <w:tcW w:w="0" w:type="dxa"/>
            <w:vAlign w:val="bottom"/>
          </w:tcPr>
          <w:p>
            <w:pPr>
              <w:spacing w:after="0"/>
              <w:rPr>
                <w:sz w:val="1"/>
                <w:szCs w:val="1"/>
                <w:color w:val="auto"/>
              </w:rPr>
            </w:pPr>
          </w:p>
        </w:tc>
      </w:tr>
      <w:tr>
        <w:trPr>
          <w:trHeight w:val="184"/>
        </w:trPr>
        <w:tc>
          <w:tcPr>
            <w:tcW w:w="336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 of Total loans</w:t>
            </w:r>
          </w:p>
        </w:tc>
        <w:tc>
          <w:tcPr>
            <w:tcW w:w="160" w:type="dxa"/>
            <w:vAlign w:val="bottom"/>
          </w:tcPr>
          <w:p>
            <w:pPr>
              <w:spacing w:after="0"/>
              <w:rPr>
                <w:sz w:val="15"/>
                <w:szCs w:val="15"/>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0.26 %</w:t>
            </w:r>
          </w:p>
        </w:tc>
        <w:tc>
          <w:tcPr>
            <w:tcW w:w="240" w:type="dxa"/>
            <w:vAlign w:val="bottom"/>
          </w:tcPr>
          <w:p>
            <w:pPr>
              <w:spacing w:after="0"/>
              <w:rPr>
                <w:sz w:val="15"/>
                <w:szCs w:val="15"/>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0.29 %</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0.16 %</w:t>
            </w:r>
          </w:p>
        </w:tc>
        <w:tc>
          <w:tcPr>
            <w:tcW w:w="140" w:type="dxa"/>
            <w:vAlign w:val="bottom"/>
          </w:tcPr>
          <w:p>
            <w:pPr>
              <w:spacing w:after="0"/>
              <w:rPr>
                <w:sz w:val="15"/>
                <w:szCs w:val="15"/>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0.24 %</w:t>
            </w:r>
          </w:p>
        </w:tc>
        <w:tc>
          <w:tcPr>
            <w:tcW w:w="160" w:type="dxa"/>
            <w:vAlign w:val="bottom"/>
          </w:tcPr>
          <w:p>
            <w:pPr>
              <w:spacing w:after="0"/>
              <w:rPr>
                <w:sz w:val="15"/>
                <w:szCs w:val="15"/>
                <w:color w:val="auto"/>
              </w:rPr>
            </w:pPr>
          </w:p>
        </w:tc>
        <w:tc>
          <w:tcPr>
            <w:tcW w:w="158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0.11 %</w:t>
            </w:r>
          </w:p>
        </w:tc>
        <w:tc>
          <w:tcPr>
            <w:tcW w:w="0" w:type="dxa"/>
            <w:vAlign w:val="bottom"/>
          </w:tcPr>
          <w:p>
            <w:pPr>
              <w:spacing w:after="0"/>
              <w:rPr>
                <w:sz w:val="1"/>
                <w:szCs w:val="1"/>
                <w:color w:val="auto"/>
              </w:rPr>
            </w:pPr>
          </w:p>
        </w:tc>
      </w:tr>
      <w:tr>
        <w:trPr>
          <w:trHeight w:val="161"/>
        </w:trPr>
        <w:tc>
          <w:tcPr>
            <w:tcW w:w="5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360" w:type="dxa"/>
            <w:vAlign w:val="bottom"/>
            <w:tcBorders>
              <w:left w:val="single" w:sz="8" w:color="CFF0FC"/>
            </w:tcBorders>
            <w:gridSpan w:val="4"/>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Past due 30-89 days (accruing):</w:t>
            </w:r>
          </w:p>
        </w:tc>
        <w:tc>
          <w:tcPr>
            <w:tcW w:w="16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940" w:type="dxa"/>
            <w:vAlign w:val="bottom"/>
            <w:tcBorders>
              <w:top w:val="single" w:sz="8" w:color="auto"/>
            </w:tcBorders>
            <w:gridSpan w:val="3"/>
          </w:tcPr>
          <w:p>
            <w:pPr>
              <w:ind w:left="200"/>
              <w:spacing w:after="0"/>
              <w:rPr>
                <w:sz w:val="20"/>
                <w:szCs w:val="20"/>
                <w:color w:val="auto"/>
              </w:rPr>
            </w:pPr>
            <w:r>
              <w:rPr>
                <w:rFonts w:ascii="Times New Roman" w:cs="Times New Roman" w:eastAsia="Times New Roman" w:hAnsi="Times New Roman"/>
                <w:sz w:val="14"/>
                <w:szCs w:val="14"/>
                <w:color w:val="auto"/>
              </w:rPr>
              <w:t>Commercial real estate</w:t>
            </w:r>
          </w:p>
        </w:tc>
        <w:tc>
          <w:tcPr>
            <w:tcW w:w="1420" w:type="dxa"/>
            <w:vAlign w:val="bottom"/>
            <w:tcBorders>
              <w:top w:val="single" w:sz="8" w:color="CFF0FC"/>
            </w:tcBorders>
          </w:tcPr>
          <w:p>
            <w:pPr>
              <w:spacing w:after="0"/>
              <w:rPr>
                <w:sz w:val="15"/>
                <w:szCs w:val="15"/>
                <w:color w:val="auto"/>
              </w:rPr>
            </w:pPr>
          </w:p>
        </w:tc>
        <w:tc>
          <w:tcPr>
            <w:tcW w:w="1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4"/>
                <w:szCs w:val="14"/>
                <w:color w:val="auto"/>
              </w:rPr>
              <w:t>30,701</w:t>
            </w:r>
          </w:p>
        </w:tc>
        <w:tc>
          <w:tcPr>
            <w:tcW w:w="340" w:type="dxa"/>
            <w:vAlign w:val="bottom"/>
            <w:tcBorders>
              <w:top w:val="single" w:sz="8" w:color="CFF0FC"/>
            </w:tcBorders>
          </w:tcPr>
          <w:p>
            <w:pPr>
              <w:spacing w:after="0"/>
              <w:rPr>
                <w:sz w:val="15"/>
                <w:szCs w:val="15"/>
                <w:color w:val="auto"/>
              </w:rPr>
            </w:pPr>
          </w:p>
        </w:tc>
        <w:tc>
          <w:tcPr>
            <w:tcW w:w="240" w:type="dxa"/>
            <w:vAlign w:val="bottom"/>
            <w:tcBorders>
              <w:top w:val="single" w:sz="8" w:color="CFF0FC"/>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60" w:type="dxa"/>
            <w:vAlign w:val="bottom"/>
            <w:tcBorders>
              <w:top w:val="single" w:sz="8" w:color="CFF0FC"/>
            </w:tcBorders>
          </w:tcPr>
          <w:p>
            <w:pPr>
              <w:spacing w:after="0"/>
              <w:rPr>
                <w:sz w:val="15"/>
                <w:szCs w:val="15"/>
                <w:color w:val="auto"/>
              </w:rPr>
            </w:pPr>
          </w:p>
        </w:tc>
        <w:tc>
          <w:tcPr>
            <w:tcW w:w="260" w:type="dxa"/>
            <w:vAlign w:val="bottom"/>
            <w:tcBorders>
              <w:top w:val="single" w:sz="8" w:color="CFF0FC"/>
            </w:tcBorders>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4"/>
                <w:szCs w:val="14"/>
                <w:color w:val="auto"/>
              </w:rPr>
              <w:t>19,781</w:t>
            </w:r>
          </w:p>
        </w:tc>
        <w:tc>
          <w:tcPr>
            <w:tcW w:w="340" w:type="dxa"/>
            <w:vAlign w:val="bottom"/>
            <w:tcBorders>
              <w:top w:val="single" w:sz="8" w:color="CFF0FC"/>
            </w:tcBorders>
          </w:tcPr>
          <w:p>
            <w:pPr>
              <w:spacing w:after="0"/>
              <w:rPr>
                <w:sz w:val="15"/>
                <w:szCs w:val="15"/>
                <w:color w:val="auto"/>
              </w:rPr>
            </w:pPr>
          </w:p>
        </w:tc>
        <w:tc>
          <w:tcPr>
            <w:tcW w:w="1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220" w:type="dxa"/>
            <w:vAlign w:val="bottom"/>
            <w:tcBorders>
              <w:top w:val="single" w:sz="8" w:color="CFF0FC"/>
            </w:tcBorders>
          </w:tcPr>
          <w:p>
            <w:pPr>
              <w:spacing w:after="0"/>
              <w:rPr>
                <w:sz w:val="15"/>
                <w:szCs w:val="15"/>
                <w:color w:val="auto"/>
              </w:rPr>
            </w:pPr>
          </w:p>
        </w:tc>
        <w:tc>
          <w:tcPr>
            <w:tcW w:w="160" w:type="dxa"/>
            <w:vAlign w:val="bottom"/>
            <w:tcBorders>
              <w:top w:val="single" w:sz="8" w:color="CFF0FC"/>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42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60" w:type="dxa"/>
            <w:vAlign w:val="bottom"/>
            <w:tcBorders>
              <w:left w:val="single" w:sz="8" w:color="CFF0FC"/>
            </w:tcBorders>
            <w:gridSpan w:val="4"/>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Construction</w:t>
            </w:r>
          </w:p>
        </w:tc>
        <w:tc>
          <w:tcPr>
            <w:tcW w:w="16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60" w:type="dxa"/>
            <w:vAlign w:val="bottom"/>
            <w:gridSpan w:val="4"/>
          </w:tcPr>
          <w:p>
            <w:pPr>
              <w:ind w:left="200"/>
              <w:spacing w:after="0"/>
              <w:rPr>
                <w:sz w:val="20"/>
                <w:szCs w:val="20"/>
                <w:color w:val="auto"/>
              </w:rPr>
            </w:pPr>
            <w:r>
              <w:rPr>
                <w:rFonts w:ascii="Times New Roman" w:cs="Times New Roman" w:eastAsia="Times New Roman" w:hAnsi="Times New Roman"/>
                <w:sz w:val="14"/>
                <w:szCs w:val="14"/>
                <w:color w:val="auto"/>
              </w:rPr>
              <w:t>SBA</w:t>
            </w:r>
          </w:p>
        </w:tc>
        <w:tc>
          <w:tcPr>
            <w:tcW w:w="160" w:type="dxa"/>
            <w:vAlign w:val="bottom"/>
          </w:tcPr>
          <w:p>
            <w:pPr>
              <w:spacing w:after="0"/>
              <w:rPr>
                <w:sz w:val="15"/>
                <w:szCs w:val="15"/>
                <w:color w:val="auto"/>
              </w:rPr>
            </w:pP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360" w:type="dxa"/>
            <w:vAlign w:val="bottom"/>
            <w:tcBorders>
              <w:left w:val="single" w:sz="8" w:color="CFF0FC"/>
            </w:tcBorders>
            <w:gridSpan w:val="4"/>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16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3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3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60" w:type="dxa"/>
            <w:vAlign w:val="bottom"/>
            <w:gridSpan w:val="4"/>
          </w:tcPr>
          <w:p>
            <w:pPr>
              <w:ind w:left="200"/>
              <w:spacing w:after="0"/>
              <w:rPr>
                <w:sz w:val="20"/>
                <w:szCs w:val="20"/>
                <w:color w:val="auto"/>
              </w:rPr>
            </w:pPr>
            <w:r>
              <w:rPr>
                <w:rFonts w:ascii="Times New Roman" w:cs="Times New Roman" w:eastAsia="Times New Roman" w:hAnsi="Times New Roman"/>
                <w:sz w:val="14"/>
                <w:szCs w:val="14"/>
                <w:color w:val="auto"/>
              </w:rPr>
              <w:t>Dairy &amp; livestock and agribusiness</w:t>
            </w:r>
          </w:p>
        </w:tc>
        <w:tc>
          <w:tcPr>
            <w:tcW w:w="160" w:type="dxa"/>
            <w:vAlign w:val="bottom"/>
          </w:tcPr>
          <w:p>
            <w:pPr>
              <w:spacing w:after="0"/>
              <w:rPr>
                <w:sz w:val="15"/>
                <w:szCs w:val="15"/>
                <w:color w:val="auto"/>
              </w:rPr>
            </w:pP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360" w:type="dxa"/>
            <w:vAlign w:val="bottom"/>
            <w:tcBorders>
              <w:left w:val="single" w:sz="8" w:color="CFF0FC"/>
            </w:tcBorders>
            <w:gridSpan w:val="4"/>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SFR mortgage</w:t>
            </w:r>
          </w:p>
        </w:tc>
        <w:tc>
          <w:tcPr>
            <w:tcW w:w="16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60" w:type="dxa"/>
            <w:vAlign w:val="bottom"/>
            <w:gridSpan w:val="4"/>
          </w:tcPr>
          <w:p>
            <w:pPr>
              <w:ind w:left="200"/>
              <w:spacing w:after="0"/>
              <w:rPr>
                <w:sz w:val="20"/>
                <w:szCs w:val="20"/>
                <w:color w:val="auto"/>
              </w:rPr>
            </w:pPr>
            <w:r>
              <w:rPr>
                <w:rFonts w:ascii="Times New Roman" w:cs="Times New Roman" w:eastAsia="Times New Roman" w:hAnsi="Times New Roman"/>
                <w:sz w:val="14"/>
                <w:szCs w:val="14"/>
                <w:color w:val="auto"/>
              </w:rPr>
              <w:t>Consumer and other loans</w:t>
            </w: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360" w:type="dxa"/>
            <w:vAlign w:val="bottom"/>
            <w:tcBorders>
              <w:left w:val="single" w:sz="8" w:color="CFF0FC"/>
              <w:bottom w:val="single" w:sz="8" w:color="CFF0FC"/>
            </w:tcBorders>
            <w:gridSpan w:val="4"/>
            <w:shd w:val="clear" w:color="auto" w:fill="CFF0FC"/>
          </w:tcPr>
          <w:p>
            <w:pPr>
              <w:ind w:lef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30,765</w:t>
            </w:r>
          </w:p>
        </w:tc>
        <w:tc>
          <w:tcPr>
            <w:tcW w:w="34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146</w:t>
            </w:r>
          </w:p>
        </w:tc>
        <w:tc>
          <w:tcPr>
            <w:tcW w:w="16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20,195</w:t>
            </w:r>
          </w:p>
        </w:tc>
        <w:tc>
          <w:tcPr>
            <w:tcW w:w="34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639</w:t>
            </w:r>
          </w:p>
        </w:tc>
        <w:tc>
          <w:tcPr>
            <w:tcW w:w="2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136</w:t>
            </w:r>
          </w:p>
        </w:tc>
        <w:tc>
          <w:tcPr>
            <w:tcW w:w="42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36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 of Total loans</w:t>
            </w:r>
          </w:p>
        </w:tc>
        <w:tc>
          <w:tcPr>
            <w:tcW w:w="160" w:type="dxa"/>
            <w:vAlign w:val="bottom"/>
          </w:tcPr>
          <w:p>
            <w:pPr>
              <w:spacing w:after="0"/>
              <w:rPr>
                <w:sz w:val="15"/>
                <w:szCs w:val="15"/>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0.36 %</w:t>
            </w:r>
          </w:p>
        </w:tc>
        <w:tc>
          <w:tcPr>
            <w:tcW w:w="240" w:type="dxa"/>
            <w:vAlign w:val="bottom"/>
          </w:tcPr>
          <w:p>
            <w:pPr>
              <w:spacing w:after="0"/>
              <w:rPr>
                <w:sz w:val="15"/>
                <w:szCs w:val="15"/>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0.00 %</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0.23 %</w:t>
            </w:r>
          </w:p>
        </w:tc>
        <w:tc>
          <w:tcPr>
            <w:tcW w:w="140" w:type="dxa"/>
            <w:vAlign w:val="bottom"/>
          </w:tcPr>
          <w:p>
            <w:pPr>
              <w:spacing w:after="0"/>
              <w:rPr>
                <w:sz w:val="15"/>
                <w:szCs w:val="15"/>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0.01 %</w:t>
            </w:r>
          </w:p>
        </w:tc>
        <w:tc>
          <w:tcPr>
            <w:tcW w:w="160" w:type="dxa"/>
            <w:vAlign w:val="bottom"/>
          </w:tcPr>
          <w:p>
            <w:pPr>
              <w:spacing w:after="0"/>
              <w:rPr>
                <w:sz w:val="15"/>
                <w:szCs w:val="15"/>
                <w:color w:val="auto"/>
              </w:rPr>
            </w:pPr>
          </w:p>
        </w:tc>
        <w:tc>
          <w:tcPr>
            <w:tcW w:w="158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0.00 %</w:t>
            </w:r>
          </w:p>
        </w:tc>
        <w:tc>
          <w:tcPr>
            <w:tcW w:w="0" w:type="dxa"/>
            <w:vAlign w:val="bottom"/>
          </w:tcPr>
          <w:p>
            <w:pPr>
              <w:spacing w:after="0"/>
              <w:rPr>
                <w:sz w:val="1"/>
                <w:szCs w:val="1"/>
                <w:color w:val="auto"/>
              </w:rPr>
            </w:pPr>
          </w:p>
        </w:tc>
      </w:tr>
      <w:tr>
        <w:trPr>
          <w:trHeight w:val="161"/>
        </w:trPr>
        <w:tc>
          <w:tcPr>
            <w:tcW w:w="5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00" w:type="dxa"/>
            <w:vAlign w:val="bottom"/>
            <w:tcBorders>
              <w:left w:val="single" w:sz="8" w:color="CFF0FC"/>
              <w:bottom w:val="single" w:sz="8" w:color="auto"/>
            </w:tcBorders>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OREO:</w:t>
            </w:r>
          </w:p>
        </w:tc>
        <w:tc>
          <w:tcPr>
            <w:tcW w:w="2860" w:type="dxa"/>
            <w:vAlign w:val="bottom"/>
            <w:tcBorders>
              <w:bottom w:val="single" w:sz="8" w:color="CFF0FC"/>
            </w:tcBorders>
            <w:gridSpan w:val="3"/>
            <w:shd w:val="clear" w:color="auto" w:fill="CFF0FC"/>
          </w:tcPr>
          <w:p>
            <w:pPr>
              <w:spacing w:after="0"/>
              <w:rPr>
                <w:sz w:val="13"/>
                <w:szCs w:val="13"/>
                <w:color w:val="auto"/>
              </w:rPr>
            </w:pPr>
          </w:p>
        </w:tc>
        <w:tc>
          <w:tcPr>
            <w:tcW w:w="160" w:type="dxa"/>
            <w:vAlign w:val="bottom"/>
            <w:tcBorders>
              <w:bottom w:val="single" w:sz="8" w:color="CFF0FC"/>
            </w:tcBorders>
            <w:shd w:val="clear" w:color="auto" w:fill="CFF0FC"/>
          </w:tcPr>
          <w:p>
            <w:pPr>
              <w:spacing w:after="0"/>
              <w:rPr>
                <w:sz w:val="13"/>
                <w:szCs w:val="13"/>
                <w:color w:val="auto"/>
              </w:rPr>
            </w:pPr>
          </w:p>
        </w:tc>
        <w:tc>
          <w:tcPr>
            <w:tcW w:w="1160" w:type="dxa"/>
            <w:vAlign w:val="bottom"/>
            <w:tcBorders>
              <w:bottom w:val="single" w:sz="8" w:color="CFF0FC"/>
            </w:tcBorders>
            <w:shd w:val="clear" w:color="auto" w:fill="CFF0FC"/>
          </w:tcPr>
          <w:p>
            <w:pPr>
              <w:spacing w:after="0"/>
              <w:rPr>
                <w:sz w:val="13"/>
                <w:szCs w:val="13"/>
                <w:color w:val="auto"/>
              </w:rPr>
            </w:pPr>
          </w:p>
        </w:tc>
        <w:tc>
          <w:tcPr>
            <w:tcW w:w="34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CFF0FC"/>
            </w:tcBorders>
            <w:shd w:val="clear" w:color="auto" w:fill="CFF0FC"/>
          </w:tcPr>
          <w:p>
            <w:pPr>
              <w:spacing w:after="0"/>
              <w:rPr>
                <w:sz w:val="13"/>
                <w:szCs w:val="13"/>
                <w:color w:val="auto"/>
              </w:rPr>
            </w:pPr>
          </w:p>
        </w:tc>
        <w:tc>
          <w:tcPr>
            <w:tcW w:w="102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CFF0FC"/>
            </w:tcBorders>
            <w:shd w:val="clear" w:color="auto" w:fill="CFF0FC"/>
          </w:tcPr>
          <w:p>
            <w:pPr>
              <w:spacing w:after="0"/>
              <w:rPr>
                <w:sz w:val="13"/>
                <w:szCs w:val="13"/>
                <w:color w:val="auto"/>
              </w:rPr>
            </w:pPr>
          </w:p>
        </w:tc>
        <w:tc>
          <w:tcPr>
            <w:tcW w:w="6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1020" w:type="dxa"/>
            <w:vAlign w:val="bottom"/>
            <w:tcBorders>
              <w:bottom w:val="single" w:sz="8" w:color="CFF0FC"/>
            </w:tcBorders>
            <w:shd w:val="clear" w:color="auto" w:fill="CFF0FC"/>
          </w:tcPr>
          <w:p>
            <w:pPr>
              <w:spacing w:after="0"/>
              <w:rPr>
                <w:sz w:val="13"/>
                <w:szCs w:val="13"/>
                <w:color w:val="auto"/>
              </w:rPr>
            </w:pPr>
          </w:p>
        </w:tc>
        <w:tc>
          <w:tcPr>
            <w:tcW w:w="34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108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CFF0FC"/>
            </w:tcBorders>
            <w:shd w:val="clear" w:color="auto" w:fill="CFF0FC"/>
          </w:tcPr>
          <w:p>
            <w:pPr>
              <w:spacing w:after="0"/>
              <w:rPr>
                <w:sz w:val="13"/>
                <w:szCs w:val="13"/>
                <w:color w:val="auto"/>
              </w:rPr>
            </w:pPr>
          </w:p>
        </w:tc>
        <w:tc>
          <w:tcPr>
            <w:tcW w:w="1160" w:type="dxa"/>
            <w:vAlign w:val="bottom"/>
            <w:tcBorders>
              <w:bottom w:val="single" w:sz="8" w:color="CFF0FC"/>
            </w:tcBorders>
            <w:shd w:val="clear" w:color="auto" w:fill="CFF0FC"/>
          </w:tcPr>
          <w:p>
            <w:pPr>
              <w:spacing w:after="0"/>
              <w:rPr>
                <w:sz w:val="13"/>
                <w:szCs w:val="13"/>
                <w:color w:val="auto"/>
              </w:rPr>
            </w:pPr>
          </w:p>
        </w:tc>
        <w:tc>
          <w:tcPr>
            <w:tcW w:w="42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360" w:type="dxa"/>
            <w:vAlign w:val="bottom"/>
            <w:gridSpan w:val="4"/>
          </w:tcPr>
          <w:p>
            <w:pPr>
              <w:ind w:left="200"/>
              <w:spacing w:after="0"/>
              <w:rPr>
                <w:sz w:val="20"/>
                <w:szCs w:val="20"/>
                <w:color w:val="auto"/>
              </w:rPr>
            </w:pPr>
            <w:r>
              <w:rPr>
                <w:rFonts w:ascii="Times New Roman" w:cs="Times New Roman" w:eastAsia="Times New Roman" w:hAnsi="Times New Roman"/>
                <w:sz w:val="14"/>
                <w:szCs w:val="14"/>
                <w:color w:val="auto"/>
              </w:rPr>
              <w:t>Commercial real estate</w:t>
            </w:r>
          </w:p>
        </w:tc>
        <w:tc>
          <w:tcPr>
            <w:tcW w:w="160" w:type="dxa"/>
            <w:vAlign w:val="bottom"/>
          </w:tcPr>
          <w:p>
            <w:pPr>
              <w:spacing w:after="0"/>
              <w:rPr>
                <w:sz w:val="15"/>
                <w:szCs w:val="15"/>
                <w:color w:val="auto"/>
              </w:rPr>
            </w:pP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60" w:type="dxa"/>
            <w:vAlign w:val="bottom"/>
            <w:tcBorders>
              <w:left w:val="single" w:sz="8" w:color="CFF0FC"/>
            </w:tcBorders>
            <w:gridSpan w:val="4"/>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SBA</w:t>
            </w:r>
          </w:p>
        </w:tc>
        <w:tc>
          <w:tcPr>
            <w:tcW w:w="16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360" w:type="dxa"/>
            <w:vAlign w:val="bottom"/>
            <w:gridSpan w:val="4"/>
          </w:tcPr>
          <w:p>
            <w:pPr>
              <w:ind w:left="20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160" w:type="dxa"/>
            <w:vAlign w:val="bottom"/>
          </w:tcPr>
          <w:p>
            <w:pPr>
              <w:spacing w:after="0"/>
              <w:rPr>
                <w:sz w:val="15"/>
                <w:szCs w:val="15"/>
                <w:color w:val="auto"/>
              </w:rPr>
            </w:pP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360" w:type="dxa"/>
            <w:vAlign w:val="bottom"/>
            <w:tcBorders>
              <w:left w:val="single" w:sz="8" w:color="CFF0FC"/>
              <w:bottom w:val="single" w:sz="8" w:color="CFF0FC"/>
            </w:tcBorders>
            <w:gridSpan w:val="4"/>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SFR mortgage</w:t>
            </w:r>
          </w:p>
        </w:tc>
        <w:tc>
          <w:tcPr>
            <w:tcW w:w="160" w:type="dxa"/>
            <w:vAlign w:val="bottom"/>
            <w:tcBorders>
              <w:bottom w:val="single" w:sz="8" w:color="auto"/>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647</w:t>
            </w:r>
          </w:p>
        </w:tc>
        <w:tc>
          <w:tcPr>
            <w:tcW w:w="3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647</w:t>
            </w:r>
          </w:p>
        </w:tc>
        <w:tc>
          <w:tcPr>
            <w:tcW w:w="160" w:type="dxa"/>
            <w:vAlign w:val="bottom"/>
            <w:tcBorders>
              <w:bottom w:val="single" w:sz="8" w:color="CFF0FC"/>
            </w:tcBorders>
            <w:shd w:val="clear" w:color="auto" w:fill="CFF0FC"/>
          </w:tcPr>
          <w:p>
            <w:pPr>
              <w:spacing w:after="0"/>
              <w:rPr>
                <w:sz w:val="15"/>
                <w:szCs w:val="15"/>
                <w:color w:val="auto"/>
              </w:rPr>
            </w:pPr>
          </w:p>
        </w:tc>
        <w:tc>
          <w:tcPr>
            <w:tcW w:w="6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647</w:t>
            </w:r>
          </w:p>
        </w:tc>
        <w:tc>
          <w:tcPr>
            <w:tcW w:w="3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36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647</w:t>
            </w:r>
          </w:p>
        </w:tc>
        <w:tc>
          <w:tcPr>
            <w:tcW w:w="340" w:type="dxa"/>
            <w:vAlign w:val="bottom"/>
          </w:tcPr>
          <w:p>
            <w:pPr>
              <w:spacing w:after="0"/>
              <w:rPr>
                <w:sz w:val="14"/>
                <w:szCs w:val="14"/>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647</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647</w:t>
            </w:r>
          </w:p>
        </w:tc>
        <w:tc>
          <w:tcPr>
            <w:tcW w:w="34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4"/>
                <w:szCs w:val="14"/>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500" w:type="dxa"/>
            <w:vAlign w:val="bottom"/>
            <w:tcBorders>
              <w:left w:val="single" w:sz="8" w:color="CFF0FC"/>
            </w:tcBorders>
            <w:shd w:val="clear" w:color="auto" w:fill="CFF0FC"/>
          </w:tcPr>
          <w:p>
            <w:pPr>
              <w:spacing w:after="0"/>
              <w:rPr>
                <w:sz w:val="11"/>
                <w:szCs w:val="11"/>
                <w:color w:val="auto"/>
              </w:rPr>
            </w:pPr>
          </w:p>
        </w:tc>
        <w:tc>
          <w:tcPr>
            <w:tcW w:w="2860" w:type="dxa"/>
            <w:vAlign w:val="bottom"/>
            <w:gridSpan w:val="3"/>
            <w:shd w:val="clear" w:color="auto" w:fill="CFF0FC"/>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auto"/>
              </w:rPr>
              <w:t>Total nonperforming, past due,</w:t>
            </w: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53,325</w:t>
            </w:r>
          </w:p>
        </w:tc>
        <w:tc>
          <w:tcPr>
            <w:tcW w:w="340" w:type="dxa"/>
            <w:vAlign w:val="bottom"/>
            <w:shd w:val="clear" w:color="auto" w:fill="CFF0FC"/>
          </w:tcPr>
          <w:p>
            <w:pPr>
              <w:spacing w:after="0"/>
              <w:rPr>
                <w:sz w:val="11"/>
                <w:szCs w:val="11"/>
                <w:color w:val="auto"/>
              </w:rPr>
            </w:pPr>
          </w:p>
        </w:tc>
        <w:tc>
          <w:tcPr>
            <w:tcW w:w="24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25,750</w:t>
            </w:r>
          </w:p>
        </w:tc>
        <w:tc>
          <w:tcPr>
            <w:tcW w:w="160" w:type="dxa"/>
            <w:vAlign w:val="bottom"/>
            <w:shd w:val="clear" w:color="auto" w:fill="CFF0FC"/>
          </w:tcPr>
          <w:p>
            <w:pPr>
              <w:spacing w:after="0"/>
              <w:rPr>
                <w:sz w:val="11"/>
                <w:szCs w:val="11"/>
                <w:color w:val="auto"/>
              </w:rPr>
            </w:pPr>
          </w:p>
        </w:tc>
        <w:tc>
          <w:tcPr>
            <w:tcW w:w="60" w:type="dxa"/>
            <w:vAlign w:val="bottom"/>
            <w:vMerge w:val="restart"/>
            <w:shd w:val="clear" w:color="auto" w:fill="CFF0FC"/>
          </w:tcPr>
          <w:p>
            <w:pPr>
              <w:spacing w:after="0"/>
              <w:rPr>
                <w:sz w:val="11"/>
                <w:szCs w:val="11"/>
                <w:color w:val="auto"/>
              </w:rPr>
            </w:pPr>
          </w:p>
        </w:tc>
        <w:tc>
          <w:tcPr>
            <w:tcW w:w="20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34,652</w:t>
            </w:r>
          </w:p>
        </w:tc>
        <w:tc>
          <w:tcPr>
            <w:tcW w:w="340" w:type="dxa"/>
            <w:vAlign w:val="bottom"/>
            <w:shd w:val="clear" w:color="auto" w:fill="CFF0FC"/>
          </w:tcPr>
          <w:p>
            <w:pPr>
              <w:spacing w:after="0"/>
              <w:rPr>
                <w:sz w:val="11"/>
                <w:szCs w:val="11"/>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21,941</w:t>
            </w:r>
          </w:p>
        </w:tc>
        <w:tc>
          <w:tcPr>
            <w:tcW w:w="220" w:type="dxa"/>
            <w:vAlign w:val="bottom"/>
            <w:shd w:val="clear" w:color="auto" w:fill="CFF0FC"/>
          </w:tcPr>
          <w:p>
            <w:pPr>
              <w:spacing w:after="0"/>
              <w:rPr>
                <w:sz w:val="11"/>
                <w:szCs w:val="11"/>
                <w:color w:val="auto"/>
              </w:rPr>
            </w:pPr>
          </w:p>
        </w:tc>
        <w:tc>
          <w:tcPr>
            <w:tcW w:w="16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10,099</w:t>
            </w:r>
          </w:p>
        </w:tc>
        <w:tc>
          <w:tcPr>
            <w:tcW w:w="4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500" w:type="dxa"/>
            <w:vAlign w:val="bottom"/>
            <w:tcBorders>
              <w:left w:val="single" w:sz="8" w:color="CFF0FC"/>
              <w:bottom w:val="single" w:sz="8" w:color="CFF0FC"/>
            </w:tcBorders>
            <w:shd w:val="clear" w:color="auto" w:fill="CFF0FC"/>
          </w:tcPr>
          <w:p>
            <w:pPr>
              <w:spacing w:after="0"/>
              <w:rPr>
                <w:sz w:val="16"/>
                <w:szCs w:val="16"/>
                <w:color w:val="auto"/>
              </w:rPr>
            </w:pPr>
          </w:p>
        </w:tc>
        <w:tc>
          <w:tcPr>
            <w:tcW w:w="2860" w:type="dxa"/>
            <w:vAlign w:val="bottom"/>
            <w:tcBorders>
              <w:bottom w:val="single" w:sz="8" w:color="CFF0FC"/>
            </w:tcBorders>
            <w:gridSpan w:val="3"/>
            <w:shd w:val="clear" w:color="auto" w:fill="CFF0FC"/>
          </w:tcPr>
          <w:p>
            <w:pPr>
              <w:ind w:left="160"/>
              <w:spacing w:after="0" w:line="127" w:lineRule="exact"/>
              <w:rPr>
                <w:sz w:val="20"/>
                <w:szCs w:val="20"/>
                <w:color w:val="auto"/>
              </w:rPr>
            </w:pPr>
            <w:r>
              <w:rPr>
                <w:rFonts w:ascii="Times New Roman" w:cs="Times New Roman" w:eastAsia="Times New Roman" w:hAnsi="Times New Roman"/>
                <w:sz w:val="14"/>
                <w:szCs w:val="14"/>
                <w:b w:val="1"/>
                <w:bCs w:val="1"/>
                <w:color w:val="auto"/>
              </w:rPr>
              <w:t>and OREO</w:t>
            </w:r>
          </w:p>
        </w:tc>
        <w:tc>
          <w:tcPr>
            <w:tcW w:w="160" w:type="dxa"/>
            <w:vAlign w:val="bottom"/>
            <w:tcBorders>
              <w:bottom w:val="single" w:sz="8" w:color="auto"/>
            </w:tcBorders>
            <w:vMerge w:val="continue"/>
            <w:shd w:val="clear" w:color="auto" w:fill="CFF0FC"/>
          </w:tcPr>
          <w:p>
            <w:pPr>
              <w:spacing w:after="0"/>
              <w:rPr>
                <w:sz w:val="16"/>
                <w:szCs w:val="16"/>
                <w:color w:val="auto"/>
              </w:rPr>
            </w:pPr>
          </w:p>
        </w:tc>
        <w:tc>
          <w:tcPr>
            <w:tcW w:w="1160" w:type="dxa"/>
            <w:vAlign w:val="bottom"/>
            <w:tcBorders>
              <w:bottom w:val="single" w:sz="8" w:color="auto"/>
            </w:tcBorders>
            <w:vMerge w:val="continue"/>
            <w:shd w:val="clear" w:color="auto" w:fill="CFF0FC"/>
          </w:tcPr>
          <w:p>
            <w:pPr>
              <w:spacing w:after="0"/>
              <w:rPr>
                <w:sz w:val="16"/>
                <w:szCs w:val="16"/>
                <w:color w:val="auto"/>
              </w:rPr>
            </w:pPr>
          </w:p>
        </w:tc>
        <w:tc>
          <w:tcPr>
            <w:tcW w:w="34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vMerge w:val="continue"/>
            <w:shd w:val="clear" w:color="auto" w:fill="CFF0FC"/>
          </w:tcPr>
          <w:p>
            <w:pPr>
              <w:spacing w:after="0"/>
              <w:rPr>
                <w:sz w:val="16"/>
                <w:szCs w:val="16"/>
                <w:color w:val="auto"/>
              </w:rPr>
            </w:pPr>
          </w:p>
        </w:tc>
        <w:tc>
          <w:tcPr>
            <w:tcW w:w="1020" w:type="dxa"/>
            <w:vAlign w:val="bottom"/>
            <w:tcBorders>
              <w:bottom w:val="single" w:sz="8" w:color="auto"/>
            </w:tcBorders>
            <w:vMerge w:val="continue"/>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60" w:type="dxa"/>
            <w:vAlign w:val="bottom"/>
            <w:tcBorders>
              <w:bottom w:val="single" w:sz="8" w:color="CFF0FC"/>
            </w:tcBorders>
            <w:vMerge w:val="continue"/>
            <w:shd w:val="clear" w:color="auto" w:fill="CFF0FC"/>
          </w:tcPr>
          <w:p>
            <w:pPr>
              <w:spacing w:after="0"/>
              <w:rPr>
                <w:sz w:val="16"/>
                <w:szCs w:val="16"/>
                <w:color w:val="auto"/>
              </w:rPr>
            </w:pPr>
          </w:p>
        </w:tc>
        <w:tc>
          <w:tcPr>
            <w:tcW w:w="200" w:type="dxa"/>
            <w:vAlign w:val="bottom"/>
            <w:tcBorders>
              <w:bottom w:val="single" w:sz="8" w:color="auto"/>
            </w:tcBorders>
            <w:vMerge w:val="continue"/>
            <w:shd w:val="clear" w:color="auto" w:fill="CFF0FC"/>
          </w:tcPr>
          <w:p>
            <w:pPr>
              <w:spacing w:after="0"/>
              <w:rPr>
                <w:sz w:val="16"/>
                <w:szCs w:val="16"/>
                <w:color w:val="auto"/>
              </w:rPr>
            </w:pPr>
          </w:p>
        </w:tc>
        <w:tc>
          <w:tcPr>
            <w:tcW w:w="1020" w:type="dxa"/>
            <w:vAlign w:val="bottom"/>
            <w:tcBorders>
              <w:bottom w:val="single" w:sz="8" w:color="auto"/>
            </w:tcBorders>
            <w:vMerge w:val="continue"/>
            <w:shd w:val="clear" w:color="auto" w:fill="CFF0FC"/>
          </w:tcPr>
          <w:p>
            <w:pPr>
              <w:spacing w:after="0"/>
              <w:rPr>
                <w:sz w:val="16"/>
                <w:szCs w:val="16"/>
                <w:color w:val="auto"/>
              </w:rPr>
            </w:pPr>
          </w:p>
        </w:tc>
        <w:tc>
          <w:tcPr>
            <w:tcW w:w="34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vMerge w:val="continue"/>
            <w:shd w:val="clear" w:color="auto" w:fill="CFF0FC"/>
          </w:tcPr>
          <w:p>
            <w:pPr>
              <w:spacing w:after="0"/>
              <w:rPr>
                <w:sz w:val="16"/>
                <w:szCs w:val="16"/>
                <w:color w:val="auto"/>
              </w:rPr>
            </w:pPr>
          </w:p>
        </w:tc>
        <w:tc>
          <w:tcPr>
            <w:tcW w:w="1080" w:type="dxa"/>
            <w:vAlign w:val="bottom"/>
            <w:tcBorders>
              <w:bottom w:val="single" w:sz="8" w:color="auto"/>
            </w:tcBorders>
            <w:vMerge w:val="continue"/>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vMerge w:val="continue"/>
            <w:shd w:val="clear" w:color="auto" w:fill="CFF0FC"/>
          </w:tcPr>
          <w:p>
            <w:pPr>
              <w:spacing w:after="0"/>
              <w:rPr>
                <w:sz w:val="16"/>
                <w:szCs w:val="16"/>
                <w:color w:val="auto"/>
              </w:rPr>
            </w:pPr>
          </w:p>
        </w:tc>
        <w:tc>
          <w:tcPr>
            <w:tcW w:w="1160" w:type="dxa"/>
            <w:vAlign w:val="bottom"/>
            <w:tcBorders>
              <w:bottom w:val="single" w:sz="8" w:color="auto"/>
            </w:tcBorders>
            <w:vMerge w:val="continue"/>
            <w:shd w:val="clear" w:color="auto" w:fill="CFF0FC"/>
          </w:tcPr>
          <w:p>
            <w:pPr>
              <w:spacing w:after="0"/>
              <w:rPr>
                <w:sz w:val="16"/>
                <w:szCs w:val="16"/>
                <w:color w:val="auto"/>
              </w:rPr>
            </w:pPr>
          </w:p>
        </w:tc>
        <w:tc>
          <w:tcPr>
            <w:tcW w:w="4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500" w:type="dxa"/>
            <w:vAlign w:val="bottom"/>
          </w:tcPr>
          <w:p>
            <w:pPr>
              <w:spacing w:after="0"/>
              <w:rPr>
                <w:sz w:val="13"/>
                <w:szCs w:val="13"/>
                <w:color w:val="auto"/>
              </w:rPr>
            </w:pPr>
          </w:p>
        </w:tc>
        <w:tc>
          <w:tcPr>
            <w:tcW w:w="2860" w:type="dxa"/>
            <w:vAlign w:val="bottom"/>
            <w:gridSpan w:val="3"/>
          </w:tcPr>
          <w:p>
            <w:pPr>
              <w:ind w:left="60"/>
              <w:spacing w:after="0" w:line="156" w:lineRule="exact"/>
              <w:rPr>
                <w:sz w:val="20"/>
                <w:szCs w:val="20"/>
                <w:color w:val="auto"/>
              </w:rPr>
            </w:pPr>
            <w:r>
              <w:rPr>
                <w:rFonts w:ascii="Times New Roman" w:cs="Times New Roman" w:eastAsia="Times New Roman" w:hAnsi="Times New Roman"/>
                <w:sz w:val="14"/>
                <w:szCs w:val="14"/>
                <w:b w:val="1"/>
                <w:bCs w:val="1"/>
                <w:color w:val="auto"/>
              </w:rPr>
              <w:t>% of Total loans</w:t>
            </w:r>
          </w:p>
        </w:tc>
        <w:tc>
          <w:tcPr>
            <w:tcW w:w="160" w:type="dxa"/>
            <w:vAlign w:val="bottom"/>
          </w:tcPr>
          <w:p>
            <w:pPr>
              <w:spacing w:after="0"/>
              <w:rPr>
                <w:sz w:val="13"/>
                <w:szCs w:val="13"/>
                <w:color w:val="auto"/>
              </w:rPr>
            </w:pPr>
          </w:p>
        </w:tc>
        <w:tc>
          <w:tcPr>
            <w:tcW w:w="1500" w:type="dxa"/>
            <w:vAlign w:val="bottom"/>
            <w:gridSpan w:val="2"/>
          </w:tcPr>
          <w:p>
            <w:pPr>
              <w:jc w:val="right"/>
              <w:ind w:right="180"/>
              <w:spacing w:after="0" w:line="156" w:lineRule="exact"/>
              <w:rPr>
                <w:sz w:val="20"/>
                <w:szCs w:val="20"/>
                <w:color w:val="auto"/>
              </w:rPr>
            </w:pPr>
            <w:r>
              <w:rPr>
                <w:rFonts w:ascii="Times New Roman" w:cs="Times New Roman" w:eastAsia="Times New Roman" w:hAnsi="Times New Roman"/>
                <w:sz w:val="14"/>
                <w:szCs w:val="14"/>
                <w:b w:val="1"/>
                <w:bCs w:val="1"/>
                <w:color w:val="auto"/>
              </w:rPr>
              <w:t>0.62 %</w:t>
            </w:r>
          </w:p>
        </w:tc>
        <w:tc>
          <w:tcPr>
            <w:tcW w:w="240" w:type="dxa"/>
            <w:vAlign w:val="bottom"/>
          </w:tcPr>
          <w:p>
            <w:pPr>
              <w:spacing w:after="0"/>
              <w:rPr>
                <w:sz w:val="13"/>
                <w:szCs w:val="13"/>
                <w:color w:val="auto"/>
              </w:rPr>
            </w:pPr>
          </w:p>
        </w:tc>
        <w:tc>
          <w:tcPr>
            <w:tcW w:w="118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4"/>
                <w:szCs w:val="14"/>
                <w:b w:val="1"/>
                <w:bCs w:val="1"/>
                <w:color w:val="auto"/>
              </w:rPr>
              <w:t>0.30 %</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gridSpan w:val="2"/>
          </w:tcPr>
          <w:p>
            <w:pPr>
              <w:jc w:val="right"/>
              <w:ind w:right="180"/>
              <w:spacing w:after="0" w:line="156" w:lineRule="exact"/>
              <w:rPr>
                <w:sz w:val="20"/>
                <w:szCs w:val="20"/>
                <w:color w:val="auto"/>
              </w:rPr>
            </w:pPr>
            <w:r>
              <w:rPr>
                <w:rFonts w:ascii="Times New Roman" w:cs="Times New Roman" w:eastAsia="Times New Roman" w:hAnsi="Times New Roman"/>
                <w:sz w:val="14"/>
                <w:szCs w:val="14"/>
                <w:b w:val="1"/>
                <w:bCs w:val="1"/>
                <w:color w:val="auto"/>
              </w:rPr>
              <w:t>0.40 %</w:t>
            </w:r>
          </w:p>
        </w:tc>
        <w:tc>
          <w:tcPr>
            <w:tcW w:w="140" w:type="dxa"/>
            <w:vAlign w:val="bottom"/>
          </w:tcPr>
          <w:p>
            <w:pPr>
              <w:spacing w:after="0"/>
              <w:rPr>
                <w:sz w:val="13"/>
                <w:szCs w:val="13"/>
                <w:color w:val="auto"/>
              </w:rPr>
            </w:pPr>
          </w:p>
        </w:tc>
        <w:tc>
          <w:tcPr>
            <w:tcW w:w="1300" w:type="dxa"/>
            <w:vAlign w:val="bottom"/>
            <w:gridSpan w:val="2"/>
          </w:tcPr>
          <w:p>
            <w:pPr>
              <w:jc w:val="right"/>
              <w:ind w:right="60"/>
              <w:spacing w:after="0" w:line="156" w:lineRule="exact"/>
              <w:rPr>
                <w:sz w:val="20"/>
                <w:szCs w:val="20"/>
                <w:color w:val="auto"/>
              </w:rPr>
            </w:pPr>
            <w:r>
              <w:rPr>
                <w:rFonts w:ascii="Times New Roman" w:cs="Times New Roman" w:eastAsia="Times New Roman" w:hAnsi="Times New Roman"/>
                <w:sz w:val="14"/>
                <w:szCs w:val="14"/>
                <w:b w:val="1"/>
                <w:bCs w:val="1"/>
                <w:color w:val="auto"/>
              </w:rPr>
              <w:t>0.25 %</w:t>
            </w:r>
          </w:p>
        </w:tc>
        <w:tc>
          <w:tcPr>
            <w:tcW w:w="160" w:type="dxa"/>
            <w:vAlign w:val="bottom"/>
          </w:tcPr>
          <w:p>
            <w:pPr>
              <w:spacing w:after="0"/>
              <w:rPr>
                <w:sz w:val="13"/>
                <w:szCs w:val="13"/>
                <w:color w:val="auto"/>
              </w:rPr>
            </w:pPr>
          </w:p>
        </w:tc>
        <w:tc>
          <w:tcPr>
            <w:tcW w:w="1580" w:type="dxa"/>
            <w:vAlign w:val="bottom"/>
            <w:gridSpan w:val="2"/>
          </w:tcPr>
          <w:p>
            <w:pPr>
              <w:jc w:val="right"/>
              <w:ind w:right="188"/>
              <w:spacing w:after="0" w:line="156" w:lineRule="exact"/>
              <w:rPr>
                <w:sz w:val="20"/>
                <w:szCs w:val="20"/>
                <w:color w:val="auto"/>
              </w:rPr>
            </w:pPr>
            <w:r>
              <w:rPr>
                <w:rFonts w:ascii="Times New Roman" w:cs="Times New Roman" w:eastAsia="Times New Roman" w:hAnsi="Times New Roman"/>
                <w:sz w:val="14"/>
                <w:szCs w:val="14"/>
                <w:b w:val="1"/>
                <w:bCs w:val="1"/>
                <w:color w:val="auto"/>
              </w:rPr>
              <w:t>0.11 %</w:t>
            </w:r>
          </w:p>
        </w:tc>
        <w:tc>
          <w:tcPr>
            <w:tcW w:w="0" w:type="dxa"/>
            <w:vAlign w:val="bottom"/>
          </w:tcPr>
          <w:p>
            <w:pPr>
              <w:spacing w:after="0"/>
              <w:rPr>
                <w:sz w:val="1"/>
                <w:szCs w:val="1"/>
                <w:color w:val="auto"/>
              </w:rPr>
            </w:pPr>
          </w:p>
        </w:tc>
      </w:tr>
      <w:tr>
        <w:trPr>
          <w:trHeight w:val="175"/>
        </w:trPr>
        <w:tc>
          <w:tcPr>
            <w:tcW w:w="500" w:type="dxa"/>
            <w:vAlign w:val="bottom"/>
            <w:tcBorders>
              <w:left w:val="single" w:sz="8" w:color="CFF0FC"/>
              <w:bottom w:val="single" w:sz="8" w:color="CFF0FC"/>
            </w:tcBorders>
            <w:shd w:val="clear" w:color="auto" w:fill="CFF0FC"/>
          </w:tcPr>
          <w:p>
            <w:pPr>
              <w:spacing w:after="0"/>
              <w:rPr>
                <w:sz w:val="15"/>
                <w:szCs w:val="15"/>
                <w:color w:val="auto"/>
              </w:rPr>
            </w:pPr>
          </w:p>
        </w:tc>
        <w:tc>
          <w:tcPr>
            <w:tcW w:w="880" w:type="dxa"/>
            <w:vAlign w:val="bottom"/>
            <w:tcBorders>
              <w:bottom w:val="single" w:sz="8" w:color="CFF0FC"/>
            </w:tcBorders>
            <w:shd w:val="clear" w:color="auto" w:fill="CFF0FC"/>
          </w:tcPr>
          <w:p>
            <w:pPr>
              <w:spacing w:after="0"/>
              <w:rPr>
                <w:sz w:val="15"/>
                <w:szCs w:val="15"/>
                <w:color w:val="auto"/>
              </w:rPr>
            </w:pPr>
          </w:p>
        </w:tc>
        <w:tc>
          <w:tcPr>
            <w:tcW w:w="560" w:type="dxa"/>
            <w:vAlign w:val="bottom"/>
            <w:tcBorders>
              <w:bottom w:val="single" w:sz="8" w:color="CFF0FC"/>
            </w:tcBorders>
            <w:shd w:val="clear" w:color="auto" w:fill="CFF0FC"/>
          </w:tcPr>
          <w:p>
            <w:pPr>
              <w:spacing w:after="0"/>
              <w:rPr>
                <w:sz w:val="15"/>
                <w:szCs w:val="15"/>
                <w:color w:val="auto"/>
              </w:rPr>
            </w:pPr>
          </w:p>
        </w:tc>
        <w:tc>
          <w:tcPr>
            <w:tcW w:w="14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spacing w:after="0"/>
              <w:rPr>
                <w:sz w:val="15"/>
                <w:szCs w:val="15"/>
                <w:color w:val="auto"/>
              </w:rPr>
            </w:pPr>
          </w:p>
        </w:tc>
        <w:tc>
          <w:tcPr>
            <w:tcW w:w="3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6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spacing w:after="0"/>
              <w:rPr>
                <w:sz w:val="15"/>
                <w:szCs w:val="15"/>
                <w:color w:val="auto"/>
              </w:rPr>
            </w:pPr>
          </w:p>
        </w:tc>
        <w:tc>
          <w:tcPr>
            <w:tcW w:w="3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spacing w:after="0"/>
              <w:rPr>
                <w:sz w:val="15"/>
                <w:szCs w:val="15"/>
                <w:color w:val="auto"/>
              </w:rPr>
            </w:pPr>
          </w:p>
        </w:tc>
        <w:tc>
          <w:tcPr>
            <w:tcW w:w="4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360" w:type="dxa"/>
            <w:vAlign w:val="bottom"/>
            <w:gridSpan w:val="4"/>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Classified Loans</w:t>
            </w:r>
          </w:p>
        </w:tc>
        <w:tc>
          <w:tcPr>
            <w:tcW w:w="1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124,606</w:t>
            </w:r>
          </w:p>
        </w:tc>
        <w:tc>
          <w:tcPr>
            <w:tcW w:w="340" w:type="dxa"/>
            <w:vAlign w:val="bottom"/>
          </w:tcPr>
          <w:p>
            <w:pPr>
              <w:spacing w:after="0"/>
              <w:rPr>
                <w:sz w:val="14"/>
                <w:szCs w:val="14"/>
                <w:color w:val="auto"/>
              </w:rPr>
            </w:pPr>
          </w:p>
        </w:tc>
        <w:tc>
          <w:tcPr>
            <w:tcW w:w="240" w:type="dxa"/>
            <w:vAlign w:val="bottom"/>
          </w:tcPr>
          <w:p>
            <w:pPr>
              <w:jc w:val="right"/>
              <w:ind w:right="68"/>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124,728</w:t>
            </w:r>
          </w:p>
        </w:tc>
        <w:tc>
          <w:tcPr>
            <w:tcW w:w="160" w:type="dxa"/>
            <w:vAlign w:val="bottom"/>
          </w:tcPr>
          <w:p>
            <w:pPr>
              <w:spacing w:after="0"/>
              <w:rPr>
                <w:sz w:val="14"/>
                <w:szCs w:val="14"/>
                <w:color w:val="auto"/>
              </w:rPr>
            </w:pPr>
          </w:p>
        </w:tc>
        <w:tc>
          <w:tcPr>
            <w:tcW w:w="260" w:type="dxa"/>
            <w:vAlign w:val="bottom"/>
            <w:gridSpan w:val="2"/>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103,080</w:t>
            </w:r>
          </w:p>
        </w:tc>
        <w:tc>
          <w:tcPr>
            <w:tcW w:w="340" w:type="dxa"/>
            <w:vAlign w:val="bottom"/>
          </w:tcPr>
          <w:p>
            <w:pPr>
              <w:spacing w:after="0"/>
              <w:rPr>
                <w:sz w:val="14"/>
                <w:szCs w:val="14"/>
                <w:color w:val="auto"/>
              </w:rPr>
            </w:pPr>
          </w:p>
        </w:tc>
        <w:tc>
          <w:tcPr>
            <w:tcW w:w="1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102,197</w:t>
            </w:r>
          </w:p>
        </w:tc>
        <w:tc>
          <w:tcPr>
            <w:tcW w:w="220" w:type="dxa"/>
            <w:vAlign w:val="bottom"/>
          </w:tcPr>
          <w:p>
            <w:pPr>
              <w:spacing w:after="0"/>
              <w:rPr>
                <w:sz w:val="14"/>
                <w:szCs w:val="14"/>
                <w:color w:val="auto"/>
              </w:rPr>
            </w:pPr>
          </w:p>
        </w:tc>
        <w:tc>
          <w:tcPr>
            <w:tcW w:w="160" w:type="dxa"/>
            <w:vAlign w:val="bottom"/>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1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92,246</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-2733675</wp:posOffset>
            </wp:positionV>
            <wp:extent cx="76835" cy="825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-2733675</wp:posOffset>
            </wp:positionV>
            <wp:extent cx="68580" cy="825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-2733675</wp:posOffset>
            </wp:positionV>
            <wp:extent cx="68580" cy="825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-2733675</wp:posOffset>
            </wp:positionV>
            <wp:extent cx="68580" cy="825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6871335</wp:posOffset>
            </wp:positionH>
            <wp:positionV relativeFrom="paragraph">
              <wp:posOffset>-2733675</wp:posOffset>
            </wp:positionV>
            <wp:extent cx="68580" cy="825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-1490980</wp:posOffset>
            </wp:positionV>
            <wp:extent cx="76835" cy="825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-1490980</wp:posOffset>
            </wp:positionV>
            <wp:extent cx="68580" cy="825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-1490980</wp:posOffset>
            </wp:positionV>
            <wp:extent cx="68580" cy="825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-1490980</wp:posOffset>
            </wp:positionV>
            <wp:extent cx="68580" cy="825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6871335</wp:posOffset>
            </wp:positionH>
            <wp:positionV relativeFrom="paragraph">
              <wp:posOffset>-1490980</wp:posOffset>
            </wp:positionV>
            <wp:extent cx="68580" cy="825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-702310</wp:posOffset>
            </wp:positionV>
            <wp:extent cx="76835" cy="825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-702310</wp:posOffset>
            </wp:positionV>
            <wp:extent cx="68580" cy="825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-702310</wp:posOffset>
            </wp:positionV>
            <wp:extent cx="68580" cy="825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-702310</wp:posOffset>
            </wp:positionV>
            <wp:extent cx="68580" cy="825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6871335</wp:posOffset>
            </wp:positionH>
            <wp:positionV relativeFrom="paragraph">
              <wp:posOffset>-702310</wp:posOffset>
            </wp:positionV>
            <wp:extent cx="68580" cy="825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-393700</wp:posOffset>
            </wp:positionV>
            <wp:extent cx="76835" cy="889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-376555</wp:posOffset>
            </wp:positionV>
            <wp:extent cx="76835" cy="825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-393700</wp:posOffset>
            </wp:positionV>
            <wp:extent cx="68580" cy="889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-376555</wp:posOffset>
            </wp:positionV>
            <wp:extent cx="68580" cy="825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-393700</wp:posOffset>
            </wp:positionV>
            <wp:extent cx="68580" cy="889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-376555</wp:posOffset>
            </wp:positionV>
            <wp:extent cx="68580" cy="825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-393700</wp:posOffset>
            </wp:positionV>
            <wp:extent cx="68580" cy="889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-376555</wp:posOffset>
            </wp:positionV>
            <wp:extent cx="68580" cy="825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6871335</wp:posOffset>
            </wp:positionH>
            <wp:positionV relativeFrom="paragraph">
              <wp:posOffset>-393700</wp:posOffset>
            </wp:positionV>
            <wp:extent cx="68580" cy="88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6871335</wp:posOffset>
            </wp:positionH>
            <wp:positionV relativeFrom="paragraph">
              <wp:posOffset>-376555</wp:posOffset>
            </wp:positionV>
            <wp:extent cx="68580" cy="825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-145415</wp:posOffset>
            </wp:positionV>
            <wp:extent cx="76835" cy="825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-145415</wp:posOffset>
            </wp:positionV>
            <wp:extent cx="68580" cy="825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-145415</wp:posOffset>
            </wp:positionV>
            <wp:extent cx="68580" cy="825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-145415</wp:posOffset>
            </wp:positionV>
            <wp:extent cx="68580" cy="825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6871335</wp:posOffset>
            </wp:positionH>
            <wp:positionV relativeFrom="paragraph">
              <wp:posOffset>-145415</wp:posOffset>
            </wp:positionV>
            <wp:extent cx="68580" cy="825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ind w:left="1320" w:hanging="470"/>
        <w:spacing w:after="0"/>
        <w:tabs>
          <w:tab w:leader="none" w:pos="13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$2.6 million of nonaccrual loans past due 30-89 days at September 30, 2023.</w:t>
      </w:r>
    </w:p>
    <w:p>
      <w:pPr>
        <w:spacing w:after="0" w:line="208" w:lineRule="exact"/>
        <w:rPr>
          <w:sz w:val="20"/>
          <w:szCs w:val="20"/>
          <w:color w:val="auto"/>
        </w:rPr>
      </w:pPr>
    </w:p>
    <w:p>
      <w:pPr>
        <w:ind w:right="300" w:firstLine="464"/>
        <w:spacing w:after="0" w:line="258" w:lineRule="auto"/>
        <w:rPr>
          <w:sz w:val="20"/>
          <w:szCs w:val="20"/>
          <w:color w:val="auto"/>
        </w:rPr>
      </w:pPr>
      <w:r>
        <w:rPr>
          <w:rFonts w:ascii="Times New Roman" w:cs="Times New Roman" w:eastAsia="Times New Roman" w:hAnsi="Times New Roman"/>
          <w:sz w:val="18"/>
          <w:szCs w:val="18"/>
          <w:color w:val="auto"/>
        </w:rPr>
        <w:t>Nonperforming loans, defined as nonaccrual loans, nonperforming modified/TDR loans and loans past due 90 days or more and still accruing interest, were $21.9 million at September 30, 2024, or 0.26% of total loans. This compares to nonperforming loans of $21.3 million, or 0.24% of total loans, at December 31, 2023 and $10.0 million, or 0.11% of total loans, at September 30, 2023. The $3.0 million decrease in nonperforming loans from June 30, 2024 was primarily due to the payoff of one nonperforming commercial real estate loans totaling $2.3 million and $1.4 million in paydowns of nonperforming commercial real estate loans associated with two relationships.</w:t>
      </w:r>
    </w:p>
    <w:p>
      <w:pPr>
        <w:spacing w:after="0" w:line="183" w:lineRule="exact"/>
        <w:rPr>
          <w:sz w:val="20"/>
          <w:szCs w:val="20"/>
          <w:color w:val="auto"/>
        </w:rPr>
      </w:pPr>
    </w:p>
    <w:p>
      <w:pPr>
        <w:ind w:right="40" w:firstLine="464"/>
        <w:spacing w:after="0" w:line="258" w:lineRule="auto"/>
        <w:rPr>
          <w:sz w:val="20"/>
          <w:szCs w:val="20"/>
          <w:color w:val="auto"/>
        </w:rPr>
      </w:pPr>
      <w:r>
        <w:rPr>
          <w:rFonts w:ascii="Times New Roman" w:cs="Times New Roman" w:eastAsia="Times New Roman" w:hAnsi="Times New Roman"/>
          <w:sz w:val="18"/>
          <w:szCs w:val="18"/>
          <w:color w:val="auto"/>
        </w:rPr>
        <w:t>Classified loans are loans that are graded “substandard” or worse. Classified loans of $124.6 million decreased $122,000 quarter-over-quarter, primarily due to a $668,000 net decrease in classified commercial real estate loans, which included the payoff of 4 loans totaling $11.5 million that were partially offset by the addition of six classified commercial real estate loans in the third quarter of 2024. Classified dairy &amp; livestock and agribusiness loans declined by $3.5 million due to paydowns and classified commercial and industrial loans increased $3.5 million primarily due to the addition of one classified commercial and industrial loan.</w:t>
      </w:r>
    </w:p>
    <w:p>
      <w:pPr>
        <w:spacing w:after="0" w:line="183" w:lineRule="exact"/>
        <w:rPr>
          <w:sz w:val="20"/>
          <w:szCs w:val="20"/>
          <w:color w:val="auto"/>
        </w:rPr>
      </w:pPr>
    </w:p>
    <w:p>
      <w:pPr>
        <w:ind w:right="800" w:firstLine="464"/>
        <w:spacing w:after="0" w:line="282" w:lineRule="auto"/>
        <w:rPr>
          <w:sz w:val="20"/>
          <w:szCs w:val="20"/>
          <w:color w:val="auto"/>
        </w:rPr>
      </w:pPr>
      <w:r>
        <w:rPr>
          <w:rFonts w:ascii="Times New Roman" w:cs="Times New Roman" w:eastAsia="Times New Roman" w:hAnsi="Times New Roman"/>
          <w:sz w:val="18"/>
          <w:szCs w:val="18"/>
          <w:color w:val="auto"/>
        </w:rPr>
        <w:t>At September 30, 2024, we had one OREO property totaling $647,000. At December 31, 2023 and September 30, 2023, we had no OREO properties.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229" w:lineRule="exact"/>
        <w:rPr>
          <w:sz w:val="20"/>
          <w:szCs w:val="20"/>
          <w:color w:val="auto"/>
        </w:rPr>
      </w:pPr>
    </w:p>
    <w:p>
      <w:pPr>
        <w:ind w:right="80" w:firstLine="469"/>
        <w:spacing w:after="0" w:line="254" w:lineRule="auto"/>
        <w:rPr>
          <w:sz w:val="20"/>
          <w:szCs w:val="20"/>
          <w:color w:val="auto"/>
        </w:rPr>
      </w:pPr>
      <w:r>
        <w:rPr>
          <w:rFonts w:ascii="Times New Roman" w:cs="Times New Roman" w:eastAsia="Times New Roman" w:hAnsi="Times New Roman"/>
          <w:sz w:val="18"/>
          <w:szCs w:val="18"/>
          <w:color w:val="auto"/>
        </w:rPr>
        <w:t>The allowance for credit losses totaled $82.9 million as of September 30, 2024, compared to $86.8 million as of December 31, 2023 and $89.0 million as of September 30, 2023. Our allowance for credit losses at September 30, 2024 was 0.97% of total loans. This compares to 0.98% at December 31, 2023 and 1.00% September 30, 2023. The decrease in our allowance for credit losses from December 31, 2023 was due to net charge-offs of $4.0 million reflected in the first quarter of 2024, primarily due to two borrowers in which we previously established specific loan loss reserves in 2023. Our ACL at December 31, 2023 included $5.9 million of reserves for specifically identified nonperforming loans. Our reserves for specific loans have been essentially zero since the end of the first quarter of 2024. There was no provision for credit losses recorded for the nine months ended September 30, 2024, compared to $4.0 million in provision for the same period of 2023. Net charge-offs were $3.9 million for the nine months ended September 30, 2024, compared to $122,000 for the same period of 2023.</w:t>
      </w:r>
    </w:p>
    <w:p>
      <w:pPr>
        <w:spacing w:after="0" w:line="192" w:lineRule="exact"/>
        <w:rPr>
          <w:sz w:val="20"/>
          <w:szCs w:val="20"/>
          <w:color w:val="auto"/>
        </w:rPr>
      </w:pPr>
    </w:p>
    <w:p>
      <w:pPr>
        <w:ind w:right="20" w:firstLine="464"/>
        <w:spacing w:after="0" w:line="252" w:lineRule="auto"/>
        <w:rPr>
          <w:sz w:val="20"/>
          <w:szCs w:val="20"/>
          <w:color w:val="auto"/>
        </w:rPr>
      </w:pPr>
      <w:r>
        <w:rPr>
          <w:rFonts w:ascii="Times New Roman" w:cs="Times New Roman" w:eastAsia="Times New Roman" w:hAnsi="Times New Roman"/>
          <w:sz w:val="18"/>
          <w:szCs w:val="18"/>
          <w:color w:val="auto"/>
        </w:rPr>
        <w:t>The allowance for credit losses as of September 30, 2024 is based upon lifetime loss rate models developed from an estimation framework that uses historical lifetime loss experiences to derive loss rates at a collective pool level. We measure the expected credit losses on a collective (pooled) basis for those loans that share similar risk characteristics. We have three collective loan pools: Commercial Real Estate, Commercial and Industrial, and Consumer. Our ACL amounts are largely driven by portfolio characteristics, including loss history and various risk attributes, and the economic outlook for certain macroeconomic variables. The allowance for credit loss is sensitive to both changes in these portfolio characteristics and the forecast of macroeconomic variables. Risk attributes for commercial real estate loans include Original Loan to Value ratios ("OLTV"), origination year, loan seasoning, and macroeconomic variables that include Real GDP growth, commercial real estate price index and unemployment rate. Risk attributes for commercial and industrial loans include internal risk ratings, borrower industry sector, loan credit spreads and macroeconomic variables that include unemployment rate and BBB spread. The macroeconomic variables for Consumer include unemployment rate and GDP. The Commercial Real Estate methodology is applied over commercial real estate loans, a portion of construction loans, and a portion of SBA loans. The Commercial and Industrial methodology is applied over a substantial portion of the Company’s commercial and industrial loans, all dairy &amp; livestock and agribusiness loans, municipal lease receivables, as well as the remaining portion of Small Business Administration (SBA) loans (excluding Paycheck Protection Program loans). The Consumer methodology is applied to SFR mortgage loans, consumer loans, as well as the remaining construction loans. In addition to determining the quantitative life of loan loss rate to be applied against the portfolio segments, management reviews current conditions and forecasts to determine whether adjustments are needed to ensure that the life of loan loss rates reflect both the current state of the portfolio, and expectations for macroeconomic changes.</w:t>
      </w:r>
    </w:p>
    <w:p>
      <w:pPr>
        <w:spacing w:after="0" w:line="196" w:lineRule="exact"/>
        <w:rPr>
          <w:sz w:val="20"/>
          <w:szCs w:val="20"/>
          <w:color w:val="auto"/>
        </w:rPr>
      </w:pPr>
    </w:p>
    <w:p>
      <w:pPr>
        <w:ind w:firstLine="464"/>
        <w:spacing w:after="0" w:line="258" w:lineRule="auto"/>
        <w:rPr>
          <w:sz w:val="20"/>
          <w:szCs w:val="20"/>
          <w:color w:val="auto"/>
        </w:rPr>
      </w:pPr>
      <w:r>
        <w:rPr>
          <w:rFonts w:ascii="Times New Roman" w:cs="Times New Roman" w:eastAsia="Times New Roman" w:hAnsi="Times New Roman"/>
          <w:sz w:val="18"/>
          <w:szCs w:val="18"/>
          <w:color w:val="auto"/>
        </w:rPr>
        <w:t>Our economic forecast continues to be a blend of multiple forecasts produced by Moody’s. The baseline forecast continues to represent the largest weighting in our multi-weighted forecast scenario, with downside risks weighted among multiple forecasts. As of September 30, 2024, the resulting weighted forecast resulted in Real GDP declining slightly in the fourth quarter of 2024 and continuing to be negative in the first quarter of 2025. GDP growth is forecasted to be less than 1% for all of 2025, before increasing to 1.4% in 2026, and then growth of 1.9% in 2027. Unemployment is forecasted to increase, with unemployment averaging 5.5% for all of 2025. The unemployment rate is forecasted to stay higher than 5.5% until late 2027.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2" w:name="page63"/>
    <w:bookmarkEnd w:id="62"/>
    <w:p>
      <w:pPr>
        <w:ind w:right="280" w:firstLine="469"/>
        <w:spacing w:after="0" w:line="282" w:lineRule="auto"/>
        <w:rPr>
          <w:sz w:val="20"/>
          <w:szCs w:val="20"/>
          <w:color w:val="auto"/>
        </w:rPr>
      </w:pPr>
      <w:r>
        <w:rPr>
          <w:rFonts w:ascii="Times New Roman" w:cs="Times New Roman" w:eastAsia="Times New Roman" w:hAnsi="Times New Roman"/>
          <w:sz w:val="18"/>
          <w:szCs w:val="18"/>
          <w:color w:val="auto"/>
        </w:rPr>
        <w:t>The table below presents a summary of charge-offs and recoveries by type, the provision for credit losses on loans, and the resulting allowance for credit losses for the periods presented.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60" w:type="dxa"/>
            <w:vAlign w:val="bottom"/>
            <w:gridSpan w:val="3"/>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As of and For the</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160" w:type="dxa"/>
            <w:vAlign w:val="bottom"/>
            <w:gridSpan w:val="3"/>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6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gridSpan w:val="3"/>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76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60" w:type="dxa"/>
            <w:vAlign w:val="bottom"/>
            <w:gridSpan w:val="3"/>
          </w:tcPr>
          <w:p>
            <w:pPr>
              <w:jc w:val="center"/>
              <w:ind w:left="53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Allowance for credit losses at beginning of period</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86,842</w:t>
            </w:r>
          </w:p>
        </w:tc>
        <w:tc>
          <w:tcPr>
            <w:tcW w:w="300" w:type="dxa"/>
            <w:vAlign w:val="bottom"/>
            <w:shd w:val="clear" w:color="auto" w:fill="CFF0FC"/>
          </w:tcPr>
          <w:p>
            <w:pPr>
              <w:spacing w:after="0"/>
              <w:rPr>
                <w:sz w:val="21"/>
                <w:szCs w:val="21"/>
                <w:color w:val="auto"/>
              </w:rPr>
            </w:pPr>
          </w:p>
        </w:tc>
        <w:tc>
          <w:tcPr>
            <w:tcW w:w="600" w:type="dxa"/>
            <w:vAlign w:val="bottom"/>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85,117</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Charge-offs:</w:t>
            </w: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Commercial real estate</w:t>
            </w:r>
          </w:p>
        </w:tc>
        <w:tc>
          <w:tcPr>
            <w:tcW w:w="36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(2,258 )</w:t>
            </w:r>
          </w:p>
        </w:tc>
        <w:tc>
          <w:tcPr>
            <w:tcW w:w="60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Construction</w:t>
            </w:r>
          </w:p>
        </w:tc>
        <w:tc>
          <w:tcPr>
            <w:tcW w:w="360" w:type="dxa"/>
            <w:vAlign w:val="bottom"/>
          </w:tcPr>
          <w:p>
            <w:pPr>
              <w:spacing w:after="0"/>
              <w:rPr>
                <w:sz w:val="20"/>
                <w:szCs w:val="20"/>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SBA</w:t>
            </w:r>
          </w:p>
        </w:tc>
        <w:tc>
          <w:tcPr>
            <w:tcW w:w="36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(165 )</w:t>
            </w:r>
          </w:p>
        </w:tc>
        <w:tc>
          <w:tcPr>
            <w:tcW w:w="60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(207 )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60" w:type="dxa"/>
            <w:vAlign w:val="bottom"/>
          </w:tcPr>
          <w:p>
            <w:pPr>
              <w:spacing w:after="0"/>
              <w:rPr>
                <w:sz w:val="20"/>
                <w:szCs w:val="20"/>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(1,917 )</w:t>
            </w:r>
          </w:p>
        </w:tc>
        <w:tc>
          <w:tcPr>
            <w:tcW w:w="60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Dairy &amp; livestock and agribusiness</w:t>
            </w:r>
          </w:p>
        </w:tc>
        <w:tc>
          <w:tcPr>
            <w:tcW w:w="36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SFR mortgage</w:t>
            </w:r>
          </w:p>
        </w:tc>
        <w:tc>
          <w:tcPr>
            <w:tcW w:w="360" w:type="dxa"/>
            <w:vAlign w:val="bottom"/>
          </w:tcPr>
          <w:p>
            <w:pPr>
              <w:spacing w:after="0"/>
              <w:rPr>
                <w:sz w:val="20"/>
                <w:szCs w:val="20"/>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Consumer and other loans</w:t>
            </w:r>
          </w:p>
        </w:tc>
        <w:tc>
          <w:tcPr>
            <w:tcW w:w="36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(4 )</w:t>
            </w:r>
          </w:p>
        </w:tc>
        <w:tc>
          <w:tcPr>
            <w:tcW w:w="60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charge-offs</w:t>
            </w:r>
          </w:p>
        </w:tc>
        <w:tc>
          <w:tcPr>
            <w:tcW w:w="360" w:type="dxa"/>
            <w:vAlign w:val="bottom"/>
          </w:tcPr>
          <w:p>
            <w:pPr>
              <w:spacing w:after="0"/>
              <w:rPr>
                <w:sz w:val="20"/>
                <w:szCs w:val="20"/>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(4,344 )</w:t>
            </w:r>
          </w:p>
        </w:tc>
        <w:tc>
          <w:tcPr>
            <w:tcW w:w="60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(224 )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Recoveries:</w:t>
            </w:r>
          </w:p>
        </w:tc>
        <w:tc>
          <w:tcPr>
            <w:tcW w:w="360" w:type="dxa"/>
            <w:vAlign w:val="bottom"/>
            <w:tcBorders>
              <w:top w:val="single" w:sz="8" w:color="auto"/>
            </w:tcBorders>
            <w:shd w:val="clear" w:color="auto" w:fill="CFF0FC"/>
          </w:tcPr>
          <w:p>
            <w:pPr>
              <w:spacing w:after="0"/>
              <w:rPr>
                <w:sz w:val="20"/>
                <w:szCs w:val="20"/>
                <w:color w:val="auto"/>
              </w:rPr>
            </w:pPr>
          </w:p>
        </w:tc>
        <w:tc>
          <w:tcPr>
            <w:tcW w:w="126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 real estate</w:t>
            </w:r>
          </w:p>
        </w:tc>
        <w:tc>
          <w:tcPr>
            <w:tcW w:w="360" w:type="dxa"/>
            <w:vAlign w:val="bottom"/>
          </w:tcPr>
          <w:p>
            <w:pPr>
              <w:spacing w:after="0"/>
              <w:rPr>
                <w:sz w:val="20"/>
                <w:szCs w:val="20"/>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Construction</w:t>
            </w:r>
          </w:p>
        </w:tc>
        <w:tc>
          <w:tcPr>
            <w:tcW w:w="36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30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SBA</w:t>
            </w: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6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30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Dairy &amp; livestock and agribusiness</w:t>
            </w:r>
          </w:p>
        </w:tc>
        <w:tc>
          <w:tcPr>
            <w:tcW w:w="360" w:type="dxa"/>
            <w:vAlign w:val="bottom"/>
          </w:tcPr>
          <w:p>
            <w:pPr>
              <w:spacing w:after="0"/>
              <w:rPr>
                <w:sz w:val="20"/>
                <w:szCs w:val="20"/>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SFR mortgage</w:t>
            </w:r>
          </w:p>
        </w:tc>
        <w:tc>
          <w:tcPr>
            <w:tcW w:w="36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Consumer and other loans</w:t>
            </w:r>
          </w:p>
        </w:tc>
        <w:tc>
          <w:tcPr>
            <w:tcW w:w="360" w:type="dxa"/>
            <w:vAlign w:val="bottom"/>
          </w:tcPr>
          <w:p>
            <w:pPr>
              <w:spacing w:after="0"/>
              <w:rPr>
                <w:sz w:val="21"/>
                <w:szCs w:val="21"/>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1"/>
                <w:szCs w:val="21"/>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64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recoveries</w:t>
            </w: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30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top w:val="single" w:sz="8" w:color="auto"/>
              <w:bottom w:val="single" w:sz="8" w:color="auto"/>
            </w:tcBorders>
            <w:shd w:val="clear" w:color="auto" w:fill="CFF0FC"/>
          </w:tcPr>
          <w:p>
            <w:pPr>
              <w:spacing w:after="0"/>
              <w:rPr>
                <w:sz w:val="20"/>
                <w:szCs w:val="20"/>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FF0FC"/>
            </w:tcBorders>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(charge-offs) recoveries</w:t>
            </w:r>
          </w:p>
        </w:tc>
        <w:tc>
          <w:tcPr>
            <w:tcW w:w="360" w:type="dxa"/>
            <w:vAlign w:val="bottom"/>
          </w:tcPr>
          <w:p>
            <w:pPr>
              <w:spacing w:after="0"/>
              <w:rPr>
                <w:sz w:val="20"/>
                <w:szCs w:val="20"/>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(3,900 )</w:t>
            </w:r>
          </w:p>
        </w:tc>
        <w:tc>
          <w:tcPr>
            <w:tcW w:w="60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6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Allowance for credit losses at end of period</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82,942</w:t>
            </w:r>
          </w:p>
        </w:tc>
        <w:tc>
          <w:tcPr>
            <w:tcW w:w="300" w:type="dxa"/>
            <w:vAlign w:val="bottom"/>
            <w:tcBorders>
              <w:top w:val="single" w:sz="8" w:color="CFF0FC"/>
            </w:tcBorders>
          </w:tcPr>
          <w:p>
            <w:pPr>
              <w:spacing w:after="0"/>
              <w:rPr>
                <w:sz w:val="20"/>
                <w:szCs w:val="20"/>
                <w:color w:val="auto"/>
              </w:rPr>
            </w:pPr>
          </w:p>
        </w:tc>
        <w:tc>
          <w:tcPr>
            <w:tcW w:w="6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88,995</w:t>
            </w:r>
          </w:p>
        </w:tc>
        <w:tc>
          <w:tcPr>
            <w:tcW w:w="100" w:type="dxa"/>
            <w:vAlign w:val="bottom"/>
            <w:tcBorders>
              <w:top w:val="single" w:sz="8" w:color="CFF0FC"/>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Summary of reserve for unfunded loan commitments:</w:t>
            </w:r>
          </w:p>
        </w:tc>
        <w:tc>
          <w:tcPr>
            <w:tcW w:w="36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Reserve for unfunded loan commitments at beginning of period</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300" w:type="dxa"/>
            <w:vAlign w:val="bottom"/>
          </w:tcPr>
          <w:p>
            <w:pPr>
              <w:spacing w:after="0"/>
              <w:rPr>
                <w:sz w:val="20"/>
                <w:szCs w:val="20"/>
                <w:color w:val="auto"/>
              </w:rPr>
            </w:pP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76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(Recapture of) provision for unfunded loan commitments</w:t>
            </w:r>
          </w:p>
        </w:tc>
        <w:tc>
          <w:tcPr>
            <w:tcW w:w="36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(1,250 )</w:t>
            </w:r>
          </w:p>
        </w:tc>
        <w:tc>
          <w:tcPr>
            <w:tcW w:w="60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4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Reserve for unfunded loan commitments at end of period</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300" w:type="dxa"/>
            <w:vAlign w:val="bottom"/>
            <w:tcBorders>
              <w:top w:val="single" w:sz="8" w:color="CFF0FC"/>
            </w:tcBorders>
          </w:tcPr>
          <w:p>
            <w:pPr>
              <w:spacing w:after="0"/>
              <w:rPr>
                <w:sz w:val="20"/>
                <w:szCs w:val="20"/>
                <w:color w:val="auto"/>
              </w:rPr>
            </w:pPr>
          </w:p>
        </w:tc>
        <w:tc>
          <w:tcPr>
            <w:tcW w:w="6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tcBorders>
              <w:top w:val="single" w:sz="8" w:color="CFF0FC"/>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6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Reserve for unfunded loan commitments to total unfunded loan</w:t>
            </w: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76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commitments</w:t>
            </w:r>
          </w:p>
        </w:tc>
        <w:tc>
          <w:tcPr>
            <w:tcW w:w="360" w:type="dxa"/>
            <w:vAlign w:val="bottom"/>
          </w:tcPr>
          <w:p>
            <w:pPr>
              <w:spacing w:after="0"/>
              <w:rPr>
                <w:sz w:val="20"/>
                <w:szCs w:val="20"/>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0.33 %</w:t>
            </w:r>
          </w:p>
        </w:tc>
        <w:tc>
          <w:tcPr>
            <w:tcW w:w="600" w:type="dxa"/>
            <w:vAlign w:val="bottom"/>
          </w:tcPr>
          <w:p>
            <w:pPr>
              <w:spacing w:after="0"/>
              <w:rPr>
                <w:sz w:val="20"/>
                <w:szCs w:val="20"/>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0.43 %</w:t>
            </w:r>
          </w:p>
        </w:tc>
        <w:tc>
          <w:tcPr>
            <w:tcW w:w="0" w:type="dxa"/>
            <w:vAlign w:val="bottom"/>
          </w:tcPr>
          <w:p>
            <w:pPr>
              <w:spacing w:after="0"/>
              <w:rPr>
                <w:sz w:val="1"/>
                <w:szCs w:val="1"/>
                <w:color w:val="auto"/>
              </w:rPr>
            </w:pPr>
          </w:p>
        </w:tc>
      </w:tr>
      <w:tr>
        <w:trPr>
          <w:trHeight w:val="49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 of total loans at end of period (1)</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8,572,565</w:t>
            </w:r>
          </w:p>
        </w:tc>
        <w:tc>
          <w:tcPr>
            <w:tcW w:w="300" w:type="dxa"/>
            <w:vAlign w:val="bottom"/>
          </w:tcPr>
          <w:p>
            <w:pPr>
              <w:spacing w:after="0"/>
              <w:rPr>
                <w:sz w:val="24"/>
                <w:szCs w:val="24"/>
                <w:color w:val="auto"/>
              </w:rPr>
            </w:pP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8,877,632</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Average total loans outstanding (1)</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8,720,058</w:t>
            </w:r>
          </w:p>
        </w:tc>
        <w:tc>
          <w:tcPr>
            <w:tcW w:w="300" w:type="dxa"/>
            <w:vAlign w:val="bottom"/>
            <w:shd w:val="clear" w:color="auto" w:fill="CFF0FC"/>
          </w:tcPr>
          <w:p>
            <w:pPr>
              <w:spacing w:after="0"/>
              <w:rPr>
                <w:sz w:val="21"/>
                <w:szCs w:val="21"/>
                <w:color w:val="auto"/>
              </w:rPr>
            </w:pPr>
          </w:p>
        </w:tc>
        <w:tc>
          <w:tcPr>
            <w:tcW w:w="600" w:type="dxa"/>
            <w:vAlign w:val="bottom"/>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8,905,697</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(charge-offs) recoveries to average total loans</w:t>
            </w:r>
          </w:p>
        </w:tc>
        <w:tc>
          <w:tcPr>
            <w:tcW w:w="360" w:type="dxa"/>
            <w:vAlign w:val="bottom"/>
          </w:tcPr>
          <w:p>
            <w:pPr>
              <w:spacing w:after="0"/>
              <w:rPr>
                <w:sz w:val="24"/>
                <w:szCs w:val="24"/>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-0.04 %</w:t>
            </w:r>
          </w:p>
        </w:tc>
        <w:tc>
          <w:tcPr>
            <w:tcW w:w="600" w:type="dxa"/>
            <w:vAlign w:val="bottom"/>
          </w:tcPr>
          <w:p>
            <w:pPr>
              <w:spacing w:after="0"/>
              <w:rPr>
                <w:sz w:val="24"/>
                <w:szCs w:val="24"/>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-0.001 %</w:t>
            </w:r>
          </w:p>
        </w:tc>
        <w:tc>
          <w:tcPr>
            <w:tcW w:w="0" w:type="dxa"/>
            <w:vAlign w:val="bottom"/>
          </w:tcPr>
          <w:p>
            <w:pPr>
              <w:spacing w:after="0"/>
              <w:rPr>
                <w:sz w:val="1"/>
                <w:szCs w:val="1"/>
                <w:color w:val="auto"/>
              </w:rPr>
            </w:pPr>
          </w:p>
        </w:tc>
      </w:tr>
      <w:tr>
        <w:trPr>
          <w:trHeight w:val="24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(charge-offs) recoveries to total loans at end of period</w:t>
            </w:r>
          </w:p>
        </w:tc>
        <w:tc>
          <w:tcPr>
            <w:tcW w:w="360" w:type="dxa"/>
            <w:vAlign w:val="bottom"/>
          </w:tcPr>
          <w:p>
            <w:pPr>
              <w:spacing w:after="0"/>
              <w:rPr>
                <w:sz w:val="21"/>
                <w:szCs w:val="21"/>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-0.05 %</w:t>
            </w:r>
          </w:p>
        </w:tc>
        <w:tc>
          <w:tcPr>
            <w:tcW w:w="600" w:type="dxa"/>
            <w:vAlign w:val="bottom"/>
          </w:tcPr>
          <w:p>
            <w:pPr>
              <w:spacing w:after="0"/>
              <w:rPr>
                <w:sz w:val="21"/>
                <w:szCs w:val="21"/>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-0.001 %</w:t>
            </w:r>
          </w:p>
        </w:tc>
        <w:tc>
          <w:tcPr>
            <w:tcW w:w="0" w:type="dxa"/>
            <w:vAlign w:val="bottom"/>
          </w:tcPr>
          <w:p>
            <w:pPr>
              <w:spacing w:after="0"/>
              <w:rPr>
                <w:sz w:val="1"/>
                <w:szCs w:val="1"/>
                <w:color w:val="auto"/>
              </w:rPr>
            </w:pPr>
          </w:p>
        </w:tc>
      </w:tr>
      <w:tr>
        <w:trPr>
          <w:trHeight w:val="24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losses to average total loans</w:t>
            </w:r>
          </w:p>
        </w:tc>
        <w:tc>
          <w:tcPr>
            <w:tcW w:w="360" w:type="dxa"/>
            <w:vAlign w:val="bottom"/>
          </w:tcPr>
          <w:p>
            <w:pPr>
              <w:spacing w:after="0"/>
              <w:rPr>
                <w:sz w:val="21"/>
                <w:szCs w:val="21"/>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0.95 %</w:t>
            </w:r>
          </w:p>
        </w:tc>
        <w:tc>
          <w:tcPr>
            <w:tcW w:w="600" w:type="dxa"/>
            <w:vAlign w:val="bottom"/>
          </w:tcPr>
          <w:p>
            <w:pPr>
              <w:spacing w:after="0"/>
              <w:rPr>
                <w:sz w:val="21"/>
                <w:szCs w:val="21"/>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4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losses to total loans at end of period</w:t>
            </w:r>
          </w:p>
        </w:tc>
        <w:tc>
          <w:tcPr>
            <w:tcW w:w="360" w:type="dxa"/>
            <w:vAlign w:val="bottom"/>
          </w:tcPr>
          <w:p>
            <w:pPr>
              <w:spacing w:after="0"/>
              <w:rPr>
                <w:sz w:val="21"/>
                <w:szCs w:val="21"/>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0.97 %</w:t>
            </w:r>
          </w:p>
        </w:tc>
        <w:tc>
          <w:tcPr>
            <w:tcW w:w="600" w:type="dxa"/>
            <w:vAlign w:val="bottom"/>
          </w:tcPr>
          <w:p>
            <w:pPr>
              <w:spacing w:after="0"/>
              <w:rPr>
                <w:sz w:val="21"/>
                <w:szCs w:val="21"/>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4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(charge-offs) recoveries to allowance for credit losses</w:t>
            </w:r>
          </w:p>
        </w:tc>
        <w:tc>
          <w:tcPr>
            <w:tcW w:w="360" w:type="dxa"/>
            <w:vAlign w:val="bottom"/>
          </w:tcPr>
          <w:p>
            <w:pPr>
              <w:spacing w:after="0"/>
              <w:rPr>
                <w:sz w:val="21"/>
                <w:szCs w:val="21"/>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-4.70 %</w:t>
            </w:r>
          </w:p>
        </w:tc>
        <w:tc>
          <w:tcPr>
            <w:tcW w:w="600" w:type="dxa"/>
            <w:vAlign w:val="bottom"/>
          </w:tcPr>
          <w:p>
            <w:pPr>
              <w:spacing w:after="0"/>
              <w:rPr>
                <w:sz w:val="21"/>
                <w:szCs w:val="21"/>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-0.14 %</w:t>
            </w:r>
          </w:p>
        </w:tc>
        <w:tc>
          <w:tcPr>
            <w:tcW w:w="0" w:type="dxa"/>
            <w:vAlign w:val="bottom"/>
          </w:tcPr>
          <w:p>
            <w:pPr>
              <w:spacing w:after="0"/>
              <w:rPr>
                <w:sz w:val="1"/>
                <w:szCs w:val="1"/>
                <w:color w:val="auto"/>
              </w:rPr>
            </w:pPr>
          </w:p>
        </w:tc>
      </w:tr>
      <w:tr>
        <w:trPr>
          <w:trHeight w:val="24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(charge-offs) recoveries to provision for credit losses</w:t>
            </w: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-1824990</wp:posOffset>
            </wp:positionV>
            <wp:extent cx="7132320" cy="29146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-762000</wp:posOffset>
            </wp:positionV>
            <wp:extent cx="7132320" cy="15430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-453390</wp:posOffset>
            </wp:positionV>
            <wp:extent cx="7132320" cy="15430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5430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-4859655</wp:posOffset>
            </wp:positionV>
            <wp:extent cx="68580" cy="825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-4859655</wp:posOffset>
            </wp:positionV>
            <wp:extent cx="68580" cy="825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-3291205</wp:posOffset>
            </wp:positionV>
            <wp:extent cx="68580" cy="889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-3291205</wp:posOffset>
            </wp:positionV>
            <wp:extent cx="68580" cy="889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-2973705</wp:posOffset>
            </wp:positionV>
            <wp:extent cx="68580" cy="825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-2973705</wp:posOffset>
            </wp:positionV>
            <wp:extent cx="68580" cy="825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-2167890</wp:posOffset>
            </wp:positionV>
            <wp:extent cx="68580" cy="889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-2167890</wp:posOffset>
            </wp:positionV>
            <wp:extent cx="68580" cy="889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3" w:lineRule="exact"/>
        <w:rPr>
          <w:sz w:val="20"/>
          <w:szCs w:val="20"/>
          <w:color w:val="auto"/>
        </w:rPr>
      </w:pPr>
    </w:p>
    <w:p>
      <w:pPr>
        <w:ind w:left="1220" w:hanging="463"/>
        <w:spacing w:after="0"/>
        <w:tabs>
          <w:tab w:leader="none" w:pos="12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of deferred loan origination fees, costs and discounts (amortized cost).</w:t>
      </w:r>
    </w:p>
    <w:p>
      <w:pPr>
        <w:spacing w:after="0" w:line="208" w:lineRule="exact"/>
        <w:rPr>
          <w:sz w:val="20"/>
          <w:szCs w:val="20"/>
          <w:color w:val="auto"/>
        </w:rPr>
      </w:pPr>
    </w:p>
    <w:p>
      <w:pPr>
        <w:ind w:right="480" w:firstLine="469"/>
        <w:spacing w:after="0" w:line="282" w:lineRule="auto"/>
        <w:rPr>
          <w:sz w:val="20"/>
          <w:szCs w:val="20"/>
          <w:color w:val="auto"/>
        </w:rPr>
      </w:pPr>
      <w:r>
        <w:rPr>
          <w:rFonts w:ascii="Times New Roman" w:cs="Times New Roman" w:eastAsia="Times New Roman" w:hAnsi="Times New Roman"/>
          <w:sz w:val="18"/>
          <w:szCs w:val="18"/>
          <w:color w:val="auto"/>
        </w:rPr>
        <w:t>The Bank’s ACL methodology also produced an allowance of $6.3 million for our off-balance sheet credit exposures as of September 30, 2024, compared to $7.5 million and $8.0 million as of December 31, 2023 and September 30, 2023, respectively.</w:t>
      </w:r>
    </w:p>
    <w:p>
      <w:pPr>
        <w:spacing w:after="0" w:line="162" w:lineRule="exact"/>
        <w:rPr>
          <w:sz w:val="20"/>
          <w:szCs w:val="20"/>
          <w:color w:val="auto"/>
        </w:rPr>
      </w:pPr>
    </w:p>
    <w:p>
      <w:pPr>
        <w:ind w:right="380" w:firstLine="469"/>
        <w:spacing w:after="0" w:line="257" w:lineRule="auto"/>
        <w:rPr>
          <w:sz w:val="20"/>
          <w:szCs w:val="20"/>
          <w:color w:val="auto"/>
        </w:rPr>
      </w:pPr>
      <w:r>
        <w:rPr>
          <w:rFonts w:ascii="Times New Roman" w:cs="Times New Roman" w:eastAsia="Times New Roman" w:hAnsi="Times New Roman"/>
          <w:sz w:val="18"/>
          <w:szCs w:val="18"/>
          <w:color w:val="auto"/>
        </w:rPr>
        <w:t>While we believe that the allowance at September 30, 2024 was appropriate to absorb losses from known or inherent risks in the portfolio, no assurance can be given that future economic conditions, interest rate fluctuations, conditions of our borrowers (including fraudulent activity), or natural disasters, which adversely affect our service areas or other</w:t>
      </w:r>
    </w:p>
    <w:p>
      <w:pPr>
        <w:spacing w:after="0" w:line="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093" w:right="27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color w:val="auto"/>
        </w:rPr>
        <w:t>circumstances or conditions, including those defined above, will not be reflected in increased provisions for credit losses in the future.</w:t>
      </w:r>
    </w:p>
    <w:p>
      <w:pPr>
        <w:spacing w:after="0" w:line="225" w:lineRule="exact"/>
        <w:rPr>
          <w:sz w:val="20"/>
          <w:szCs w:val="20"/>
          <w:color w:val="auto"/>
        </w:rPr>
      </w:pPr>
    </w:p>
    <w:p>
      <w:pPr>
        <w:ind w:right="260" w:firstLine="469"/>
        <w:spacing w:after="0" w:line="258" w:lineRule="auto"/>
        <w:rPr>
          <w:sz w:val="20"/>
          <w:szCs w:val="20"/>
          <w:color w:val="auto"/>
        </w:rPr>
      </w:pPr>
      <w:r>
        <w:rPr>
          <w:rFonts w:ascii="Times New Roman" w:cs="Times New Roman" w:eastAsia="Times New Roman" w:hAnsi="Times New Roman"/>
          <w:sz w:val="18"/>
          <w:szCs w:val="18"/>
          <w:color w:val="auto"/>
        </w:rPr>
        <w:t>Changes in economic and business conditions could have an impact on our market area and on our loan portfolio. We continually monitor these conditions in determining our estimates of needed reserves. However, we cannot predict the extent to which the deterioration in general economic conditions, real estate values, changes in general rates of interest and changes in the financial conditions or business of a borrower may adversely affect a specific borrower’s ability to pay or the value of our collateral. See “</w:t>
      </w:r>
      <w:r>
        <w:rPr>
          <w:rFonts w:ascii="Times New Roman" w:cs="Times New Roman" w:eastAsia="Times New Roman" w:hAnsi="Times New Roman"/>
          <w:sz w:val="18"/>
          <w:szCs w:val="18"/>
          <w:i w:val="1"/>
          <w:iCs w:val="1"/>
          <w:color w:val="auto"/>
        </w:rPr>
        <w:t>Risk Management – Credit Risk Management</w:t>
      </w:r>
      <w:r>
        <w:rPr>
          <w:rFonts w:ascii="Times New Roman" w:cs="Times New Roman" w:eastAsia="Times New Roman" w:hAnsi="Times New Roman"/>
          <w:sz w:val="18"/>
          <w:szCs w:val="18"/>
          <w:color w:val="auto"/>
        </w:rPr>
        <w:t>” contained in our Annual Report on Form 10-K for the year ended December 31,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Deposits</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primary source of funds to support earning assets (loans and investments) is the generation of deposits.</w:t>
      </w:r>
    </w:p>
    <w:p>
      <w:pPr>
        <w:spacing w:after="0" w:line="225" w:lineRule="exact"/>
        <w:rPr>
          <w:sz w:val="20"/>
          <w:szCs w:val="20"/>
          <w:color w:val="auto"/>
        </w:rPr>
      </w:pPr>
    </w:p>
    <w:p>
      <w:pPr>
        <w:ind w:right="560" w:firstLine="469"/>
        <w:spacing w:after="0" w:line="282" w:lineRule="auto"/>
        <w:rPr>
          <w:sz w:val="20"/>
          <w:szCs w:val="20"/>
          <w:color w:val="auto"/>
        </w:rPr>
      </w:pPr>
      <w:r>
        <w:rPr>
          <w:rFonts w:ascii="Times New Roman" w:cs="Times New Roman" w:eastAsia="Times New Roman" w:hAnsi="Times New Roman"/>
          <w:sz w:val="18"/>
          <w:szCs w:val="18"/>
          <w:color w:val="auto"/>
        </w:rPr>
        <w:t>Total deposits were $12.07 billion at September 30, 2024. This represented an increase of $638.8 million, or 5.59%, when compared with total deposits of $11.43 billion at December 31, 2023. The composition of deposits is summarized as of the dates presented in the table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120" w:type="dxa"/>
            <w:vAlign w:val="bottom"/>
            <w:gridSpan w:val="4"/>
          </w:tcPr>
          <w:p>
            <w:pPr>
              <w:ind w:left="600"/>
              <w:spacing w:after="0"/>
              <w:rPr>
                <w:sz w:val="20"/>
                <w:szCs w:val="20"/>
                <w:color w:val="auto"/>
              </w:rPr>
            </w:pPr>
            <w:r>
              <w:rPr>
                <w:rFonts w:ascii="Times New Roman" w:cs="Times New Roman" w:eastAsia="Times New Roman" w:hAnsi="Times New Roman"/>
                <w:sz w:val="18"/>
                <w:szCs w:val="18"/>
                <w:b w:val="1"/>
                <w:bCs w:val="1"/>
                <w:color w:val="auto"/>
                <w:w w:val="99"/>
              </w:rPr>
              <w:t>September 30, 2024</w:t>
            </w:r>
          </w:p>
        </w:tc>
        <w:tc>
          <w:tcPr>
            <w:tcW w:w="9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820" w:type="dxa"/>
            <w:vAlign w:val="bottom"/>
            <w:gridSpan w:val="5"/>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41"/>
        </w:trPr>
        <w:tc>
          <w:tcPr>
            <w:tcW w:w="428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20" w:type="dxa"/>
            <w:vAlign w:val="bottom"/>
            <w:tcBorders>
              <w:top w:val="single" w:sz="8" w:color="auto"/>
            </w:tcBorders>
          </w:tcPr>
          <w:p>
            <w:pPr>
              <w:spacing w:after="0"/>
              <w:rPr>
                <w:sz w:val="20"/>
                <w:szCs w:val="20"/>
                <w:color w:val="auto"/>
              </w:rPr>
            </w:pPr>
          </w:p>
        </w:tc>
        <w:tc>
          <w:tcPr>
            <w:tcW w:w="520" w:type="dxa"/>
            <w:vAlign w:val="bottom"/>
            <w:tcBorders>
              <w:top w:val="single" w:sz="8" w:color="auto"/>
              <w:bottom w:val="single" w:sz="8" w:color="auto"/>
            </w:tcBorders>
            <w:gridSpan w:val="2"/>
          </w:tcPr>
          <w:p>
            <w:pPr>
              <w:spacing w:after="0"/>
              <w:rPr>
                <w:sz w:val="20"/>
                <w:szCs w:val="20"/>
                <w:color w:val="auto"/>
              </w:rPr>
            </w:pPr>
          </w:p>
        </w:tc>
        <w:tc>
          <w:tcPr>
            <w:tcW w:w="9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360" w:type="dxa"/>
            <w:vAlign w:val="bottom"/>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60" w:type="dxa"/>
            <w:vAlign w:val="bottom"/>
          </w:tcPr>
          <w:p>
            <w:pPr>
              <w:spacing w:after="0"/>
              <w:rPr>
                <w:sz w:val="20"/>
                <w:szCs w:val="20"/>
                <w:color w:val="auto"/>
              </w:rPr>
            </w:pPr>
          </w:p>
        </w:tc>
      </w:tr>
      <w:tr>
        <w:trPr>
          <w:trHeight w:val="219"/>
        </w:trPr>
        <w:tc>
          <w:tcPr>
            <w:tcW w:w="4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492"/>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Noninterest-bearing deposits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7,136,824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59.12 %</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7,206,175</w:t>
            </w:r>
          </w:p>
        </w:tc>
        <w:tc>
          <w:tcPr>
            <w:tcW w:w="1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63.03 %</w:t>
            </w:r>
          </w:p>
        </w:tc>
      </w:tr>
      <w:tr>
        <w:trPr>
          <w:trHeight w:val="24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Interest-bearing deposits</w:t>
            </w:r>
          </w:p>
        </w:tc>
        <w:tc>
          <w:tcPr>
            <w:tcW w:w="3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Investment checking</w:t>
            </w:r>
          </w:p>
        </w:tc>
        <w:tc>
          <w:tcPr>
            <w:tcW w:w="3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504,028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4.17 %</w:t>
            </w:r>
          </w:p>
        </w:tc>
        <w:tc>
          <w:tcPr>
            <w:tcW w:w="4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552,408</w:t>
            </w:r>
          </w:p>
        </w:tc>
        <w:tc>
          <w:tcPr>
            <w:tcW w:w="1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4.83 %</w:t>
            </w:r>
          </w:p>
        </w:tc>
      </w:tr>
      <w:tr>
        <w:trPr>
          <w:trHeight w:val="243"/>
        </w:trPr>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Money market</w:t>
            </w:r>
          </w:p>
        </w:tc>
        <w:tc>
          <w:tcPr>
            <w:tcW w:w="3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3,307,733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27.40 %</w:t>
            </w:r>
          </w:p>
        </w:tc>
        <w:tc>
          <w:tcPr>
            <w:tcW w:w="4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2,821,344</w:t>
            </w:r>
          </w:p>
        </w:tc>
        <w:tc>
          <w:tcPr>
            <w:tcW w:w="1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24.67 %</w:t>
            </w:r>
          </w:p>
        </w:tc>
      </w:tr>
      <w:tr>
        <w:trPr>
          <w:trHeight w:val="243"/>
        </w:trPr>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Savings</w:t>
            </w:r>
          </w:p>
        </w:tc>
        <w:tc>
          <w:tcPr>
            <w:tcW w:w="3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437,974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3.63 %</w:t>
            </w:r>
          </w:p>
        </w:tc>
        <w:tc>
          <w:tcPr>
            <w:tcW w:w="4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457,320</w:t>
            </w:r>
          </w:p>
        </w:tc>
        <w:tc>
          <w:tcPr>
            <w:tcW w:w="1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4.00 %</w:t>
            </w:r>
          </w:p>
        </w:tc>
      </w:tr>
      <w:tr>
        <w:trPr>
          <w:trHeight w:val="256"/>
        </w:trPr>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Time deposits</w:t>
            </w:r>
          </w:p>
        </w:tc>
        <w:tc>
          <w:tcPr>
            <w:tcW w:w="34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685,930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5.68 %</w:t>
            </w:r>
          </w:p>
        </w:tc>
        <w:tc>
          <w:tcPr>
            <w:tcW w:w="4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396,395</w:t>
            </w:r>
          </w:p>
        </w:tc>
        <w:tc>
          <w:tcPr>
            <w:tcW w:w="1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3.47 %</w:t>
            </w:r>
          </w:p>
        </w:tc>
      </w:tr>
      <w:tr>
        <w:trPr>
          <w:trHeight w:val="20"/>
        </w:trPr>
        <w:tc>
          <w:tcPr>
            <w:tcW w:w="4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Deposits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12,072,489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100.00 %</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11,433,642</w:t>
            </w:r>
          </w:p>
        </w:tc>
        <w:tc>
          <w:tcPr>
            <w:tcW w:w="1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100.00 %</w:t>
            </w:r>
          </w:p>
        </w:tc>
      </w:tr>
      <w:tr>
        <w:trPr>
          <w:trHeight w:val="20"/>
        </w:trPr>
        <w:tc>
          <w:tcPr>
            <w:tcW w:w="4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-1113790</wp:posOffset>
            </wp:positionV>
            <wp:extent cx="7132320" cy="15430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-805180</wp:posOffset>
            </wp:positionV>
            <wp:extent cx="7132320" cy="15430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-496570</wp:posOffset>
            </wp:positionV>
            <wp:extent cx="7132320" cy="15430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78" w:lineRule="exact"/>
        <w:rPr>
          <w:sz w:val="20"/>
          <w:szCs w:val="20"/>
          <w:color w:val="auto"/>
        </w:rPr>
      </w:pPr>
    </w:p>
    <w:p>
      <w:pPr>
        <w:ind w:right="240" w:firstLine="469"/>
        <w:spacing w:after="0" w:line="258" w:lineRule="auto"/>
        <w:rPr>
          <w:sz w:val="20"/>
          <w:szCs w:val="20"/>
          <w:color w:val="auto"/>
        </w:rPr>
      </w:pPr>
      <w:r>
        <w:rPr>
          <w:rFonts w:ascii="Times New Roman" w:cs="Times New Roman" w:eastAsia="Times New Roman" w:hAnsi="Times New Roman"/>
          <w:sz w:val="18"/>
          <w:szCs w:val="18"/>
          <w:color w:val="auto"/>
        </w:rPr>
        <w:t>The amount of noninterest-bearing deposits in relation to total deposits is an integral element in our strategy of seeking to achieve a low cost of funds. Noninterest-bearing deposits declined from the end of 2023 by $69.4 million and represented 59.1% of total deposits at the end of the third quarter of 2024, compared to 63% at the end of 2023. Average noninterest-bearing deposits totaled $7.12 billion for the third quarter of 2024, a decrease of $28.4 million, or 0.41%, from average noninterest-bearing deposits of $7.15 billion for the second quarter of 2024. Average noninterest-bearing deposits were 59.10% of total average deposits for the third quarter of 2024, compared to 60.20% for the second quarter of 2024.</w:t>
      </w:r>
    </w:p>
    <w:p>
      <w:pPr>
        <w:spacing w:after="0" w:line="183" w:lineRule="exact"/>
        <w:rPr>
          <w:sz w:val="20"/>
          <w:szCs w:val="20"/>
          <w:color w:val="auto"/>
        </w:rPr>
      </w:pPr>
    </w:p>
    <w:p>
      <w:pPr>
        <w:ind w:right="720" w:firstLine="469"/>
        <w:spacing w:after="0" w:line="282" w:lineRule="auto"/>
        <w:rPr>
          <w:sz w:val="20"/>
          <w:szCs w:val="20"/>
          <w:color w:val="auto"/>
        </w:rPr>
      </w:pPr>
      <w:r>
        <w:rPr>
          <w:rFonts w:ascii="Times New Roman" w:cs="Times New Roman" w:eastAsia="Times New Roman" w:hAnsi="Times New Roman"/>
          <w:sz w:val="18"/>
          <w:szCs w:val="18"/>
          <w:color w:val="auto"/>
        </w:rPr>
        <w:t>Interest-bearing non-maturity deposits, which include savings, interest-bearing demand, and money market accounts, totaled $4.25 billion at September 30, 2024, representing an increase of $418.7 million, or 10.93%, from savings deposits of $3.83 billion at December 31, 2023.</w:t>
      </w:r>
    </w:p>
    <w:p>
      <w:pPr>
        <w:spacing w:after="0" w:line="162" w:lineRule="exact"/>
        <w:rPr>
          <w:sz w:val="20"/>
          <w:szCs w:val="20"/>
          <w:color w:val="auto"/>
        </w:rPr>
      </w:pPr>
    </w:p>
    <w:p>
      <w:pPr>
        <w:ind w:right="540" w:firstLine="469"/>
        <w:spacing w:after="0" w:line="282" w:lineRule="auto"/>
        <w:rPr>
          <w:sz w:val="20"/>
          <w:szCs w:val="20"/>
          <w:color w:val="auto"/>
        </w:rPr>
      </w:pPr>
      <w:r>
        <w:rPr>
          <w:rFonts w:ascii="Times New Roman" w:cs="Times New Roman" w:eastAsia="Times New Roman" w:hAnsi="Times New Roman"/>
          <w:sz w:val="18"/>
          <w:szCs w:val="18"/>
          <w:color w:val="auto"/>
        </w:rPr>
        <w:t>Time deposits totaled $685.9 million at September 30, 2024, representing an increase of $289.5 million, or 73.04%, from total time deposits of $396.4 million for December 31, 2023. This increase included $400 million in brokered time deposits.</w:t>
      </w:r>
    </w:p>
    <w:p>
      <w:pPr>
        <w:spacing w:after="0" w:line="162" w:lineRule="exact"/>
        <w:rPr>
          <w:sz w:val="20"/>
          <w:szCs w:val="20"/>
          <w:color w:val="auto"/>
        </w:rPr>
      </w:pPr>
    </w:p>
    <w:p>
      <w:pPr>
        <w:ind w:right="60" w:firstLine="469"/>
        <w:spacing w:after="0" w:line="256" w:lineRule="auto"/>
        <w:rPr>
          <w:sz w:val="20"/>
          <w:szCs w:val="20"/>
          <w:color w:val="auto"/>
        </w:rPr>
      </w:pPr>
      <w:r>
        <w:rPr>
          <w:rFonts w:ascii="Times New Roman" w:cs="Times New Roman" w:eastAsia="Times New Roman" w:hAnsi="Times New Roman"/>
          <w:sz w:val="18"/>
          <w:szCs w:val="18"/>
          <w:color w:val="auto"/>
        </w:rPr>
        <w:t>During the first nine months of 2024, $400 million of brokered time deposits were issued, including $300 million that were associated with cash flow hedging transactions simultaneously executed in which $300 million of notional pay-fixed interest rate swaps were consummated with maturities of three years, wherein the Company pays a weighted average fixed rate of approximately 4.2% and receives daily SOFR. We entered into these interest rate derivative contracts that are designated as qualifying cash flow hedges to hedge the exposure to variability in expected future cash flows attributable to changes in a contractually specified interest rate. The fair value of these instruments totaled $5.3 million and were reflected as a liability at September 30, 2024.</w:t>
      </w:r>
    </w:p>
    <w:p>
      <w:pPr>
        <w:spacing w:after="0" w:line="187" w:lineRule="exact"/>
        <w:rPr>
          <w:sz w:val="20"/>
          <w:szCs w:val="20"/>
          <w:color w:val="auto"/>
        </w:rPr>
      </w:pPr>
    </w:p>
    <w:p>
      <w:pPr>
        <w:ind w:right="100" w:firstLine="469"/>
        <w:spacing w:after="0" w:line="255" w:lineRule="auto"/>
        <w:rPr>
          <w:sz w:val="20"/>
          <w:szCs w:val="20"/>
          <w:color w:val="auto"/>
        </w:rPr>
      </w:pPr>
      <w:r>
        <w:rPr>
          <w:rFonts w:ascii="Times New Roman" w:cs="Times New Roman" w:eastAsia="Times New Roman" w:hAnsi="Times New Roman"/>
          <w:sz w:val="18"/>
          <w:szCs w:val="18"/>
          <w:color w:val="auto"/>
        </w:rPr>
        <w:t>Our deposits are primarily relationship based and include deposits and customer repurchase agreements ("repos"). For the third quarter of 2024, 73% of our deposits consisted of business deposits and 27% consist of consumer deposits, primarily the owners and employees of our business customers. The largest percentage of our deposits, 38%, are analyzed business accounts, which represent customer operating accounts that generally utilize a wide array of treasury management products. As most of our business customers need to operate with more than $250,000 in their operating</w:t>
      </w:r>
    </w:p>
    <w:p>
      <w:pPr>
        <w:spacing w:after="0" w:line="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093" w:right="279" w:bottom="1440" w:gutter="0" w:footer="0" w:header="0"/>
        </w:sectPr>
      </w:pPr>
    </w:p>
    <w:bookmarkStart w:id="64" w:name="page65"/>
    <w:bookmarkEnd w:id="64"/>
    <w:p>
      <w:pPr>
        <w:ind w:right="340"/>
        <w:spacing w:after="0" w:line="282" w:lineRule="auto"/>
        <w:rPr>
          <w:sz w:val="20"/>
          <w:szCs w:val="20"/>
          <w:color w:val="auto"/>
        </w:rPr>
      </w:pPr>
      <w:r>
        <w:rPr>
          <w:rFonts w:ascii="Times New Roman" w:cs="Times New Roman" w:eastAsia="Times New Roman" w:hAnsi="Times New Roman"/>
          <w:sz w:val="18"/>
          <w:szCs w:val="18"/>
          <w:color w:val="auto"/>
        </w:rPr>
        <w:t>account, we have a significant percentage of deposits that are uninsured. As of September 30, 2024, 43% of our total deposits and customer repos were uncollateralized and uninsured.</w:t>
      </w:r>
    </w:p>
    <w:p>
      <w:pPr>
        <w:spacing w:after="0" w:line="162" w:lineRule="exact"/>
        <w:rPr>
          <w:sz w:val="20"/>
          <w:szCs w:val="20"/>
          <w:color w:val="auto"/>
        </w:rPr>
      </w:pPr>
    </w:p>
    <w:p>
      <w:pPr>
        <w:ind w:right="40" w:firstLine="469"/>
        <w:spacing w:after="0" w:line="256" w:lineRule="auto"/>
        <w:rPr>
          <w:sz w:val="20"/>
          <w:szCs w:val="20"/>
          <w:color w:val="auto"/>
        </w:rPr>
      </w:pPr>
      <w:r>
        <w:rPr>
          <w:rFonts w:ascii="Times New Roman" w:cs="Times New Roman" w:eastAsia="Times New Roman" w:hAnsi="Times New Roman"/>
          <w:sz w:val="18"/>
          <w:szCs w:val="18"/>
          <w:color w:val="auto"/>
        </w:rPr>
        <w:t>Our customer deposit relationships represent a diverse set of industries. Overall, there are approximately 15 different industry classifications that represent 2% or more of our deposits as of September 30, 2024. Industry classifications with the largest concentrations, include construction representing 7% of our deposits. Manufacturing and finance &amp; insurance deposits, each of which represents 8% of our deposits. Property management, public administration, and other real estate rental &amp; leasing, each of which represents 6% of our deposits. Our depositors have typically banked with us for many years. As of September 30, 2024, 44% of our deposit relationships have banked with us more than 10 years and 74% of our deposit relationships have been with us for three or more years.</w:t>
      </w:r>
    </w:p>
    <w:p>
      <w:pPr>
        <w:spacing w:after="0" w:line="187" w:lineRule="exact"/>
        <w:rPr>
          <w:sz w:val="20"/>
          <w:szCs w:val="20"/>
          <w:color w:val="auto"/>
        </w:rPr>
      </w:pPr>
    </w:p>
    <w:p>
      <w:pPr>
        <w:ind w:right="180" w:firstLine="469"/>
        <w:spacing w:after="0" w:line="261" w:lineRule="auto"/>
        <w:rPr>
          <w:sz w:val="20"/>
          <w:szCs w:val="20"/>
          <w:color w:val="auto"/>
        </w:rPr>
      </w:pPr>
      <w:r>
        <w:rPr>
          <w:rFonts w:ascii="Times New Roman" w:cs="Times New Roman" w:eastAsia="Times New Roman" w:hAnsi="Times New Roman"/>
          <w:sz w:val="18"/>
          <w:szCs w:val="18"/>
          <w:color w:val="auto"/>
        </w:rPr>
        <w:t>Our cost of deposits was 98 basis points on average for the third quarter of 2024, which compares to 88 basis points for the second quarter of 2024 and 52 basis points for the third quarter of 2023. From the first quarter of 2022 through the third quarter of 2024, our cost of deposits has increased by 95 basis points, representing a deposit beta of 18%, compared to the 525 basis point increase in the Fed Funds rate during the Federal Reserve’s tightening cycle.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Borrowings</w:t>
      </w:r>
    </w:p>
    <w:p>
      <w:pPr>
        <w:spacing w:after="0" w:line="229" w:lineRule="exact"/>
        <w:rPr>
          <w:sz w:val="20"/>
          <w:szCs w:val="20"/>
          <w:color w:val="auto"/>
        </w:rPr>
      </w:pPr>
    </w:p>
    <w:p>
      <w:pPr>
        <w:ind w:right="60" w:firstLine="469"/>
        <w:spacing w:after="0" w:line="256" w:lineRule="auto"/>
        <w:rPr>
          <w:sz w:val="20"/>
          <w:szCs w:val="20"/>
          <w:color w:val="auto"/>
        </w:rPr>
      </w:pPr>
      <w:r>
        <w:rPr>
          <w:rFonts w:ascii="Times New Roman" w:cs="Times New Roman" w:eastAsia="Times New Roman" w:hAnsi="Times New Roman"/>
          <w:sz w:val="18"/>
          <w:szCs w:val="18"/>
          <w:color w:val="auto"/>
        </w:rPr>
        <w:t>We offer a repurchase agreement product to our customers. This product, known as Citizens Sweep Manager, sells our investment securities overnight to our customers under an agreement to repurchase them the next day at a price that reflects the market value of the use of these funds by the Bank for the period concerned. These repurchase agreements are signed with customers who want to invest their excess deposits, above a pre-determined balance in a demand deposit account, in order to earn interest. As of September 30, 2024 and December 31, 2023, total funds borrowed under these agreements were $394.5 million and $271.6 million, respectively, with a weighted average interest rate of 1.73% for the third quarter of 2024, compared to 0.47% for the second quarter of 2024 and 0.29% for the third quarter of 2023.</w:t>
      </w:r>
    </w:p>
    <w:p>
      <w:pPr>
        <w:spacing w:after="0" w:line="187" w:lineRule="exact"/>
        <w:rPr>
          <w:sz w:val="20"/>
          <w:szCs w:val="20"/>
          <w:color w:val="auto"/>
        </w:rPr>
      </w:pPr>
    </w:p>
    <w:p>
      <w:pPr>
        <w:ind w:firstLine="469"/>
        <w:spacing w:after="0" w:line="261" w:lineRule="auto"/>
        <w:rPr>
          <w:sz w:val="20"/>
          <w:szCs w:val="20"/>
          <w:color w:val="auto"/>
        </w:rPr>
      </w:pPr>
      <w:r>
        <w:rPr>
          <w:rFonts w:ascii="Times New Roman" w:cs="Times New Roman" w:eastAsia="Times New Roman" w:hAnsi="Times New Roman"/>
          <w:sz w:val="18"/>
          <w:szCs w:val="18"/>
          <w:color w:val="auto"/>
        </w:rPr>
        <w:t>At September 30, 2024, total borrowings consisted of $500 million of FHLB advances. The FHLB advances include maturities of $300 million, at an average cost of approximately 4.73%, maturing in May of 2026, and $200 million, at a cost of 4.27% maturing in May of 2027. During the third quarter of 2024, we repaid the $1.3 billion of borrowings from the Federal Reserve’s Bank Term Funding Program, with a cost of 4.76%, that were scheduled to mature in January of 2025.</w:t>
      </w:r>
    </w:p>
    <w:p>
      <w:pPr>
        <w:spacing w:after="0" w:line="180" w:lineRule="exact"/>
        <w:rPr>
          <w:sz w:val="20"/>
          <w:szCs w:val="20"/>
          <w:color w:val="auto"/>
        </w:rPr>
      </w:pPr>
    </w:p>
    <w:p>
      <w:pPr>
        <w:ind w:right="140" w:firstLine="469"/>
        <w:spacing w:after="0" w:line="282" w:lineRule="auto"/>
        <w:rPr>
          <w:sz w:val="20"/>
          <w:szCs w:val="20"/>
          <w:color w:val="auto"/>
        </w:rPr>
      </w:pPr>
      <w:r>
        <w:rPr>
          <w:rFonts w:ascii="Times New Roman" w:cs="Times New Roman" w:eastAsia="Times New Roman" w:hAnsi="Times New Roman"/>
          <w:sz w:val="18"/>
          <w:szCs w:val="18"/>
          <w:color w:val="auto"/>
        </w:rPr>
        <w:t>At September 30, 2024, loans with a carrying value of $4.32 billion were pledged to secure available lines of credit from the FHLB and the Federal Reserve Bank.</w:t>
      </w:r>
    </w:p>
    <w:p>
      <w:pPr>
        <w:spacing w:after="0" w:line="162" w:lineRule="exact"/>
        <w:rPr>
          <w:sz w:val="20"/>
          <w:szCs w:val="20"/>
          <w:color w:val="auto"/>
        </w:rPr>
      </w:pPr>
    </w:p>
    <w:p>
      <w:pPr>
        <w:ind w:firstLine="469"/>
        <w:spacing w:after="0" w:line="282" w:lineRule="auto"/>
        <w:rPr>
          <w:sz w:val="20"/>
          <w:szCs w:val="20"/>
          <w:color w:val="auto"/>
        </w:rPr>
      </w:pPr>
      <w:r>
        <w:rPr>
          <w:rFonts w:ascii="Times New Roman" w:cs="Times New Roman" w:eastAsia="Times New Roman" w:hAnsi="Times New Roman"/>
          <w:sz w:val="18"/>
          <w:szCs w:val="18"/>
          <w:color w:val="auto"/>
        </w:rPr>
        <w:t>At September 30, 2024, investment securities, with the following carrying values of $1.88 billion were pledged to secure $469 million for repurchase agreements, $1.35 billion for unused borrowing capacity and approximately $58 million for other purposes as required or permitted by law.</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i w:val="1"/>
          <w:iCs w:val="1"/>
          <w:color w:val="auto"/>
        </w:rPr>
        <w:t>Aggregate Contractual Obligations</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the aggregate contractual obligations as of September 30, 2024.</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4"/>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Maturity by Period</w:t>
            </w:r>
          </w:p>
        </w:tc>
        <w:tc>
          <w:tcPr>
            <w:tcW w:w="2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0"/>
        </w:trPr>
        <w:tc>
          <w:tcPr>
            <w:tcW w:w="4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9"/>
              </w:rPr>
              <w:t>One Year</w:t>
            </w:r>
          </w:p>
        </w:tc>
        <w:tc>
          <w:tcPr>
            <w:tcW w:w="120" w:type="dxa"/>
            <w:vAlign w:val="bottom"/>
          </w:tcPr>
          <w:p>
            <w:pPr>
              <w:spacing w:after="0"/>
              <w:rPr>
                <w:sz w:val="17"/>
                <w:szCs w:val="17"/>
                <w:color w:val="auto"/>
              </w:rPr>
            </w:pPr>
          </w:p>
        </w:tc>
        <w:tc>
          <w:tcPr>
            <w:tcW w:w="98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Four Years</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Less Than One</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Through</w:t>
            </w:r>
          </w:p>
        </w:tc>
        <w:tc>
          <w:tcPr>
            <w:tcW w:w="120" w:type="dxa"/>
            <w:vAlign w:val="bottom"/>
          </w:tcPr>
          <w:p>
            <w:pPr>
              <w:spacing w:after="0"/>
              <w:rPr>
                <w:sz w:val="17"/>
                <w:szCs w:val="17"/>
                <w:color w:val="auto"/>
              </w:rPr>
            </w:pPr>
          </w:p>
        </w:tc>
        <w:tc>
          <w:tcPr>
            <w:tcW w:w="98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Through</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Over Five</w:t>
            </w:r>
          </w:p>
        </w:tc>
      </w:tr>
      <w:tr>
        <w:trPr>
          <w:trHeight w:val="225"/>
        </w:trPr>
        <w:tc>
          <w:tcPr>
            <w:tcW w:w="44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Year</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8"/>
              </w:rPr>
              <w:t>Three Years</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Five Years</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Years</w:t>
            </w:r>
          </w:p>
        </w:tc>
        <w:tc>
          <w:tcPr>
            <w:tcW w:w="100" w:type="dxa"/>
            <w:vAlign w:val="bottom"/>
          </w:tcPr>
          <w:p>
            <w:pPr>
              <w:spacing w:after="0"/>
              <w:rPr>
                <w:sz w:val="19"/>
                <w:szCs w:val="19"/>
                <w:color w:val="auto"/>
              </w:rPr>
            </w:pPr>
          </w:p>
        </w:tc>
      </w:tr>
      <w:tr>
        <w:trPr>
          <w:trHeight w:val="221"/>
        </w:trPr>
        <w:tc>
          <w:tcPr>
            <w:tcW w:w="4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w w:val="95"/>
              </w:rPr>
              <w:t>(Dollars in thousands)</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Deposits (1)</w:t>
            </w: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12,072,489</w:t>
            </w: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12,060,120</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10,335</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1,751</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100" w:type="dxa"/>
            <w:vAlign w:val="bottom"/>
            <w:shd w:val="clear" w:color="auto" w:fill="CFF0FC"/>
          </w:tcPr>
          <w:p>
            <w:pPr>
              <w:spacing w:after="0"/>
              <w:rPr>
                <w:sz w:val="20"/>
                <w:szCs w:val="20"/>
                <w:color w:val="auto"/>
              </w:rPr>
            </w:pPr>
          </w:p>
        </w:tc>
      </w:tr>
      <w:tr>
        <w:trPr>
          <w:trHeight w:val="220"/>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repurchase agreements (1)</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394,515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394,515</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borrowings</w:t>
            </w: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compensation</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22,633</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1,152</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1,150</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19,756</w:t>
            </w:r>
          </w:p>
        </w:tc>
        <w:tc>
          <w:tcPr>
            <w:tcW w:w="100" w:type="dxa"/>
            <w:vAlign w:val="bottom"/>
          </w:tcPr>
          <w:p>
            <w:pPr>
              <w:spacing w:after="0"/>
              <w:rPr>
                <w:sz w:val="19"/>
                <w:szCs w:val="19"/>
                <w:color w:val="auto"/>
              </w:rPr>
            </w:pPr>
          </w:p>
        </w:tc>
      </w:tr>
      <w:tr>
        <w:trPr>
          <w:trHeight w:val="239"/>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leases</w:t>
            </w: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45,197</w:t>
            </w: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8,466</w:t>
            </w: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14,201</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7,467</w:t>
            </w: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15,063</w:t>
            </w:r>
          </w:p>
        </w:tc>
        <w:tc>
          <w:tcPr>
            <w:tcW w:w="100" w:type="dxa"/>
            <w:vAlign w:val="bottom"/>
            <w:shd w:val="clear" w:color="auto" w:fill="CFF0FC"/>
          </w:tcPr>
          <w:p>
            <w:pPr>
              <w:spacing w:after="0"/>
              <w:rPr>
                <w:sz w:val="20"/>
                <w:szCs w:val="20"/>
                <w:color w:val="auto"/>
              </w:rPr>
            </w:pPr>
          </w:p>
        </w:tc>
      </w:tr>
      <w:tr>
        <w:trPr>
          <w:trHeight w:val="227"/>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investments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39,893</w:t>
            </w:r>
          </w:p>
        </w:tc>
        <w:tc>
          <w:tcPr>
            <w:tcW w:w="3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26,289</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12,264</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990</w:t>
            </w:r>
          </w:p>
        </w:tc>
        <w:tc>
          <w:tcPr>
            <w:tcW w:w="100" w:type="dxa"/>
            <w:vAlign w:val="bottom"/>
          </w:tcPr>
          <w:p>
            <w:pPr>
              <w:spacing w:after="0"/>
              <w:rPr>
                <w:sz w:val="19"/>
                <w:szCs w:val="19"/>
                <w:color w:val="auto"/>
              </w:rPr>
            </w:pPr>
          </w:p>
        </w:tc>
      </w:tr>
      <w:tr>
        <w:trPr>
          <w:trHeight w:val="266"/>
        </w:trPr>
        <w:tc>
          <w:tcPr>
            <w:tcW w:w="44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13,074,727</w:t>
            </w:r>
          </w:p>
        </w:tc>
        <w:tc>
          <w:tcPr>
            <w:tcW w:w="30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12,489,965</w:t>
            </w:r>
          </w:p>
        </w:tc>
        <w:tc>
          <w:tcPr>
            <w:tcW w:w="28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537,952</w:t>
            </w:r>
          </w:p>
        </w:tc>
        <w:tc>
          <w:tcPr>
            <w:tcW w:w="28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10,718</w:t>
            </w:r>
          </w:p>
        </w:tc>
        <w:tc>
          <w:tcPr>
            <w:tcW w:w="28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36,092</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-25400</wp:posOffset>
            </wp:positionV>
            <wp:extent cx="76835" cy="889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-7620</wp:posOffset>
            </wp:positionV>
            <wp:extent cx="76835" cy="825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-25400</wp:posOffset>
            </wp:positionV>
            <wp:extent cx="76835" cy="889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76835" cy="825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-25400</wp:posOffset>
            </wp:positionV>
            <wp:extent cx="68580" cy="889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-7620</wp:posOffset>
            </wp:positionV>
            <wp:extent cx="68580" cy="825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-25400</wp:posOffset>
            </wp:positionV>
            <wp:extent cx="68580" cy="889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-7620</wp:posOffset>
            </wp:positionV>
            <wp:extent cx="68580" cy="825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left="1040" w:hanging="470"/>
        <w:spacing w:after="0"/>
        <w:tabs>
          <w:tab w:leader="none" w:pos="10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exclude accrued interest.</w:t>
      </w:r>
    </w:p>
    <w:p>
      <w:pPr>
        <w:spacing w:after="0" w:line="23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Deposits represent noninterest-bearing, money market, savings, NOW, certificates of deposits, brokered and all other deposits held by the Bank.</w:t>
      </w:r>
    </w:p>
    <w:p>
      <w:pPr>
        <w:spacing w:after="0" w:line="225" w:lineRule="exact"/>
        <w:rPr>
          <w:sz w:val="20"/>
          <w:szCs w:val="20"/>
          <w:color w:val="auto"/>
        </w:rPr>
      </w:pPr>
    </w:p>
    <w:p>
      <w:pPr>
        <w:ind w:right="40" w:firstLine="469"/>
        <w:spacing w:after="0" w:line="282" w:lineRule="auto"/>
        <w:rPr>
          <w:sz w:val="20"/>
          <w:szCs w:val="20"/>
          <w:color w:val="auto"/>
        </w:rPr>
      </w:pPr>
      <w:r>
        <w:rPr>
          <w:rFonts w:ascii="Times New Roman" w:cs="Times New Roman" w:eastAsia="Times New Roman" w:hAnsi="Times New Roman"/>
          <w:sz w:val="18"/>
          <w:szCs w:val="18"/>
          <w:color w:val="auto"/>
        </w:rPr>
        <w:t>Customer repurchase agreements represent excess amounts swept from customer demand deposit accounts, which mature the following business day and are collateralized by investment securities. These amounts are due to customers.</w:t>
      </w:r>
    </w:p>
    <w:p>
      <w:pPr>
        <w:spacing w:after="0" w:line="162" w:lineRule="exact"/>
        <w:rPr>
          <w:sz w:val="20"/>
          <w:szCs w:val="20"/>
          <w:color w:val="auto"/>
        </w:rPr>
      </w:pPr>
    </w:p>
    <w:p>
      <w:pPr>
        <w:ind w:right="140" w:firstLine="469"/>
        <w:spacing w:after="0" w:line="282" w:lineRule="auto"/>
        <w:rPr>
          <w:sz w:val="20"/>
          <w:szCs w:val="20"/>
          <w:color w:val="auto"/>
        </w:rPr>
      </w:pPr>
      <w:r>
        <w:rPr>
          <w:rFonts w:ascii="Times New Roman" w:cs="Times New Roman" w:eastAsia="Times New Roman" w:hAnsi="Times New Roman"/>
          <w:sz w:val="18"/>
          <w:szCs w:val="18"/>
          <w:color w:val="auto"/>
        </w:rPr>
        <w:t>Deferred compensation represents the amounts that are due to former employees based on salary continuation agreements as a result of acquisitions and amounts due to current and retired employees under our deferred compensation plans.</w:t>
      </w:r>
    </w:p>
    <w:p>
      <w:pPr>
        <w:spacing w:after="0" w:line="160" w:lineRule="exact"/>
        <w:rPr>
          <w:sz w:val="20"/>
          <w:szCs w:val="20"/>
          <w:color w:val="auto"/>
        </w:rPr>
      </w:pPr>
    </w:p>
    <w:p>
      <w:pPr>
        <w:ind w:right="220" w:firstLine="469"/>
        <w:spacing w:after="0" w:line="284" w:lineRule="auto"/>
        <w:rPr>
          <w:sz w:val="20"/>
          <w:szCs w:val="20"/>
          <w:color w:val="auto"/>
        </w:rPr>
      </w:pPr>
      <w:r>
        <w:rPr>
          <w:rFonts w:ascii="Times New Roman" w:cs="Times New Roman" w:eastAsia="Times New Roman" w:hAnsi="Times New Roman"/>
          <w:sz w:val="18"/>
          <w:szCs w:val="18"/>
          <w:color w:val="auto"/>
        </w:rPr>
        <w:t xml:space="preserve">Operating leases represent the total minimum lease payments due under non-cancelable operating leases. Refer to Note 12 –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of the notes to the Company’s unaudited condensed consolidated financial statements for a more detailed discussion about leases.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6" w:name="page67"/>
    <w:bookmarkEnd w:id="66"/>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the off-balance sheet items at September 30, 2024.</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4"/>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Maturity by Period</w:t>
            </w:r>
          </w:p>
        </w:tc>
        <w:tc>
          <w:tcPr>
            <w:tcW w:w="2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0"/>
        </w:trPr>
        <w:tc>
          <w:tcPr>
            <w:tcW w:w="4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9"/>
              </w:rPr>
              <w:t>One Year</w:t>
            </w:r>
          </w:p>
        </w:tc>
        <w:tc>
          <w:tcPr>
            <w:tcW w:w="120" w:type="dxa"/>
            <w:vAlign w:val="bottom"/>
          </w:tcPr>
          <w:p>
            <w:pPr>
              <w:spacing w:after="0"/>
              <w:rPr>
                <w:sz w:val="17"/>
                <w:szCs w:val="17"/>
                <w:color w:val="auto"/>
              </w:rPr>
            </w:pPr>
          </w:p>
        </w:tc>
        <w:tc>
          <w:tcPr>
            <w:tcW w:w="98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Four Years</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Less Than One</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Through</w:t>
            </w:r>
          </w:p>
        </w:tc>
        <w:tc>
          <w:tcPr>
            <w:tcW w:w="120" w:type="dxa"/>
            <w:vAlign w:val="bottom"/>
          </w:tcPr>
          <w:p>
            <w:pPr>
              <w:spacing w:after="0"/>
              <w:rPr>
                <w:sz w:val="17"/>
                <w:szCs w:val="17"/>
                <w:color w:val="auto"/>
              </w:rPr>
            </w:pPr>
          </w:p>
        </w:tc>
        <w:tc>
          <w:tcPr>
            <w:tcW w:w="98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Through</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After Five</w:t>
            </w:r>
          </w:p>
        </w:tc>
      </w:tr>
      <w:tr>
        <w:trPr>
          <w:trHeight w:val="225"/>
        </w:trPr>
        <w:tc>
          <w:tcPr>
            <w:tcW w:w="44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Year</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8"/>
              </w:rPr>
              <w:t>Three Years</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Five Years</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Years</w:t>
            </w:r>
          </w:p>
        </w:tc>
        <w:tc>
          <w:tcPr>
            <w:tcW w:w="100" w:type="dxa"/>
            <w:vAlign w:val="bottom"/>
          </w:tcPr>
          <w:p>
            <w:pPr>
              <w:spacing w:after="0"/>
              <w:rPr>
                <w:sz w:val="19"/>
                <w:szCs w:val="19"/>
                <w:color w:val="auto"/>
              </w:rPr>
            </w:pPr>
          </w:p>
        </w:tc>
      </w:tr>
      <w:tr>
        <w:trPr>
          <w:trHeight w:val="221"/>
        </w:trPr>
        <w:tc>
          <w:tcPr>
            <w:tcW w:w="4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w w:val="95"/>
              </w:rPr>
              <w:t>(Dollars in thousands)</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Commitment to extend credit:</w:t>
            </w: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44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Commercial real estate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408,700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83,826</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194,974</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103,063</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26,837</w:t>
            </w:r>
          </w:p>
        </w:tc>
        <w:tc>
          <w:tcPr>
            <w:tcW w:w="100" w:type="dxa"/>
            <w:vAlign w:val="bottom"/>
          </w:tcPr>
          <w:p>
            <w:pPr>
              <w:spacing w:after="0"/>
              <w:rPr>
                <w:sz w:val="19"/>
                <w:szCs w:val="19"/>
                <w:color w:val="auto"/>
              </w:rPr>
            </w:pPr>
          </w:p>
        </w:tc>
      </w:tr>
      <w:tr>
        <w:trPr>
          <w:trHeight w:val="239"/>
        </w:trPr>
        <w:tc>
          <w:tcPr>
            <w:tcW w:w="4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Construction</w:t>
            </w: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13,142</w:t>
            </w:r>
          </w:p>
        </w:tc>
        <w:tc>
          <w:tcPr>
            <w:tcW w:w="3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7,320</w:t>
            </w: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5,822</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44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SBA</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w:t>
            </w:r>
          </w:p>
        </w:tc>
        <w:tc>
          <w:tcPr>
            <w:tcW w:w="100" w:type="dxa"/>
            <w:vAlign w:val="bottom"/>
          </w:tcPr>
          <w:p>
            <w:pPr>
              <w:spacing w:after="0"/>
              <w:rPr>
                <w:sz w:val="19"/>
                <w:szCs w:val="19"/>
                <w:color w:val="auto"/>
              </w:rPr>
            </w:pPr>
          </w:p>
        </w:tc>
      </w:tr>
      <w:tr>
        <w:trPr>
          <w:trHeight w:val="239"/>
        </w:trPr>
        <w:tc>
          <w:tcPr>
            <w:tcW w:w="4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1,018,764</w:t>
            </w:r>
          </w:p>
        </w:tc>
        <w:tc>
          <w:tcPr>
            <w:tcW w:w="3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739,513</w:t>
            </w: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247,247</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1,703</w:t>
            </w: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30,301</w:t>
            </w:r>
          </w:p>
        </w:tc>
        <w:tc>
          <w:tcPr>
            <w:tcW w:w="100" w:type="dxa"/>
            <w:vAlign w:val="bottom"/>
            <w:shd w:val="clear" w:color="auto" w:fill="CFF0FC"/>
          </w:tcPr>
          <w:p>
            <w:pPr>
              <w:spacing w:after="0"/>
              <w:rPr>
                <w:sz w:val="20"/>
                <w:szCs w:val="20"/>
                <w:color w:val="auto"/>
              </w:rPr>
            </w:pPr>
          </w:p>
        </w:tc>
      </w:tr>
      <w:tr>
        <w:trPr>
          <w:trHeight w:val="220"/>
        </w:trPr>
        <w:tc>
          <w:tcPr>
            <w:tcW w:w="44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Dairy &amp; livestock and agribusiness (1)</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242,117</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199,067</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43,050</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4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Municipal lease finance receivables</w:t>
            </w: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1,109</w:t>
            </w:r>
          </w:p>
        </w:tc>
        <w:tc>
          <w:tcPr>
            <w:tcW w:w="3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1,109</w:t>
            </w:r>
          </w:p>
        </w:tc>
        <w:tc>
          <w:tcPr>
            <w:tcW w:w="100" w:type="dxa"/>
            <w:vAlign w:val="bottom"/>
            <w:shd w:val="clear" w:color="auto" w:fill="CFF0FC"/>
          </w:tcPr>
          <w:p>
            <w:pPr>
              <w:spacing w:after="0"/>
              <w:rPr>
                <w:sz w:val="20"/>
                <w:szCs w:val="20"/>
                <w:color w:val="auto"/>
              </w:rPr>
            </w:pPr>
          </w:p>
        </w:tc>
      </w:tr>
      <w:tr>
        <w:trPr>
          <w:trHeight w:val="220"/>
        </w:trPr>
        <w:tc>
          <w:tcPr>
            <w:tcW w:w="44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SFR Mortgage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1,515</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1,515</w:t>
            </w:r>
          </w:p>
        </w:tc>
        <w:tc>
          <w:tcPr>
            <w:tcW w:w="100" w:type="dxa"/>
            <w:vAlign w:val="bottom"/>
          </w:tcPr>
          <w:p>
            <w:pPr>
              <w:spacing w:after="0"/>
              <w:rPr>
                <w:sz w:val="19"/>
                <w:szCs w:val="19"/>
                <w:color w:val="auto"/>
              </w:rPr>
            </w:pPr>
          </w:p>
        </w:tc>
      </w:tr>
      <w:tr>
        <w:trPr>
          <w:trHeight w:val="236"/>
        </w:trPr>
        <w:tc>
          <w:tcPr>
            <w:tcW w:w="44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Consumer and other loans</w:t>
            </w:r>
          </w:p>
        </w:tc>
        <w:tc>
          <w:tcPr>
            <w:tcW w:w="2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125,235</w:t>
            </w:r>
          </w:p>
        </w:tc>
        <w:tc>
          <w:tcPr>
            <w:tcW w:w="3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9,946</w:t>
            </w:r>
          </w:p>
        </w:tc>
        <w:tc>
          <w:tcPr>
            <w:tcW w:w="2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8,332</w:t>
            </w:r>
          </w:p>
        </w:tc>
        <w:tc>
          <w:tcPr>
            <w:tcW w:w="2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3,477</w:t>
            </w:r>
          </w:p>
        </w:tc>
        <w:tc>
          <w:tcPr>
            <w:tcW w:w="2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103,480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16"/>
        </w:trPr>
        <w:tc>
          <w:tcPr>
            <w:tcW w:w="4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commitment to extend credit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1,811,313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1,039,672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499,425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108,243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163,973</w:t>
            </w:r>
          </w:p>
        </w:tc>
        <w:tc>
          <w:tcPr>
            <w:tcW w:w="100" w:type="dxa"/>
            <w:vAlign w:val="bottom"/>
          </w:tcPr>
          <w:p>
            <w:pPr>
              <w:spacing w:after="0"/>
              <w:rPr>
                <w:sz w:val="18"/>
                <w:szCs w:val="18"/>
                <w:color w:val="auto"/>
              </w:rPr>
            </w:pPr>
          </w:p>
        </w:tc>
      </w:tr>
      <w:tr>
        <w:trPr>
          <w:trHeight w:val="236"/>
        </w:trPr>
        <w:tc>
          <w:tcPr>
            <w:tcW w:w="4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Obligations under letters of credit</w:t>
            </w:r>
          </w:p>
        </w:tc>
        <w:tc>
          <w:tcPr>
            <w:tcW w:w="2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61,025</w:t>
            </w:r>
          </w:p>
        </w:tc>
        <w:tc>
          <w:tcPr>
            <w:tcW w:w="3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41,360</w:t>
            </w:r>
          </w:p>
        </w:tc>
        <w:tc>
          <w:tcPr>
            <w:tcW w:w="2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19,447</w:t>
            </w:r>
          </w:p>
        </w:tc>
        <w:tc>
          <w:tcPr>
            <w:tcW w:w="2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2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6"/>
        </w:trPr>
        <w:tc>
          <w:tcPr>
            <w:tcW w:w="4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1,872,338</w:t>
            </w:r>
          </w:p>
        </w:tc>
        <w:tc>
          <w:tcPr>
            <w:tcW w:w="300" w:type="dxa"/>
            <w:vAlign w:val="bottom"/>
          </w:tcPr>
          <w:p>
            <w:pPr>
              <w:spacing w:after="0"/>
              <w:rPr>
                <w:sz w:val="19"/>
                <w:szCs w:val="19"/>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1,081,032</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518,872</w:t>
            </w:r>
          </w:p>
        </w:tc>
        <w:tc>
          <w:tcPr>
            <w:tcW w:w="2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108,443</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163,991</w:t>
            </w:r>
          </w:p>
        </w:tc>
        <w:tc>
          <w:tcPr>
            <w:tcW w:w="100" w:type="dxa"/>
            <w:vAlign w:val="bottom"/>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-479425</wp:posOffset>
            </wp:positionV>
            <wp:extent cx="76835" cy="825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-479425</wp:posOffset>
            </wp:positionV>
            <wp:extent cx="76835" cy="825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-479425</wp:posOffset>
            </wp:positionV>
            <wp:extent cx="68580" cy="825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-479425</wp:posOffset>
            </wp:positionV>
            <wp:extent cx="68580" cy="825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-479425</wp:posOffset>
            </wp:positionV>
            <wp:extent cx="68580" cy="825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-179070</wp:posOffset>
            </wp:positionV>
            <wp:extent cx="76835" cy="825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-179070</wp:posOffset>
            </wp:positionV>
            <wp:extent cx="76835" cy="825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-179070</wp:posOffset>
            </wp:positionV>
            <wp:extent cx="68580" cy="825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-179070</wp:posOffset>
            </wp:positionV>
            <wp:extent cx="68580" cy="825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9" w:lineRule="exact"/>
        <w:rPr>
          <w:sz w:val="20"/>
          <w:szCs w:val="20"/>
          <w:color w:val="auto"/>
        </w:rPr>
      </w:pPr>
    </w:p>
    <w:p>
      <w:pPr>
        <w:ind w:left="1040" w:hanging="470"/>
        <w:spacing w:after="0"/>
        <w:tabs>
          <w:tab w:leader="none" w:pos="10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commitments to extend credit to agribusiness were $14.1 million at September 30, 2024.</w:t>
      </w:r>
    </w:p>
    <w:p>
      <w:pPr>
        <w:spacing w:after="0" w:line="230" w:lineRule="exact"/>
        <w:rPr>
          <w:sz w:val="20"/>
          <w:szCs w:val="20"/>
          <w:color w:val="auto"/>
        </w:rPr>
      </w:pPr>
    </w:p>
    <w:p>
      <w:pPr>
        <w:ind w:right="20" w:firstLine="469"/>
        <w:spacing w:after="0" w:line="254" w:lineRule="auto"/>
        <w:rPr>
          <w:sz w:val="20"/>
          <w:szCs w:val="20"/>
          <w:color w:val="auto"/>
        </w:rPr>
      </w:pPr>
      <w:r>
        <w:rPr>
          <w:rFonts w:ascii="Times New Roman" w:cs="Times New Roman" w:eastAsia="Times New Roman" w:hAnsi="Times New Roman"/>
          <w:sz w:val="18"/>
          <w:szCs w:val="18"/>
          <w:color w:val="auto"/>
        </w:rPr>
        <w:t>As of September 30, 2024, we had commitments to extend credit of approximately $1.81 billion, and obligations under letters of credit of $61.0 million. Commitments to extend credit are agreements to lend to customers, provided there is no violation of any material condition established in the contract. Commitments generally have fixed expiration dates or other termination clauses and may require payment of a fee. Commitments are generally variable rate, and many of these commitments are expected to expire without being drawn upon. As such, the total commitment amounts do not necessarily represent future cash requirements. We use the same credit underwriting policies in granting or accepting such commitments or contingent obligations as we do for on-balance sheet instruments, which consist of evaluating customers’ creditworthiness individually. As of September 30, 2024 and 2023, the balance in this reserve was $6.3 million and $8.0 million, respectively, and was included in other liabilities. The year-over-year decrease included $1.3 million in recapture of provision for unfunded loan commitments for the nine months ended September 30, 2024, compared to no recapture or provision for the same period of 2023.</w:t>
      </w:r>
    </w:p>
    <w:p>
      <w:pPr>
        <w:spacing w:after="0" w:line="188" w:lineRule="exact"/>
        <w:rPr>
          <w:sz w:val="20"/>
          <w:szCs w:val="20"/>
          <w:color w:val="auto"/>
        </w:rPr>
      </w:pPr>
    </w:p>
    <w:p>
      <w:pPr>
        <w:jc w:val="both"/>
        <w:ind w:right="20" w:firstLine="469"/>
        <w:spacing w:after="0" w:line="289" w:lineRule="auto"/>
        <w:rPr>
          <w:sz w:val="20"/>
          <w:szCs w:val="20"/>
          <w:color w:val="auto"/>
        </w:rPr>
      </w:pPr>
      <w:r>
        <w:rPr>
          <w:rFonts w:ascii="Times New Roman" w:cs="Times New Roman" w:eastAsia="Times New Roman" w:hAnsi="Times New Roman"/>
          <w:sz w:val="17"/>
          <w:szCs w:val="17"/>
          <w:color w:val="auto"/>
        </w:rPr>
        <w:t>Standby letters of credit are conditional commitments issued by the Bank to guarantee the financial performance of a customer to a third party. Those guarantees are primarily issued to support private borrowing or purchase arrangements. The credit risk involved in issuing letters of credit is essentially the same as that involved in extending loan facilities to customers. When deemed necessary, we hold appropriate collateral supporting those commitments.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Resources</w:t>
      </w:r>
    </w:p>
    <w:p>
      <w:pPr>
        <w:spacing w:after="0" w:line="229" w:lineRule="exact"/>
        <w:rPr>
          <w:sz w:val="20"/>
          <w:szCs w:val="20"/>
          <w:color w:val="auto"/>
        </w:rPr>
      </w:pPr>
    </w:p>
    <w:p>
      <w:pPr>
        <w:ind w:right="20" w:firstLine="469"/>
        <w:spacing w:after="0" w:line="261" w:lineRule="auto"/>
        <w:rPr>
          <w:sz w:val="20"/>
          <w:szCs w:val="20"/>
          <w:color w:val="auto"/>
        </w:rPr>
      </w:pPr>
      <w:r>
        <w:rPr>
          <w:rFonts w:ascii="Times New Roman" w:cs="Times New Roman" w:eastAsia="Times New Roman" w:hAnsi="Times New Roman"/>
          <w:sz w:val="18"/>
          <w:szCs w:val="18"/>
          <w:color w:val="auto"/>
        </w:rPr>
        <w:t>Our primary source of capital has been the retention of operating earnings and issuance of common stock in connection with periodic acquisitions. In order to ensure adequate levels of capital, we conduct an ongoing assessment of projected sources, needs and uses of capital in conjunction with projected increases in assets and the level of risk. As part of this ongoing assessment, the Board of Directors reviews the various components of our capital plan and capital stress testing.</w:t>
      </w:r>
    </w:p>
    <w:p>
      <w:pPr>
        <w:spacing w:after="0" w:line="180" w:lineRule="exact"/>
        <w:rPr>
          <w:sz w:val="20"/>
          <w:szCs w:val="20"/>
          <w:color w:val="auto"/>
        </w:rPr>
      </w:pPr>
    </w:p>
    <w:p>
      <w:pPr>
        <w:ind w:right="100" w:firstLine="464"/>
        <w:spacing w:after="0" w:line="261" w:lineRule="auto"/>
        <w:rPr>
          <w:sz w:val="20"/>
          <w:szCs w:val="20"/>
          <w:color w:val="auto"/>
        </w:rPr>
      </w:pPr>
      <w:r>
        <w:rPr>
          <w:rFonts w:ascii="Times New Roman" w:cs="Times New Roman" w:eastAsia="Times New Roman" w:hAnsi="Times New Roman"/>
          <w:sz w:val="18"/>
          <w:szCs w:val="18"/>
          <w:color w:val="auto"/>
        </w:rPr>
        <w:t>Total equity increased $119.9 million to $2.20 billion at September 30, 2024, compared to total equity of $2.08 billion at December 31, 2023. Increases to equity included $149.9 million in net earnings and a $48.7 million increase in other comprehensive income, that were partially offset by $83.9 million in cash dividends. We engaged in no stock repurchases during the first nine months of 2024. Our tangible book value per share at September 30, 2024 was $10.17.</w:t>
      </w:r>
    </w:p>
    <w:p>
      <w:pPr>
        <w:spacing w:after="0" w:line="180" w:lineRule="exact"/>
        <w:rPr>
          <w:sz w:val="20"/>
          <w:szCs w:val="20"/>
          <w:color w:val="auto"/>
        </w:rPr>
      </w:pPr>
    </w:p>
    <w:p>
      <w:pPr>
        <w:ind w:right="60" w:firstLine="464"/>
        <w:spacing w:after="0" w:line="261" w:lineRule="auto"/>
        <w:rPr>
          <w:sz w:val="20"/>
          <w:szCs w:val="20"/>
          <w:color w:val="auto"/>
        </w:rPr>
      </w:pPr>
      <w:r>
        <w:rPr>
          <w:rFonts w:ascii="Times New Roman" w:cs="Times New Roman" w:eastAsia="Times New Roman" w:hAnsi="Times New Roman"/>
          <w:sz w:val="18"/>
          <w:szCs w:val="18"/>
          <w:color w:val="auto"/>
        </w:rPr>
        <w:t>During the third quarter of 2024, the Board of Directors of CVB declared quarterly cash dividends totaling $0.20 per share. Dividends are payable at the discretion of the Board of Directors and there can be no assurance that the Board of Directors will continue to pay dividends at the same rate, or at all, in the future. CVB’s ability to pay cash dividends to its shareholders is subject to restrictions under federal and California law, including restrictions imposed by the Federal Reserve, and covenants set forth in various agreements we are a party to.</w:t>
      </w:r>
    </w:p>
    <w:p>
      <w:pPr>
        <w:spacing w:after="0" w:line="180" w:lineRule="exact"/>
        <w:rPr>
          <w:sz w:val="20"/>
          <w:szCs w:val="20"/>
          <w:color w:val="auto"/>
        </w:rPr>
      </w:pPr>
    </w:p>
    <w:p>
      <w:pPr>
        <w:ind w:right="220" w:firstLine="464"/>
        <w:spacing w:after="0" w:line="266" w:lineRule="auto"/>
        <w:rPr>
          <w:sz w:val="20"/>
          <w:szCs w:val="20"/>
          <w:color w:val="auto"/>
        </w:rPr>
      </w:pPr>
      <w:r>
        <w:rPr>
          <w:rFonts w:ascii="Times New Roman" w:cs="Times New Roman" w:eastAsia="Times New Roman" w:hAnsi="Times New Roman"/>
          <w:sz w:val="18"/>
          <w:szCs w:val="18"/>
          <w:color w:val="auto"/>
        </w:rPr>
        <w:t>On February 1, 2022, we announced that our Board of Directors authorized a share repurchase plan to repurchase up to 10,000,000 shares of the Company’s common stock ("2022 Repurchase Program"). During the first quarter of 2023, we repurchased 791,800 shares at an average price of $23.43. There were no stock repurchases during the third quarter of 2024 nor during the first nine months of 2024.</w:t>
      </w:r>
    </w:p>
    <w:p>
      <w:pPr>
        <w:spacing w:after="0" w:line="176" w:lineRule="exact"/>
        <w:rPr>
          <w:sz w:val="20"/>
          <w:szCs w:val="20"/>
          <w:color w:val="auto"/>
        </w:rPr>
      </w:pPr>
    </w:p>
    <w:p>
      <w:pPr>
        <w:ind w:right="80" w:firstLine="464"/>
        <w:spacing w:after="0" w:line="254" w:lineRule="auto"/>
        <w:rPr>
          <w:sz w:val="20"/>
          <w:szCs w:val="20"/>
          <w:color w:val="auto"/>
        </w:rPr>
      </w:pPr>
      <w:r>
        <w:rPr>
          <w:rFonts w:ascii="Times New Roman" w:cs="Times New Roman" w:eastAsia="Times New Roman" w:hAnsi="Times New Roman"/>
          <w:sz w:val="18"/>
          <w:szCs w:val="18"/>
          <w:color w:val="auto"/>
        </w:rPr>
        <w:t xml:space="preserve">The Bank and the Company are required to meet risk-based capital standards under the revised capital framework referred to as Basel III set by their respective regulatory authorities. The risk-based capital standards require the achievement of a minimum total risk-based capital ratio of 8.0%, a Tier 1 risk-based capital ratio of 6.0% and a common equity Tier 1 (“CET1”) capital ratio of 4.5%. In addition, the regulatory authorities require the highest rated institutions to maintain a minimum leverage ratio of 4.0%. To be considered “well-capitalized” for bank regulatory purposes, the Bank and the Company are required to have a CET1 capital ratio equal to or greater than 6.5%, a Tier 1 risk-based capital ratio equal to or greater than 8.0%, a total risk-based capital ratio equal to or greater than 10.0% and a Tier 1 leverage ratio equal to or greater than 5.0%. At September 30, 2024, the Bank and the Company exceeded the minimum risk-based capital ratios and leverage ratios required to be considered “well-capitalized” for regulatory purposes. For further information about capital requirements and our capital ratios, see “Item 1. </w:t>
      </w:r>
      <w:r>
        <w:rPr>
          <w:rFonts w:ascii="Times New Roman" w:cs="Times New Roman" w:eastAsia="Times New Roman" w:hAnsi="Times New Roman"/>
          <w:sz w:val="18"/>
          <w:szCs w:val="18"/>
          <w:i w:val="1"/>
          <w:iCs w:val="1"/>
          <w:color w:val="auto"/>
        </w:rPr>
        <w:t>Business – Capital Adequacy Requirements</w:t>
      </w:r>
      <w:r>
        <w:rPr>
          <w:rFonts w:ascii="Times New Roman" w:cs="Times New Roman" w:eastAsia="Times New Roman" w:hAnsi="Times New Roman"/>
          <w:sz w:val="18"/>
          <w:szCs w:val="18"/>
          <w:color w:val="auto"/>
        </w:rPr>
        <w:t>” as described in our Annual Report on Form 10-K for the year ended December 31, 2023.</w:t>
      </w:r>
    </w:p>
    <w:p>
      <w:pPr>
        <w:spacing w:after="0" w:line="200" w:lineRule="exact"/>
        <w:rPr>
          <w:sz w:val="20"/>
          <w:szCs w:val="20"/>
          <w:color w:val="auto"/>
        </w:rPr>
      </w:pPr>
    </w:p>
    <w:p>
      <w:pPr>
        <w:spacing w:after="0" w:line="20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table below presents the Company’s and the Bank’s risk-based and leverage capital ratios for the periods presented.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2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40" w:type="dxa"/>
            <w:vAlign w:val="bottom"/>
          </w:tcPr>
          <w:p>
            <w:pPr>
              <w:spacing w:after="0"/>
              <w:rPr>
                <w:sz w:val="21"/>
                <w:szCs w:val="21"/>
                <w:color w:val="auto"/>
              </w:rPr>
            </w:pPr>
          </w:p>
        </w:tc>
        <w:tc>
          <w:tcPr>
            <w:tcW w:w="220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07"/>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Adequately</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Minimum Required</w:t>
            </w:r>
          </w:p>
        </w:tc>
        <w:tc>
          <w:tcPr>
            <w:tcW w:w="12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Well</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CVB Financial</w:t>
            </w:r>
          </w:p>
        </w:tc>
        <w:tc>
          <w:tcPr>
            <w:tcW w:w="1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Citizens</w:t>
            </w:r>
          </w:p>
        </w:tc>
        <w:tc>
          <w:tcPr>
            <w:tcW w:w="1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CVB Financial</w:t>
            </w:r>
          </w:p>
        </w:tc>
        <w:tc>
          <w:tcPr>
            <w:tcW w:w="1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Citizens</w:t>
            </w: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Capitalized</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Plus Capital</w:t>
            </w:r>
          </w:p>
        </w:tc>
        <w:tc>
          <w:tcPr>
            <w:tcW w:w="12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Capitalized</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Corp.</w:t>
            </w:r>
          </w:p>
        </w:tc>
        <w:tc>
          <w:tcPr>
            <w:tcW w:w="1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Business</w:t>
            </w:r>
          </w:p>
        </w:tc>
        <w:tc>
          <w:tcPr>
            <w:tcW w:w="1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Corp.</w:t>
            </w:r>
          </w:p>
        </w:tc>
        <w:tc>
          <w:tcPr>
            <w:tcW w:w="1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Business</w:t>
            </w:r>
          </w:p>
        </w:tc>
      </w:tr>
      <w:tr>
        <w:trPr>
          <w:trHeight w:val="211"/>
        </w:trPr>
        <w:tc>
          <w:tcPr>
            <w:tcW w:w="23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Capital Ratios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Ratios</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Conservation Buffer</w:t>
            </w:r>
          </w:p>
        </w:tc>
        <w:tc>
          <w:tcPr>
            <w:tcW w:w="12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Ratios</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Consolidated</w:t>
            </w:r>
          </w:p>
        </w:tc>
        <w:tc>
          <w:tcPr>
            <w:tcW w:w="1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Bank</w:t>
            </w:r>
          </w:p>
        </w:tc>
        <w:tc>
          <w:tcPr>
            <w:tcW w:w="1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Consolidated</w:t>
            </w:r>
          </w:p>
        </w:tc>
        <w:tc>
          <w:tcPr>
            <w:tcW w:w="1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Bank</w:t>
            </w:r>
          </w:p>
        </w:tc>
      </w:tr>
      <w:tr>
        <w:trPr>
          <w:trHeight w:val="20"/>
        </w:trPr>
        <w:tc>
          <w:tcPr>
            <w:tcW w:w="20" w:type="dxa"/>
            <w:vAlign w:val="bottom"/>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43"/>
        </w:trPr>
        <w:tc>
          <w:tcPr>
            <w:tcW w:w="23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Tier 1 leverage capital ratio</w:t>
            </w:r>
          </w:p>
        </w:tc>
        <w:tc>
          <w:tcPr>
            <w:tcW w:w="1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4.00%</w:t>
            </w:r>
          </w:p>
        </w:tc>
        <w:tc>
          <w:tcPr>
            <w:tcW w:w="180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8"/>
              </w:rPr>
              <w:t>4.00%</w:t>
            </w:r>
          </w:p>
        </w:tc>
        <w:tc>
          <w:tcPr>
            <w:tcW w:w="120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rPr>
              <w:t>5.00%</w:t>
            </w:r>
          </w:p>
        </w:tc>
        <w:tc>
          <w:tcPr>
            <w:tcW w:w="160" w:type="dxa"/>
            <w:vAlign w:val="bottom"/>
            <w:shd w:val="clear" w:color="auto" w:fill="CFF0FC"/>
          </w:tcPr>
          <w:p>
            <w:pPr>
              <w:spacing w:after="0"/>
              <w:rPr>
                <w:sz w:val="21"/>
                <w:szCs w:val="21"/>
                <w:color w:val="auto"/>
              </w:rPr>
            </w:pPr>
          </w:p>
        </w:tc>
        <w:tc>
          <w:tcPr>
            <w:tcW w:w="12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10.60%</w:t>
            </w:r>
          </w:p>
        </w:tc>
        <w:tc>
          <w:tcPr>
            <w:tcW w:w="100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rPr>
              <w:t>10.49%</w:t>
            </w:r>
          </w:p>
        </w:tc>
        <w:tc>
          <w:tcPr>
            <w:tcW w:w="134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rPr>
              <w:t>10.27%</w:t>
            </w:r>
          </w:p>
        </w:tc>
        <w:tc>
          <w:tcPr>
            <w:tcW w:w="100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rPr>
              <w:t>10.17%</w:t>
            </w:r>
          </w:p>
        </w:tc>
      </w:tr>
      <w:tr>
        <w:trPr>
          <w:trHeight w:val="211"/>
        </w:trPr>
        <w:tc>
          <w:tcPr>
            <w:tcW w:w="2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Common equity Tier 1 capital</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41"/>
        </w:trPr>
        <w:tc>
          <w:tcPr>
            <w:tcW w:w="2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ratio</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4.50%</w:t>
            </w:r>
          </w:p>
        </w:tc>
        <w:tc>
          <w:tcPr>
            <w:tcW w:w="18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8"/>
              </w:rPr>
              <w:t>7.00%</w:t>
            </w:r>
          </w:p>
        </w:tc>
        <w:tc>
          <w:tcPr>
            <w:tcW w:w="12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6.50%</w:t>
            </w:r>
          </w:p>
        </w:tc>
        <w:tc>
          <w:tcPr>
            <w:tcW w:w="16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15.77%</w:t>
            </w:r>
          </w:p>
        </w:tc>
        <w:tc>
          <w:tcPr>
            <w:tcW w:w="10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15.60%</w:t>
            </w:r>
          </w:p>
        </w:tc>
        <w:tc>
          <w:tcPr>
            <w:tcW w:w="13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14.65%</w:t>
            </w:r>
          </w:p>
        </w:tc>
        <w:tc>
          <w:tcPr>
            <w:tcW w:w="100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14.49%</w:t>
            </w:r>
          </w:p>
        </w:tc>
      </w:tr>
      <w:tr>
        <w:trPr>
          <w:trHeight w:val="250"/>
        </w:trPr>
        <w:tc>
          <w:tcPr>
            <w:tcW w:w="23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Tier 1 risk-based capital ratio</w:t>
            </w:r>
          </w:p>
        </w:tc>
        <w:tc>
          <w:tcPr>
            <w:tcW w:w="1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6.00%</w:t>
            </w:r>
          </w:p>
        </w:tc>
        <w:tc>
          <w:tcPr>
            <w:tcW w:w="180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8"/>
              </w:rPr>
              <w:t>8.50%</w:t>
            </w:r>
          </w:p>
        </w:tc>
        <w:tc>
          <w:tcPr>
            <w:tcW w:w="120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rPr>
              <w:t>8.00%</w:t>
            </w:r>
          </w:p>
        </w:tc>
        <w:tc>
          <w:tcPr>
            <w:tcW w:w="160" w:type="dxa"/>
            <w:vAlign w:val="bottom"/>
            <w:shd w:val="clear" w:color="auto" w:fill="CFF0FC"/>
          </w:tcPr>
          <w:p>
            <w:pPr>
              <w:spacing w:after="0"/>
              <w:rPr>
                <w:sz w:val="21"/>
                <w:szCs w:val="21"/>
                <w:color w:val="auto"/>
              </w:rPr>
            </w:pPr>
          </w:p>
        </w:tc>
        <w:tc>
          <w:tcPr>
            <w:tcW w:w="12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15.77%</w:t>
            </w:r>
          </w:p>
        </w:tc>
        <w:tc>
          <w:tcPr>
            <w:tcW w:w="100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rPr>
              <w:t>15.60%</w:t>
            </w:r>
          </w:p>
        </w:tc>
        <w:tc>
          <w:tcPr>
            <w:tcW w:w="134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rPr>
              <w:t>14.65%</w:t>
            </w:r>
          </w:p>
        </w:tc>
        <w:tc>
          <w:tcPr>
            <w:tcW w:w="100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rPr>
              <w:t>14.49%</w:t>
            </w:r>
          </w:p>
        </w:tc>
      </w:tr>
      <w:tr>
        <w:trPr>
          <w:trHeight w:val="234"/>
        </w:trPr>
        <w:tc>
          <w:tcPr>
            <w:tcW w:w="2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risk-based capital ratio</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8.00%</w:t>
            </w:r>
          </w:p>
        </w:tc>
        <w:tc>
          <w:tcPr>
            <w:tcW w:w="18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10.50%</w:t>
            </w:r>
          </w:p>
        </w:tc>
        <w:tc>
          <w:tcPr>
            <w:tcW w:w="12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16.59%</w:t>
            </w:r>
          </w:p>
        </w:tc>
        <w:tc>
          <w:tcPr>
            <w:tcW w:w="10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16.42%</w:t>
            </w:r>
          </w:p>
        </w:tc>
        <w:tc>
          <w:tcPr>
            <w:tcW w:w="13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15.50%</w:t>
            </w:r>
          </w:p>
        </w:tc>
        <w:tc>
          <w:tcPr>
            <w:tcW w:w="100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15.34%</w:t>
            </w:r>
          </w:p>
        </w:tc>
      </w:tr>
      <w:tr>
        <w:trPr>
          <w:trHeight w:val="441"/>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color w:val="auto"/>
              </w:rPr>
              <w:t>68</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8" w:name="page69"/>
    <w:bookmarkEnd w:id="6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ASSET/LIABILITY AND MARKET RISK MANAGEMENT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Cash Flow</w:t>
      </w:r>
    </w:p>
    <w:p>
      <w:pPr>
        <w:spacing w:after="0" w:line="229" w:lineRule="exact"/>
        <w:rPr>
          <w:sz w:val="20"/>
          <w:szCs w:val="20"/>
          <w:color w:val="auto"/>
        </w:rPr>
      </w:pPr>
    </w:p>
    <w:p>
      <w:pPr>
        <w:ind w:right="40" w:firstLine="469"/>
        <w:spacing w:after="0" w:line="261" w:lineRule="auto"/>
        <w:rPr>
          <w:sz w:val="20"/>
          <w:szCs w:val="20"/>
          <w:color w:val="auto"/>
        </w:rPr>
      </w:pPr>
      <w:r>
        <w:rPr>
          <w:rFonts w:ascii="Times New Roman" w:cs="Times New Roman" w:eastAsia="Times New Roman" w:hAnsi="Times New Roman"/>
          <w:sz w:val="18"/>
          <w:szCs w:val="18"/>
          <w:color w:val="auto"/>
        </w:rPr>
        <w:t>The objective of liquidity management is to ensure that funds are available in a timely manner to meet our financial obligations when they come due without incurring unnecessary cost or risk, or causing a disruption to our normal operating activities. This includes the ability to manage unplanned decreases or changes in funding sources, accommodating loan demand and growth, funding investments, repurchasing securities, paying creditors as necessary, and other operating or capital needs.</w:t>
      </w:r>
    </w:p>
    <w:p>
      <w:pPr>
        <w:spacing w:after="0" w:line="180" w:lineRule="exact"/>
        <w:rPr>
          <w:sz w:val="20"/>
          <w:szCs w:val="20"/>
          <w:color w:val="auto"/>
        </w:rPr>
      </w:pPr>
    </w:p>
    <w:p>
      <w:pPr>
        <w:ind w:right="40" w:firstLine="469"/>
        <w:spacing w:after="0" w:line="255" w:lineRule="auto"/>
        <w:rPr>
          <w:sz w:val="20"/>
          <w:szCs w:val="20"/>
          <w:color w:val="auto"/>
        </w:rPr>
      </w:pPr>
      <w:r>
        <w:rPr>
          <w:rFonts w:ascii="Times New Roman" w:cs="Times New Roman" w:eastAsia="Times New Roman" w:hAnsi="Times New Roman"/>
          <w:sz w:val="18"/>
          <w:szCs w:val="18"/>
          <w:color w:val="auto"/>
        </w:rPr>
        <w:t>We regularly assess the amount and likelihood of projected funding requirements through a review of factors such as historical deposit volatility and funding patterns, present and forecasted market and economic conditions, individual customer funding needs, as well as current and planned business activities. Management has an Asset/Liability Committee that meets monthly. This committee analyzes the cash flows from loans, investments, deposits and borrowings, as well as the input assumptions and results from various models. In addition, the Company has a Balance Sheet Management Committee of the Board of Directors that meets at least quarterly to review the Company’s balance sheet and liquidity position. This committee provides oversight to the balance sheet and liquidity management process and recommends policy guidelines for the approval of our Board of Directors, and courses of action to address our actual and projected liquidity needs.</w:t>
      </w:r>
    </w:p>
    <w:p>
      <w:pPr>
        <w:spacing w:after="0" w:line="189" w:lineRule="exact"/>
        <w:rPr>
          <w:sz w:val="20"/>
          <w:szCs w:val="20"/>
          <w:color w:val="auto"/>
        </w:rPr>
      </w:pPr>
    </w:p>
    <w:p>
      <w:pPr>
        <w:ind w:right="40" w:firstLine="469"/>
        <w:spacing w:after="0" w:line="253" w:lineRule="auto"/>
        <w:rPr>
          <w:sz w:val="20"/>
          <w:szCs w:val="20"/>
          <w:color w:val="auto"/>
        </w:rPr>
      </w:pPr>
      <w:r>
        <w:rPr>
          <w:rFonts w:ascii="Times New Roman" w:cs="Times New Roman" w:eastAsia="Times New Roman" w:hAnsi="Times New Roman"/>
          <w:sz w:val="18"/>
          <w:szCs w:val="18"/>
          <w:color w:val="auto"/>
        </w:rPr>
        <w:t>In general, our liquidity is managed daily by controlling the level of liquid assets as well as the use of funds provided by the cash flow from the investment portfolio, loan demand, deposit fluctuations, and borrowings. Our definition of liquid assets includes cash and cash equivalents in excess of minimum levels needed to fulfill normal business operations, short-term investment securities, and other anticipated near term cash flows from investments. In addition to on balance sheet liquidity, we have significant off-balance sheet sources of liquidity. To meet unexpected demands, lines of credit are maintained with correspondent banks, the Federal Home Loan Bank and the Federal Reserve, although availability under these lines of credit are subject to certain conditions. In addition to having more than $450 million of cash on the balance sheet at September 30, 2024, we had substantial sources of off-balance sheet liquidity. These sources of available liquidity include $3.9 billion of secured and unused capacity with the Federal Home Loan Bank, $1.1 billion of secured unused borrowing capacity at the Fed’s discount window, more than $235.9 million of unpledged AFS securities that could be pledged at the discount window and $300 million of unsecured lines of credit. In addition to these borrowing sources, the Bank has capacity to utilize additional brokered deposits. As of September 30, 2024, we had brokered deposits totaling $400 million or less than 3% of total assets. We can also obtain additional liquidity from deposit growth by utilizing state and national wholesale markets.</w:t>
      </w:r>
    </w:p>
    <w:p>
      <w:pPr>
        <w:spacing w:after="0" w:line="192" w:lineRule="exact"/>
        <w:rPr>
          <w:sz w:val="20"/>
          <w:szCs w:val="20"/>
          <w:color w:val="auto"/>
        </w:rPr>
      </w:pPr>
    </w:p>
    <w:p>
      <w:pPr>
        <w:ind w:firstLine="469"/>
        <w:spacing w:after="0" w:line="254" w:lineRule="auto"/>
        <w:rPr>
          <w:sz w:val="20"/>
          <w:szCs w:val="20"/>
          <w:color w:val="auto"/>
        </w:rPr>
      </w:pPr>
      <w:r>
        <w:rPr>
          <w:rFonts w:ascii="Times New Roman" w:cs="Times New Roman" w:eastAsia="Times New Roman" w:hAnsi="Times New Roman"/>
          <w:sz w:val="18"/>
          <w:szCs w:val="18"/>
          <w:color w:val="auto"/>
        </w:rPr>
        <w:t>Our primary sources of funds for the Company are deposits, customer repurchase agreements and borrowings. Total deposits and customer repos of $12.47 billion at September 30, 2024 increased $761.7 million, or 6.51%, over total deposits and customer repos of $11.71 billion at December 31, 2023. As of September 30, 2024, total borrowings, consisted of $500 million of FHLB advances. The FHLB advances include maturities of $300 million, at an average cost of approximately 4.73%, maturing in May of 2026, and $200 million, at a cost of 4.27% maturing in May of 2027. During the third quarter of 2024, we repaid the $1.3 billion of borrowings from the Federal Reserve’s Bank Term Funding Program, with a cost of 4.76%, that were scheduled to mature in January of 2025. Our deposit levels and cost of deposits may fluctuate from period-to-period due to a variety of factors, including the stability of our deposit base, prevailing interest rates, and market conditions. At September 30, 2024, our deposits and customer repurchase agreements that are neither collateralized nor insured were approximately $5.4 billion, or approximately 43% of our total deposits and customer repos.</w:t>
      </w:r>
    </w:p>
    <w:p>
      <w:pPr>
        <w:spacing w:after="0" w:line="192" w:lineRule="exact"/>
        <w:rPr>
          <w:sz w:val="20"/>
          <w:szCs w:val="20"/>
          <w:color w:val="auto"/>
        </w:rPr>
      </w:pPr>
    </w:p>
    <w:p>
      <w:pPr>
        <w:ind w:firstLine="469"/>
        <w:spacing w:after="0" w:line="256" w:lineRule="auto"/>
        <w:rPr>
          <w:sz w:val="20"/>
          <w:szCs w:val="20"/>
          <w:color w:val="auto"/>
        </w:rPr>
      </w:pPr>
      <w:r>
        <w:rPr>
          <w:rFonts w:ascii="Times New Roman" w:cs="Times New Roman" w:eastAsia="Times New Roman" w:hAnsi="Times New Roman"/>
          <w:sz w:val="18"/>
          <w:szCs w:val="18"/>
          <w:color w:val="auto"/>
        </w:rPr>
        <w:t>Additional sources of liquidity include cash on deposit at the Federal Reserve, which exceeded $250 million at September 30, 2024, and principal and interest payments from our investment portfolio. Our total investment portfolio declined by $549.9 million from December 31, 2023 to $4.87 billion as of September 30, 2024. The decrease was primarily due to a $490.5 million decline in AFS securities. During the first nine months of 2024, we generated liquidity from our investment portfolio by selling $312 million of AFS securities and by not reinvesting the cashflows generated by our investments. AFS securities totaled $2.47 billion at September 30, 2024, inclusive of a pre-tax net unrealized loss of $367.7 million. Pre-tax unrealized loss declined by $82.1 million from December 31, 2023. Market risk is partly managed by $1 billion notional pay fixed swaps hedging the fair value of the AFS portfolio.</w:t>
      </w:r>
    </w:p>
    <w:p>
      <w:pPr>
        <w:spacing w:after="0" w:line="187" w:lineRule="exact"/>
        <w:rPr>
          <w:sz w:val="20"/>
          <w:szCs w:val="20"/>
          <w:color w:val="auto"/>
        </w:rPr>
      </w:pPr>
    </w:p>
    <w:p>
      <w:pPr>
        <w:ind w:firstLine="469"/>
        <w:spacing w:after="0" w:line="255" w:lineRule="auto"/>
        <w:rPr>
          <w:sz w:val="20"/>
          <w:szCs w:val="20"/>
          <w:color w:val="auto"/>
        </w:rPr>
      </w:pPr>
      <w:r>
        <w:rPr>
          <w:rFonts w:ascii="Times New Roman" w:cs="Times New Roman" w:eastAsia="Times New Roman" w:hAnsi="Times New Roman"/>
          <w:sz w:val="18"/>
          <w:szCs w:val="18"/>
          <w:color w:val="auto"/>
        </w:rPr>
        <w:t>CVB is a holding company separate and apart from the Bank that must provide for its own liquidity and must service its own obligations. Substantially all of CVB’s revenues are obtained from dividends declared and paid by the Bank to CVB. There are statutory and regulatory provisions that could limit the ability of the Bank to pay dividends to CVB. In addition, our regulators could limit the ability of the Bank or CVB to pay dividends or make other distributions.</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69" w:name="page70"/>
    <w:bookmarkEnd w:id="69"/>
    <w:p>
      <w:pPr>
        <w:ind w:right="240" w:firstLine="469"/>
        <w:spacing w:after="0" w:line="282" w:lineRule="auto"/>
        <w:rPr>
          <w:sz w:val="20"/>
          <w:szCs w:val="20"/>
          <w:color w:val="auto"/>
        </w:rPr>
      </w:pPr>
      <w:r>
        <w:rPr>
          <w:rFonts w:ascii="Times New Roman" w:cs="Times New Roman" w:eastAsia="Times New Roman" w:hAnsi="Times New Roman"/>
          <w:sz w:val="18"/>
          <w:szCs w:val="18"/>
          <w:color w:val="auto"/>
        </w:rPr>
        <w:t>Below is a summary of our average cash position and statement of cash flows for the nine months ended September 30, 2024 and 2023. For further details see our “</w:t>
      </w:r>
      <w:r>
        <w:rPr>
          <w:rFonts w:ascii="Times New Roman" w:cs="Times New Roman" w:eastAsia="Times New Roman" w:hAnsi="Times New Roman"/>
          <w:sz w:val="18"/>
          <w:szCs w:val="18"/>
          <w:i w:val="1"/>
          <w:iCs w:val="1"/>
          <w:color w:val="auto"/>
        </w:rPr>
        <w:t>Condensed Consolidated Statements of Cash Flows</w:t>
      </w:r>
      <w:r>
        <w:rPr>
          <w:rFonts w:ascii="Times New Roman" w:cs="Times New Roman" w:eastAsia="Times New Roman" w:hAnsi="Times New Roman"/>
          <w:sz w:val="18"/>
          <w:szCs w:val="18"/>
          <w:color w:val="auto"/>
        </w:rPr>
        <w:t xml:space="preserve"> (Unaudited)” under Part I, Item 1 of this report.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320" w:type="dxa"/>
            <w:vAlign w:val="bottom"/>
          </w:tcPr>
          <w:p>
            <w:pPr>
              <w:ind w:left="660"/>
              <w:spacing w:after="0"/>
              <w:rPr>
                <w:sz w:val="20"/>
                <w:szCs w:val="20"/>
                <w:color w:val="auto"/>
              </w:rPr>
            </w:pPr>
            <w:r>
              <w:rPr>
                <w:rFonts w:ascii="Times New Roman" w:cs="Times New Roman" w:eastAsia="Times New Roman" w:hAnsi="Times New Roman"/>
                <w:sz w:val="18"/>
                <w:szCs w:val="18"/>
                <w:i w:val="1"/>
                <w:iCs w:val="1"/>
                <w:color w:val="auto"/>
              </w:rPr>
              <w:t>Consolidated Summary of Cash Flows</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23"/>
        </w:trPr>
        <w:tc>
          <w:tcPr>
            <w:tcW w:w="8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20" w:type="dxa"/>
            <w:vAlign w:val="bottom"/>
            <w:gridSpan w:val="6"/>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45"/>
        </w:trPr>
        <w:tc>
          <w:tcPr>
            <w:tcW w:w="83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3"/>
          </w:tcPr>
          <w:p>
            <w:pPr>
              <w:jc w:val="center"/>
              <w:ind w:left="511"/>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1"/>
        </w:trPr>
        <w:tc>
          <w:tcPr>
            <w:tcW w:w="8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9"/>
        </w:trPr>
        <w:tc>
          <w:tcPr>
            <w:tcW w:w="8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720" w:type="dxa"/>
            <w:vAlign w:val="bottom"/>
            <w:gridSpan w:val="6"/>
          </w:tcPr>
          <w:p>
            <w:pPr>
              <w:jc w:val="center"/>
              <w:ind w:right="44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r>
      <w:tr>
        <w:trPr>
          <w:trHeight w:val="262"/>
        </w:trPr>
        <w:tc>
          <w:tcPr>
            <w:tcW w:w="8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43"/>
        </w:trPr>
        <w:tc>
          <w:tcPr>
            <w:tcW w:w="8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Average cash and cash equivalents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948,667</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462,132</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average assets</w:t>
            </w:r>
          </w:p>
        </w:tc>
        <w:tc>
          <w:tcPr>
            <w:tcW w:w="26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5.81 %</w:t>
            </w:r>
          </w:p>
        </w:tc>
        <w:tc>
          <w:tcPr>
            <w:tcW w:w="48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2.82 %</w:t>
            </w:r>
          </w:p>
        </w:tc>
      </w:tr>
      <w:tr>
        <w:trPr>
          <w:trHeight w:val="252"/>
        </w:trPr>
        <w:tc>
          <w:tcPr>
            <w:tcW w:w="8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8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175,014</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246,951</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891,830</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543,501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8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(894,669 )</w:t>
            </w:r>
          </w:p>
        </w:tc>
        <w:tc>
          <w:tcPr>
            <w:tcW w:w="48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(753,218 )</w:t>
            </w:r>
          </w:p>
        </w:tc>
        <w:tc>
          <w:tcPr>
            <w:tcW w:w="60" w:type="dxa"/>
            <w:vAlign w:val="bottom"/>
          </w:tcPr>
          <w:p>
            <w:pPr>
              <w:spacing w:after="0"/>
              <w:rPr>
                <w:sz w:val="21"/>
                <w:szCs w:val="21"/>
                <w:color w:val="auto"/>
              </w:rPr>
            </w:pPr>
          </w:p>
        </w:tc>
      </w:tr>
      <w:tr>
        <w:trPr>
          <w:trHeight w:val="237"/>
        </w:trPr>
        <w:tc>
          <w:tcPr>
            <w:tcW w:w="83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172,175</w:t>
            </w:r>
          </w:p>
        </w:tc>
        <w:tc>
          <w:tcPr>
            <w:tcW w:w="280" w:type="dxa"/>
            <w:vAlign w:val="bottom"/>
            <w:tcBorders>
              <w:top w:val="single" w:sz="8" w:color="CFF0FC"/>
            </w:tcBorders>
          </w:tcPr>
          <w:p>
            <w:pPr>
              <w:spacing w:after="0"/>
              <w:rPr>
                <w:sz w:val="20"/>
                <w:szCs w:val="20"/>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37,234</w:t>
            </w:r>
          </w:p>
        </w:tc>
        <w:tc>
          <w:tcPr>
            <w:tcW w:w="100" w:type="dxa"/>
            <w:vAlign w:val="bottom"/>
            <w:tcBorders>
              <w:top w:val="single" w:sz="8" w:color="CFF0FC"/>
            </w:tcBorders>
          </w:tcPr>
          <w:p>
            <w:pPr>
              <w:spacing w:after="0"/>
              <w:rPr>
                <w:sz w:val="20"/>
                <w:szCs w:val="20"/>
                <w:color w:val="auto"/>
              </w:rPr>
            </w:pPr>
          </w:p>
        </w:tc>
        <w:tc>
          <w:tcPr>
            <w:tcW w:w="60" w:type="dxa"/>
            <w:vAlign w:val="bottom"/>
          </w:tcPr>
          <w:p>
            <w:pPr>
              <w:spacing w:after="0"/>
              <w:rPr>
                <w:sz w:val="20"/>
                <w:szCs w:val="20"/>
                <w:color w:val="auto"/>
              </w:rPr>
            </w:pPr>
          </w:p>
        </w:tc>
      </w:tr>
      <w:tr>
        <w:trPr>
          <w:trHeight w:val="20"/>
        </w:trPr>
        <w:tc>
          <w:tcPr>
            <w:tcW w:w="8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-187960</wp:posOffset>
            </wp:positionV>
            <wp:extent cx="68580" cy="825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560" w:firstLine="469"/>
        <w:spacing w:after="0" w:line="282" w:lineRule="auto"/>
        <w:rPr>
          <w:sz w:val="20"/>
          <w:szCs w:val="20"/>
          <w:color w:val="auto"/>
        </w:rPr>
      </w:pPr>
      <w:r>
        <w:rPr>
          <w:rFonts w:ascii="Times New Roman" w:cs="Times New Roman" w:eastAsia="Times New Roman" w:hAnsi="Times New Roman"/>
          <w:sz w:val="18"/>
          <w:szCs w:val="18"/>
          <w:color w:val="auto"/>
        </w:rPr>
        <w:t>Average cash and cash equivalents increased by $486.5 million, or 105.28%, to $948.7 million for the nine months ended September 30, 2024, compared to $462.1 million for the same period of 2023.</w:t>
      </w:r>
    </w:p>
    <w:p>
      <w:pPr>
        <w:spacing w:after="0" w:line="162" w:lineRule="exact"/>
        <w:rPr>
          <w:sz w:val="20"/>
          <w:szCs w:val="20"/>
          <w:color w:val="auto"/>
        </w:rPr>
      </w:pPr>
    </w:p>
    <w:p>
      <w:pPr>
        <w:ind w:right="320" w:firstLine="469"/>
        <w:spacing w:after="0" w:line="282" w:lineRule="auto"/>
        <w:rPr>
          <w:sz w:val="20"/>
          <w:szCs w:val="20"/>
          <w:color w:val="auto"/>
        </w:rPr>
      </w:pPr>
      <w:r>
        <w:rPr>
          <w:rFonts w:ascii="Times New Roman" w:cs="Times New Roman" w:eastAsia="Times New Roman" w:hAnsi="Times New Roman"/>
          <w:sz w:val="18"/>
          <w:szCs w:val="18"/>
          <w:color w:val="auto"/>
        </w:rPr>
        <w:t>At September 30, 2024, cash and cash equivalents totaled $453.5 million. This represented an increase of $212.8 million, or 88.40%, from $240.7 million at September 30, 2023.Our cash on deposit at the Federal Reserve grew by more than $280 million when compared to June 30,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Sensitivity Management</w:t>
      </w:r>
    </w:p>
    <w:p>
      <w:pPr>
        <w:spacing w:after="0" w:line="229" w:lineRule="exact"/>
        <w:rPr>
          <w:sz w:val="20"/>
          <w:szCs w:val="20"/>
          <w:color w:val="auto"/>
        </w:rPr>
      </w:pPr>
    </w:p>
    <w:p>
      <w:pPr>
        <w:ind w:right="100" w:firstLine="469"/>
        <w:spacing w:after="0" w:line="254" w:lineRule="auto"/>
        <w:rPr>
          <w:sz w:val="20"/>
          <w:szCs w:val="20"/>
          <w:color w:val="auto"/>
        </w:rPr>
      </w:pPr>
      <w:r>
        <w:rPr>
          <w:rFonts w:ascii="Times New Roman" w:cs="Times New Roman" w:eastAsia="Times New Roman" w:hAnsi="Times New Roman"/>
          <w:sz w:val="18"/>
          <w:szCs w:val="18"/>
          <w:color w:val="auto"/>
        </w:rPr>
        <w:t>During periods of changing interest rates, the ability to re-price interest-earning assets and interest-bearing liabilities can influence net interest income, the net interest margin, and consequently, our earnings. Interest rate risk is managed by attempting to control the spread between rates earned on interest-earning assets and the rates paid on interest-bearing liabilities within the constraints imposed by market competition in our service area. The primary goal of interest rate risk management is to control exposure to interest rate risk, within policy limits approved by the Board of Directors. These limits and guidelines reflect our risk appetite for interest rate risk over both short-term and long-term horizons. We measure these risks and their impact by identifying and quantifying exposures through the use of sophisticated simulation and valuation models, which, as described in additional detail below, are employed by management to understand net interest income (NII) at risk and economic value of equity (EVE) at risk. Net interest income at risk sensitivity captures asset and liability repricing mismatches and is considered a shorter term measure, while EVE sensitivity captures mismatches within the period end balance sheets through the financial instruments’ respective maturities or estimated durations and is considered a longer term measure.</w:t>
      </w:r>
    </w:p>
    <w:p>
      <w:pPr>
        <w:spacing w:after="0" w:line="188" w:lineRule="exact"/>
        <w:rPr>
          <w:sz w:val="20"/>
          <w:szCs w:val="20"/>
          <w:color w:val="auto"/>
        </w:rPr>
      </w:pPr>
    </w:p>
    <w:p>
      <w:pPr>
        <w:ind w:right="120" w:firstLine="469"/>
        <w:spacing w:after="0" w:line="255" w:lineRule="auto"/>
        <w:rPr>
          <w:sz w:val="20"/>
          <w:szCs w:val="20"/>
          <w:color w:val="auto"/>
        </w:rPr>
      </w:pPr>
      <w:r>
        <w:rPr>
          <w:rFonts w:ascii="Times New Roman" w:cs="Times New Roman" w:eastAsia="Times New Roman" w:hAnsi="Times New Roman"/>
          <w:sz w:val="18"/>
          <w:szCs w:val="18"/>
          <w:color w:val="auto"/>
        </w:rPr>
        <w:t>One of the primary methods that we use to quantify and manage interest rate risk is simulation analysis, which we use to model NII from the Company’s balance sheet under various interest rate scenarios. We use simulation analysis to project rate sensitive income under many scenarios. The analyses may include rapid and gradual ramping of interest rates, rate shocks, basis risk analysis, and yield curve scenarios. Specific balance sheet management strategies are also analyzed to determine their impact on NII and EVE. Key assumptions in the simulation analysis relate to the behavior of interest rates and pricing spreads, the changes in product balances, and the behavior of loan and deposit clients in different rate environments. This analysis incorporates several assumptions, the most material of which relate to the re-pricing characteristics and balance fluctuations of deposits with indeterminate or non-contractual maturities, and prepayment of loans and securities.</w:t>
      </w:r>
    </w:p>
    <w:p>
      <w:pPr>
        <w:spacing w:after="0" w:line="18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Our interest rate risk policy measures the sensitivity of our net interest income over both a one-year and two-year cumulative time horizon.</w:t>
      </w:r>
    </w:p>
    <w:p>
      <w:pPr>
        <w:spacing w:after="0" w:line="225" w:lineRule="exact"/>
        <w:rPr>
          <w:sz w:val="20"/>
          <w:szCs w:val="20"/>
          <w:color w:val="auto"/>
        </w:rPr>
      </w:pPr>
    </w:p>
    <w:p>
      <w:pPr>
        <w:ind w:right="60" w:firstLine="469"/>
        <w:spacing w:after="0" w:line="255" w:lineRule="auto"/>
        <w:rPr>
          <w:sz w:val="20"/>
          <w:szCs w:val="20"/>
          <w:color w:val="auto"/>
        </w:rPr>
      </w:pPr>
      <w:r>
        <w:rPr>
          <w:rFonts w:ascii="Times New Roman" w:cs="Times New Roman" w:eastAsia="Times New Roman" w:hAnsi="Times New Roman"/>
          <w:sz w:val="18"/>
          <w:szCs w:val="18"/>
          <w:color w:val="auto"/>
        </w:rPr>
        <w:t>The simulation model estimates the impact of changing interest rates on interest income from all interest-earning assets and interest expense paid on all interest-bearing liabilities reflected on our balance sheet. This sensitivity analysis is compared to policy limits, which specify a maximum tolerance level for net interest income exposure over a one and two year horizon assuming no balance sheet growth, given a 200 basis point upward and a 200 basis point downward shift in</w:t>
      </w:r>
    </w:p>
    <w:p>
      <w:pPr>
        <w:spacing w:after="0" w:line="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309" w:right="279" w:bottom="1440" w:gutter="0" w:footer="0" w:header="0"/>
        </w:sectPr>
      </w:pPr>
    </w:p>
    <w:bookmarkStart w:id="70" w:name="page71"/>
    <w:bookmarkEnd w:id="70"/>
    <w:p>
      <w:pPr>
        <w:ind w:right="20"/>
        <w:spacing w:after="0" w:line="282" w:lineRule="auto"/>
        <w:rPr>
          <w:sz w:val="20"/>
          <w:szCs w:val="20"/>
          <w:color w:val="auto"/>
        </w:rPr>
      </w:pPr>
      <w:r>
        <w:rPr>
          <w:rFonts w:ascii="Times New Roman" w:cs="Times New Roman" w:eastAsia="Times New Roman" w:hAnsi="Times New Roman"/>
          <w:sz w:val="18"/>
          <w:szCs w:val="18"/>
          <w:color w:val="auto"/>
        </w:rPr>
        <w:t>interest rates depending on the level of current market rates. The simulation model uses a parallel yield curve shift that ramps rates up or down on a pro rata basis over 12-months and measures the resulting net interest income sensitivity over both the 12-month and 24-month time horizons.</w:t>
      </w:r>
    </w:p>
    <w:p>
      <w:pPr>
        <w:spacing w:after="0" w:line="162" w:lineRule="exact"/>
        <w:rPr>
          <w:sz w:val="20"/>
          <w:szCs w:val="20"/>
          <w:color w:val="auto"/>
        </w:rPr>
      </w:pPr>
    </w:p>
    <w:p>
      <w:pPr>
        <w:ind w:right="240" w:firstLine="464"/>
        <w:spacing w:after="0" w:line="282" w:lineRule="auto"/>
        <w:rPr>
          <w:sz w:val="20"/>
          <w:szCs w:val="20"/>
          <w:color w:val="auto"/>
        </w:rPr>
      </w:pPr>
      <w:r>
        <w:rPr>
          <w:rFonts w:ascii="Times New Roman" w:cs="Times New Roman" w:eastAsia="Times New Roman" w:hAnsi="Times New Roman"/>
          <w:sz w:val="18"/>
          <w:szCs w:val="18"/>
          <w:color w:val="auto"/>
        </w:rPr>
        <w:t>The following depicts the Company’s net interest income sensitivity analysis for the periods presented below, when rates are ramped up 200bps or ramped down 200bps over a 12-month time horizon.</w:t>
      </w:r>
    </w:p>
    <w:p>
      <w:pPr>
        <w:spacing w:after="0" w:line="17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Estimated Net Interest Income Sensitivity (1)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00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3400" w:type="dxa"/>
            <w:vAlign w:val="bottom"/>
            <w:tcBorders>
              <w:top w:val="single" w:sz="8" w:color="auto"/>
              <w:bottom w:val="single" w:sz="8" w:color="auto"/>
            </w:tcBorders>
            <w:gridSpan w:val="3"/>
          </w:tcPr>
          <w:p>
            <w:pPr>
              <w:ind w:left="96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80" w:type="dxa"/>
            <w:vAlign w:val="bottom"/>
            <w:tcBorders>
              <w:top w:val="single" w:sz="8" w:color="auto"/>
            </w:tcBorders>
          </w:tcPr>
          <w:p>
            <w:pPr>
              <w:spacing w:after="0"/>
              <w:rPr>
                <w:sz w:val="21"/>
                <w:szCs w:val="21"/>
                <w:color w:val="auto"/>
              </w:rPr>
            </w:pPr>
          </w:p>
        </w:tc>
        <w:tc>
          <w:tcPr>
            <w:tcW w:w="204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3140" w:type="dxa"/>
            <w:vAlign w:val="bottom"/>
            <w:tcBorders>
              <w:top w:val="single" w:sz="8" w:color="auto"/>
              <w:bottom w:val="single" w:sz="8" w:color="auto"/>
            </w:tcBorders>
            <w:gridSpan w:val="3"/>
          </w:tcPr>
          <w:p>
            <w:pPr>
              <w:ind w:left="84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03"/>
        </w:trPr>
        <w:tc>
          <w:tcPr>
            <w:tcW w:w="2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b w:val="1"/>
                <w:bCs w:val="1"/>
                <w:color w:val="auto"/>
              </w:rPr>
              <w:t>24-month Period</w:t>
            </w:r>
          </w:p>
        </w:tc>
        <w:tc>
          <w:tcPr>
            <w:tcW w:w="1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b w:val="1"/>
                <w:bCs w:val="1"/>
                <w:color w:val="auto"/>
                <w:w w:val="99"/>
              </w:rPr>
              <w:t>12-month</w:t>
            </w:r>
          </w:p>
        </w:tc>
        <w:tc>
          <w:tcPr>
            <w:tcW w:w="160" w:type="dxa"/>
            <w:vAlign w:val="bottom"/>
          </w:tcPr>
          <w:p>
            <w:pPr>
              <w:spacing w:after="0"/>
              <w:rPr>
                <w:sz w:val="17"/>
                <w:szCs w:val="17"/>
                <w:color w:val="auto"/>
              </w:rPr>
            </w:pPr>
          </w:p>
        </w:tc>
        <w:tc>
          <w:tcPr>
            <w:tcW w:w="168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b w:val="1"/>
                <w:bCs w:val="1"/>
                <w:color w:val="auto"/>
                <w:w w:val="98"/>
              </w:rPr>
              <w:t>24-month Period</w:t>
            </w:r>
          </w:p>
        </w:tc>
      </w:tr>
      <w:tr>
        <w:trPr>
          <w:trHeight w:val="245"/>
        </w:trPr>
        <w:tc>
          <w:tcPr>
            <w:tcW w:w="21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Interest Rate Scenario</w:t>
            </w:r>
          </w:p>
        </w:tc>
        <w:tc>
          <w:tcPr>
            <w:tcW w:w="15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12-month Period</w:t>
            </w:r>
          </w:p>
        </w:tc>
        <w:tc>
          <w:tcPr>
            <w:tcW w:w="16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(Cumulative)</w:t>
            </w:r>
          </w:p>
        </w:tc>
        <w:tc>
          <w:tcPr>
            <w:tcW w:w="180" w:type="dxa"/>
            <w:vAlign w:val="bottom"/>
          </w:tcPr>
          <w:p>
            <w:pPr>
              <w:spacing w:after="0"/>
              <w:rPr>
                <w:sz w:val="21"/>
                <w:szCs w:val="21"/>
                <w:color w:val="auto"/>
              </w:rPr>
            </w:pPr>
          </w:p>
        </w:tc>
        <w:tc>
          <w:tcPr>
            <w:tcW w:w="2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Interest Rate Scenario</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6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(Cumulative)</w:t>
            </w:r>
          </w:p>
        </w:tc>
      </w:tr>
      <w:tr>
        <w:trPr>
          <w:trHeight w:val="243"/>
        </w:trPr>
        <w:tc>
          <w:tcPr>
            <w:tcW w:w="200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70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2040" w:type="dxa"/>
            <w:vAlign w:val="bottom"/>
            <w:tcBorders>
              <w:top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Borders>
              <w:top w:val="single" w:sz="8" w:color="auto"/>
            </w:tcBorders>
          </w:tcPr>
          <w:p>
            <w:pPr>
              <w:spacing w:after="0"/>
              <w:rPr>
                <w:sz w:val="21"/>
                <w:szCs w:val="21"/>
                <w:color w:val="auto"/>
              </w:rPr>
            </w:pPr>
          </w:p>
        </w:tc>
      </w:tr>
      <w:tr>
        <w:trPr>
          <w:trHeight w:val="243"/>
        </w:trPr>
        <w:tc>
          <w:tcPr>
            <w:tcW w:w="216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rPr>
              <w:t>+ 200 basis points</w:t>
            </w:r>
          </w:p>
        </w:tc>
        <w:tc>
          <w:tcPr>
            <w:tcW w:w="1540" w:type="dxa"/>
            <w:vAlign w:val="bottom"/>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rPr>
              <w:t>5.21%</w:t>
            </w:r>
          </w:p>
        </w:tc>
        <w:tc>
          <w:tcPr>
            <w:tcW w:w="1860" w:type="dxa"/>
            <w:vAlign w:val="bottom"/>
            <w:gridSpan w:val="2"/>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rPr>
              <w:t>7.00%</w:t>
            </w:r>
          </w:p>
        </w:tc>
        <w:tc>
          <w:tcPr>
            <w:tcW w:w="180" w:type="dxa"/>
            <w:vAlign w:val="bottom"/>
            <w:shd w:val="clear" w:color="auto" w:fill="CFF0FC"/>
          </w:tcPr>
          <w:p>
            <w:pPr>
              <w:spacing w:after="0"/>
              <w:rPr>
                <w:sz w:val="21"/>
                <w:szCs w:val="21"/>
                <w:color w:val="auto"/>
              </w:rPr>
            </w:pPr>
          </w:p>
        </w:tc>
        <w:tc>
          <w:tcPr>
            <w:tcW w:w="2360" w:type="dxa"/>
            <w:vAlign w:val="bottom"/>
            <w:gridSpan w:val="2"/>
            <w:shd w:val="clear" w:color="auto" w:fill="CFF0FC"/>
          </w:tcPr>
          <w:p>
            <w:pPr>
              <w:jc w:val="center"/>
              <w:ind w:right="320"/>
              <w:spacing w:after="0"/>
              <w:rPr>
                <w:sz w:val="20"/>
                <w:szCs w:val="20"/>
                <w:color w:val="auto"/>
              </w:rPr>
            </w:pPr>
            <w:r>
              <w:rPr>
                <w:rFonts w:ascii="Times New Roman" w:cs="Times New Roman" w:eastAsia="Times New Roman" w:hAnsi="Times New Roman"/>
                <w:sz w:val="18"/>
                <w:szCs w:val="18"/>
                <w:color w:val="auto"/>
              </w:rPr>
              <w:t>+ 200 basis points</w:t>
            </w:r>
          </w:p>
        </w:tc>
        <w:tc>
          <w:tcPr>
            <w:tcW w:w="130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3.96%</w:t>
            </w:r>
          </w:p>
        </w:tc>
        <w:tc>
          <w:tcPr>
            <w:tcW w:w="1840" w:type="dxa"/>
            <w:vAlign w:val="bottom"/>
            <w:gridSpan w:val="2"/>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rPr>
              <w:t>4.56%</w:t>
            </w:r>
          </w:p>
        </w:tc>
      </w:tr>
      <w:tr>
        <w:trPr>
          <w:trHeight w:val="234"/>
        </w:trPr>
        <w:tc>
          <w:tcPr>
            <w:tcW w:w="21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- 200 basis points</w:t>
            </w:r>
          </w:p>
        </w:tc>
        <w:tc>
          <w:tcPr>
            <w:tcW w:w="15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-5.36%</w:t>
            </w:r>
          </w:p>
        </w:tc>
        <w:tc>
          <w:tcPr>
            <w:tcW w:w="186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color w:val="auto"/>
              </w:rPr>
              <w:t>-8.66%</w:t>
            </w:r>
          </w:p>
        </w:tc>
        <w:tc>
          <w:tcPr>
            <w:tcW w:w="180" w:type="dxa"/>
            <w:vAlign w:val="bottom"/>
          </w:tcPr>
          <w:p>
            <w:pPr>
              <w:spacing w:after="0"/>
              <w:rPr>
                <w:sz w:val="20"/>
                <w:szCs w:val="20"/>
                <w:color w:val="auto"/>
              </w:rPr>
            </w:pPr>
          </w:p>
        </w:tc>
        <w:tc>
          <w:tcPr>
            <w:tcW w:w="2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- 200 basis points</w:t>
            </w:r>
          </w:p>
        </w:tc>
        <w:tc>
          <w:tcPr>
            <w:tcW w:w="13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-3.97%</w:t>
            </w:r>
          </w:p>
        </w:tc>
        <w:tc>
          <w:tcPr>
            <w:tcW w:w="184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color w:val="auto"/>
              </w:rPr>
              <w:t>-5.21%</w:t>
            </w:r>
          </w:p>
        </w:tc>
      </w:tr>
    </w:tbl>
    <w:p>
      <w:pPr>
        <w:spacing w:after="0" w:line="211" w:lineRule="exact"/>
        <w:rPr>
          <w:sz w:val="20"/>
          <w:szCs w:val="20"/>
          <w:color w:val="auto"/>
        </w:rPr>
      </w:pPr>
    </w:p>
    <w:p>
      <w:pPr>
        <w:ind w:left="940" w:hanging="370"/>
        <w:spacing w:after="0"/>
        <w:tabs>
          <w:tab w:leader="none" w:pos="94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Percentage change from base scenario.</w:t>
      </w:r>
    </w:p>
    <w:p>
      <w:pPr>
        <w:spacing w:after="0" w:line="230" w:lineRule="exact"/>
        <w:rPr>
          <w:sz w:val="20"/>
          <w:szCs w:val="20"/>
          <w:color w:val="auto"/>
        </w:rPr>
      </w:pPr>
    </w:p>
    <w:p>
      <w:pPr>
        <w:ind w:right="100" w:firstLine="469"/>
        <w:spacing w:after="0" w:line="255" w:lineRule="auto"/>
        <w:rPr>
          <w:sz w:val="20"/>
          <w:szCs w:val="20"/>
          <w:color w:val="auto"/>
        </w:rPr>
      </w:pPr>
      <w:r>
        <w:rPr>
          <w:rFonts w:ascii="Times New Roman" w:cs="Times New Roman" w:eastAsia="Times New Roman" w:hAnsi="Times New Roman"/>
          <w:sz w:val="18"/>
          <w:szCs w:val="18"/>
          <w:color w:val="auto"/>
        </w:rPr>
        <w:t>Based on our current simulation models, we believe that the interest rate risk profile of the balance sheet is modestly asset sensitive over both a one-year and a two-year horizon. The estimated sensitivity does not necessarily represent a forecast and the results may not be indicative of actual changes to our net interest income. These estimates are based upon a number of assumptions including: the nature and timing of interest rate levels including yield curve shape, re-pricing characteristics and balance fluctuations of deposits with indeterminate or non-contractual maturities, prepayments on loans and securities, pricing strategies on loans and deposits, and replacement of asset and liability cash flows. While the assumptions used are based on current economic and local market conditions, there is no assurance as to the predictive nature of these conditions including how customer preferences or competitor influences might change.</w:t>
      </w:r>
    </w:p>
    <w:p>
      <w:pPr>
        <w:spacing w:after="0" w:line="189" w:lineRule="exact"/>
        <w:rPr>
          <w:sz w:val="20"/>
          <w:szCs w:val="20"/>
          <w:color w:val="auto"/>
        </w:rPr>
      </w:pPr>
    </w:p>
    <w:p>
      <w:pPr>
        <w:ind w:right="20" w:firstLine="469"/>
        <w:spacing w:after="0" w:line="253" w:lineRule="auto"/>
        <w:rPr>
          <w:sz w:val="20"/>
          <w:szCs w:val="20"/>
          <w:color w:val="auto"/>
        </w:rPr>
      </w:pPr>
      <w:r>
        <w:rPr>
          <w:rFonts w:ascii="Times New Roman" w:cs="Times New Roman" w:eastAsia="Times New Roman" w:hAnsi="Times New Roman"/>
          <w:sz w:val="18"/>
          <w:szCs w:val="18"/>
          <w:color w:val="auto"/>
        </w:rPr>
        <w:t>We also perform valuation analysis, which incorporates all cash flows over the estimated remaining life of all material balance sheet and derivative positions. The valuation of the balance sheet, at a point in time, is defined as the discounted present value of all asset cash flows and derivative cash flows minus the discounted present value of all liability cash flows, the net of which is referred to as EVE. The sensitivity of EVE to changes in the level of interest rates is a measure of the longer-term re-pricing risk and options risk embedded in the balance sheet. EVE uses instantaneous changes in rates, as shown in the table below. The EVE Ratio represents economic value of equity as a percentage of the discounted present value of all asset cash flows and derivative cash flows. Assumptions about the timing and variability of balance sheet cash flows are critical in the EVE analysis. Particularly important are the assumptions driving prepayments and the expected duration and pricing of the indeterminate deposit portfolios. EVE sensitivity is reported in both upward and downward rate shocks. At September 30, 2024, the EVE profile indicates a decline in the EVE Ratio due to instantaneous downward changes in rates and a modest increase in the EVE ratio under upward rate shocks. Compared to December 31, 2023, our EVE sensitivity to rising rates was modestly higher, as the EVE Ratio declined minimally at the end of 2023, while the decline in the EVE ratio under declining rates was consistent across the two periods. Overall, our sensitivity of EVE to changes in interest rates is generally modest, with the exception of more meaningful decreases in the EVE Ratio if rates were to immediately decline by 300 or 400 basis points.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Value of Equity Sensitivity</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160" w:type="dxa"/>
            <w:vAlign w:val="bottom"/>
          </w:tcPr>
          <w:p>
            <w:pPr>
              <w:spacing w:after="0"/>
              <w:rPr>
                <w:sz w:val="19"/>
                <w:szCs w:val="19"/>
                <w:color w:val="auto"/>
              </w:rPr>
            </w:pPr>
          </w:p>
        </w:tc>
        <w:tc>
          <w:tcPr>
            <w:tcW w:w="2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300" w:type="dxa"/>
            <w:vAlign w:val="bottom"/>
          </w:tcPr>
          <w:p>
            <w:pPr>
              <w:spacing w:after="0"/>
              <w:rPr>
                <w:sz w:val="19"/>
                <w:szCs w:val="19"/>
                <w:color w:val="auto"/>
              </w:rPr>
            </w:pPr>
          </w:p>
        </w:tc>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43"/>
        </w:trPr>
        <w:tc>
          <w:tcPr>
            <w:tcW w:w="516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40" w:type="dxa"/>
            <w:vAlign w:val="bottom"/>
          </w:tcPr>
          <w:p>
            <w:pPr>
              <w:spacing w:after="0"/>
              <w:rPr>
                <w:sz w:val="21"/>
                <w:szCs w:val="21"/>
                <w:color w:val="auto"/>
              </w:rPr>
            </w:pPr>
          </w:p>
        </w:tc>
      </w:tr>
      <w:tr>
        <w:trPr>
          <w:trHeight w:val="243"/>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400 bp decrease in interest rates</w:t>
            </w:r>
          </w:p>
        </w:tc>
        <w:tc>
          <w:tcPr>
            <w:tcW w:w="2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14.9%</w:t>
            </w:r>
          </w:p>
        </w:tc>
        <w:tc>
          <w:tcPr>
            <w:tcW w:w="3140" w:type="dxa"/>
            <w:vAlign w:val="bottom"/>
            <w:gridSpan w:val="2"/>
            <w:shd w:val="clear" w:color="auto" w:fill="CFF0FC"/>
          </w:tcPr>
          <w:p>
            <w:pPr>
              <w:jc w:val="center"/>
              <w:ind w:left="190"/>
              <w:spacing w:after="0"/>
              <w:rPr>
                <w:sz w:val="20"/>
                <w:szCs w:val="20"/>
                <w:color w:val="auto"/>
              </w:rPr>
            </w:pPr>
            <w:r>
              <w:rPr>
                <w:rFonts w:ascii="Times New Roman" w:cs="Times New Roman" w:eastAsia="Times New Roman" w:hAnsi="Times New Roman"/>
                <w:sz w:val="18"/>
                <w:szCs w:val="18"/>
                <w:color w:val="auto"/>
                <w:w w:val="98"/>
              </w:rPr>
              <w:t>14.7%</w:t>
            </w:r>
          </w:p>
        </w:tc>
      </w:tr>
      <w:tr>
        <w:trPr>
          <w:trHeight w:val="23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300 bp decrease in interest rates</w:t>
            </w:r>
          </w:p>
        </w:tc>
        <w:tc>
          <w:tcPr>
            <w:tcW w:w="2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15.2%</w:t>
            </w:r>
          </w:p>
        </w:tc>
        <w:tc>
          <w:tcPr>
            <w:tcW w:w="31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8"/>
              </w:rPr>
              <w:t>15.5%</w:t>
            </w:r>
          </w:p>
        </w:tc>
      </w:tr>
      <w:tr>
        <w:trPr>
          <w:trHeight w:val="247"/>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200 bp decrease in interest rates</w:t>
            </w:r>
          </w:p>
        </w:tc>
        <w:tc>
          <w:tcPr>
            <w:tcW w:w="2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16.2%</w:t>
            </w:r>
          </w:p>
        </w:tc>
        <w:tc>
          <w:tcPr>
            <w:tcW w:w="3140" w:type="dxa"/>
            <w:vAlign w:val="bottom"/>
            <w:gridSpan w:val="2"/>
            <w:shd w:val="clear" w:color="auto" w:fill="CFF0FC"/>
          </w:tcPr>
          <w:p>
            <w:pPr>
              <w:jc w:val="center"/>
              <w:ind w:left="190"/>
              <w:spacing w:after="0"/>
              <w:rPr>
                <w:sz w:val="20"/>
                <w:szCs w:val="20"/>
                <w:color w:val="auto"/>
              </w:rPr>
            </w:pPr>
            <w:r>
              <w:rPr>
                <w:rFonts w:ascii="Times New Roman" w:cs="Times New Roman" w:eastAsia="Times New Roman" w:hAnsi="Times New Roman"/>
                <w:sz w:val="18"/>
                <w:szCs w:val="18"/>
                <w:color w:val="auto"/>
                <w:w w:val="98"/>
              </w:rPr>
              <w:t>16.3%</w:t>
            </w:r>
          </w:p>
        </w:tc>
      </w:tr>
      <w:tr>
        <w:trPr>
          <w:trHeight w:val="23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100 bp decrease in interest rates</w:t>
            </w:r>
          </w:p>
        </w:tc>
        <w:tc>
          <w:tcPr>
            <w:tcW w:w="2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16.9%</w:t>
            </w:r>
          </w:p>
        </w:tc>
        <w:tc>
          <w:tcPr>
            <w:tcW w:w="31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8"/>
              </w:rPr>
              <w:t>16.8%</w:t>
            </w:r>
          </w:p>
        </w:tc>
      </w:tr>
      <w:tr>
        <w:trPr>
          <w:trHeight w:val="247"/>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Base</w:t>
            </w:r>
          </w:p>
        </w:tc>
        <w:tc>
          <w:tcPr>
            <w:tcW w:w="2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17.5%</w:t>
            </w:r>
          </w:p>
        </w:tc>
        <w:tc>
          <w:tcPr>
            <w:tcW w:w="3140" w:type="dxa"/>
            <w:vAlign w:val="bottom"/>
            <w:gridSpan w:val="2"/>
            <w:shd w:val="clear" w:color="auto" w:fill="CFF0FC"/>
          </w:tcPr>
          <w:p>
            <w:pPr>
              <w:jc w:val="center"/>
              <w:ind w:left="190"/>
              <w:spacing w:after="0"/>
              <w:rPr>
                <w:sz w:val="20"/>
                <w:szCs w:val="20"/>
                <w:color w:val="auto"/>
              </w:rPr>
            </w:pPr>
            <w:r>
              <w:rPr>
                <w:rFonts w:ascii="Times New Roman" w:cs="Times New Roman" w:eastAsia="Times New Roman" w:hAnsi="Times New Roman"/>
                <w:sz w:val="18"/>
                <w:szCs w:val="18"/>
                <w:color w:val="auto"/>
                <w:w w:val="98"/>
              </w:rPr>
              <w:t>17.1%</w:t>
            </w:r>
          </w:p>
        </w:tc>
      </w:tr>
      <w:tr>
        <w:trPr>
          <w:trHeight w:val="23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100 bp increase in interest rates</w:t>
            </w:r>
          </w:p>
        </w:tc>
        <w:tc>
          <w:tcPr>
            <w:tcW w:w="2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17.6%</w:t>
            </w:r>
          </w:p>
        </w:tc>
        <w:tc>
          <w:tcPr>
            <w:tcW w:w="31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8"/>
              </w:rPr>
              <w:t>17.0%</w:t>
            </w:r>
          </w:p>
        </w:tc>
      </w:tr>
      <w:tr>
        <w:trPr>
          <w:trHeight w:val="247"/>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200 bp increase in interest rates</w:t>
            </w:r>
          </w:p>
        </w:tc>
        <w:tc>
          <w:tcPr>
            <w:tcW w:w="2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17.8%</w:t>
            </w:r>
          </w:p>
        </w:tc>
        <w:tc>
          <w:tcPr>
            <w:tcW w:w="3140" w:type="dxa"/>
            <w:vAlign w:val="bottom"/>
            <w:gridSpan w:val="2"/>
            <w:shd w:val="clear" w:color="auto" w:fill="CFF0FC"/>
          </w:tcPr>
          <w:p>
            <w:pPr>
              <w:jc w:val="center"/>
              <w:ind w:left="190"/>
              <w:spacing w:after="0"/>
              <w:rPr>
                <w:sz w:val="20"/>
                <w:szCs w:val="20"/>
                <w:color w:val="auto"/>
              </w:rPr>
            </w:pPr>
            <w:r>
              <w:rPr>
                <w:rFonts w:ascii="Times New Roman" w:cs="Times New Roman" w:eastAsia="Times New Roman" w:hAnsi="Times New Roman"/>
                <w:sz w:val="18"/>
                <w:szCs w:val="18"/>
                <w:color w:val="auto"/>
                <w:w w:val="98"/>
              </w:rPr>
              <w:t>17.1%</w:t>
            </w:r>
          </w:p>
        </w:tc>
      </w:tr>
      <w:tr>
        <w:trPr>
          <w:trHeight w:val="23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300 bp increase in interest rates</w:t>
            </w:r>
          </w:p>
        </w:tc>
        <w:tc>
          <w:tcPr>
            <w:tcW w:w="2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18.0%</w:t>
            </w:r>
          </w:p>
        </w:tc>
        <w:tc>
          <w:tcPr>
            <w:tcW w:w="31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8"/>
              </w:rPr>
              <w:t>16.9%</w:t>
            </w:r>
          </w:p>
        </w:tc>
      </w:tr>
      <w:tr>
        <w:trPr>
          <w:trHeight w:val="247"/>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400 bp increase in interest rates</w:t>
            </w:r>
          </w:p>
        </w:tc>
        <w:tc>
          <w:tcPr>
            <w:tcW w:w="2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18.1%</w:t>
            </w:r>
          </w:p>
        </w:tc>
        <w:tc>
          <w:tcPr>
            <w:tcW w:w="3140" w:type="dxa"/>
            <w:vAlign w:val="bottom"/>
            <w:gridSpan w:val="2"/>
            <w:shd w:val="clear" w:color="auto" w:fill="CFF0FC"/>
          </w:tcPr>
          <w:p>
            <w:pPr>
              <w:jc w:val="center"/>
              <w:ind w:left="190"/>
              <w:spacing w:after="0"/>
              <w:rPr>
                <w:sz w:val="20"/>
                <w:szCs w:val="20"/>
                <w:color w:val="auto"/>
              </w:rPr>
            </w:pPr>
            <w:r>
              <w:rPr>
                <w:rFonts w:ascii="Times New Roman" w:cs="Times New Roman" w:eastAsia="Times New Roman" w:hAnsi="Times New Roman"/>
                <w:sz w:val="18"/>
                <w:szCs w:val="18"/>
                <w:color w:val="auto"/>
                <w:w w:val="98"/>
              </w:rPr>
              <w:t>16.7%</w:t>
            </w:r>
          </w:p>
        </w:tc>
      </w:tr>
    </w:tbl>
    <w:p>
      <w:pPr>
        <w:spacing w:after="0" w:line="198" w:lineRule="exact"/>
        <w:rPr>
          <w:sz w:val="20"/>
          <w:szCs w:val="20"/>
          <w:color w:val="auto"/>
        </w:rPr>
      </w:pPr>
    </w:p>
    <w:p>
      <w:pPr>
        <w:jc w:val="both"/>
        <w:ind w:right="180" w:firstLine="469"/>
        <w:spacing w:after="0" w:line="257" w:lineRule="auto"/>
        <w:rPr>
          <w:sz w:val="20"/>
          <w:szCs w:val="20"/>
          <w:color w:val="auto"/>
        </w:rPr>
      </w:pPr>
      <w:r>
        <w:rPr>
          <w:rFonts w:ascii="Times New Roman" w:cs="Times New Roman" w:eastAsia="Times New Roman" w:hAnsi="Times New Roman"/>
          <w:sz w:val="18"/>
          <w:szCs w:val="18"/>
          <w:color w:val="auto"/>
        </w:rPr>
        <w:t>As EVE measures the discounted present value of cash flows over the estimated lives of instruments, the change in EVE does not directly correlate to the degree that earnings would be impacted over a shorter time horizon (i.e., the current year). Further, EVE does not take into account factors such as future balance sheet growth, changes in asset and liability</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color w:val="auto"/>
        </w:rPr>
        <w:t>mix, changes in yield curve relationships, and changing product spreads that could mitigate the adverse impact of changes in interest rates.</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firstLine="469"/>
        <w:spacing w:after="0" w:line="254" w:lineRule="auto"/>
        <w:rPr>
          <w:sz w:val="20"/>
          <w:szCs w:val="20"/>
          <w:color w:val="auto"/>
        </w:rPr>
      </w:pPr>
      <w:r>
        <w:rPr>
          <w:rFonts w:ascii="Times New Roman" w:cs="Times New Roman" w:eastAsia="Times New Roman" w:hAnsi="Times New Roman"/>
          <w:sz w:val="18"/>
          <w:szCs w:val="18"/>
          <w:color w:val="auto"/>
        </w:rPr>
        <w:t>Market risk is the risk of loss from adverse changes in the market prices and interest rates. Our market risk arises primarily from interest rate risk inherent in our lending and deposit taking activities. In addition, we have cashflow hedges associated with wholesale funds, as well as our portfolio of investment securities and associated fair value hedges. We do not currently have futures, forwards, or option contracts. As a result of the phase out of LIBOR, our interest rate swap derivatives and the associated loans that were indexed to LIBOR, have been replaced with one month CME Term SOFR. For further quantitative and qualitative disclosures about market risks in our portfolio, see Asset/Liability Management and Interest Rate Sensitivity Management” included in Item 2 “Management’s Discussion and Analysis of Financial Condition and Results of Operations” presented elsewhere in this report. This analysis should be read in conjunction with our Annual Report on Form 10-K for the year ended December 31, 2023. Our analysis of market risk and market-sensitive financial information contains forward-looking statements and is subject to the disclosure at the beginning of Part I regarding such forward-looking information.</w:t>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ind w:right="60" w:firstLine="469"/>
        <w:spacing w:after="0" w:line="261" w:lineRule="auto"/>
        <w:rPr>
          <w:sz w:val="20"/>
          <w:szCs w:val="20"/>
          <w:color w:val="auto"/>
        </w:rPr>
      </w:pPr>
      <w:r>
        <w:rPr>
          <w:rFonts w:ascii="Times New Roman" w:cs="Times New Roman" w:eastAsia="Times New Roman" w:hAnsi="Times New Roman"/>
          <w:sz w:val="18"/>
          <w:szCs w:val="18"/>
          <w:color w:val="auto"/>
        </w:rPr>
        <w:t>As of the end of the period covered by this report, we carried out an evaluation of the effectiveness of the Company’s disclosure controls and procedures under the supervision and with the participation of the Chief Executive Officer, the Chief Financial Officer and other senior management of the Company. Based on the foregoing, the Company’s Chief Executive Officer and the Chief Financial Officer concluded that the Company’s disclosure controls and procedures were effective as of the end of the period covered by this report.</w:t>
      </w:r>
    </w:p>
    <w:p>
      <w:pPr>
        <w:spacing w:after="0" w:line="180" w:lineRule="exact"/>
        <w:rPr>
          <w:sz w:val="20"/>
          <w:szCs w:val="20"/>
          <w:color w:val="auto"/>
        </w:rPr>
      </w:pPr>
    </w:p>
    <w:p>
      <w:pPr>
        <w:ind w:right="480" w:firstLine="469"/>
        <w:spacing w:after="0" w:line="282" w:lineRule="auto"/>
        <w:rPr>
          <w:sz w:val="20"/>
          <w:szCs w:val="20"/>
          <w:color w:val="auto"/>
        </w:rPr>
      </w:pPr>
      <w:r>
        <w:rPr>
          <w:rFonts w:ascii="Times New Roman" w:cs="Times New Roman" w:eastAsia="Times New Roman" w:hAnsi="Times New Roman"/>
          <w:sz w:val="18"/>
          <w:szCs w:val="18"/>
          <w:color w:val="auto"/>
        </w:rPr>
        <w:t>During the quarter ended September 30, 2024, there have been no changes in our internal controls over financial reporting that have materially affected or are reasonably likely to materially affect our internal controls over financial reporting.</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72" w:name="page73"/>
    <w:bookmarkEnd w:id="7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Company and its subsidiaries are parties to various lawsuits and threatened lawsuits in the course of business. From time to time, such lawsuits and threatened lawsuits may include, but are not limited to, actions involving securities litigation, wage-hour and employment law claims, consumer claims, regulatory compliance claims and investigations, data privacy and cyber security claims, lender liability claims, fraud loss claims, bankruptcy-related claims and negligence claims, some of which may be styled as “class action” or representative cases. Some of these lawsuits may be similar in nature to other lawsuits pending against the Company’s competitors.</w:t>
      </w:r>
    </w:p>
    <w:p>
      <w:pPr>
        <w:spacing w:after="0" w:line="143"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For lawsuits where the Company has determined that a loss is both probable and reasonably estimable, a liability representing the best estimate of the Company’s financial exposure based on known facts has been recorded in accordance with FASB guidance over loss contingencies (ASC 450). However, as a result of inherent uncertainties in judicial interpretation and application of a myriad of laws and regulations applicable to the Company’s business, and the unique, complex factual issues presented in any given lawsuit, the Company often cannot determine the probability of loss or estimate the amount of damages which a plaintiff might successfully prove if the Company were found to be liable. For lawsuits or threatened lawsuits where a claim has been asserted or the Company has determined that it is probable that a claim will be asserted, and there is a reasonable possibility that the outcome will be unfavorable, the Company will disclose the existence of the loss contingency, even if the Company is not able to make an estimate of the possible loss or range of possible loss with respect to the action or potential action in question, unless the Company believes that the nature, potential magnitude or potential timing (if known) of the loss contingency is not reasonably likely to be material to the Company’s results of operations, financial condition or cash flows.</w:t>
      </w:r>
    </w:p>
    <w:p>
      <w:pPr>
        <w:spacing w:after="0" w:line="167" w:lineRule="exact"/>
        <w:rPr>
          <w:sz w:val="20"/>
          <w:szCs w:val="20"/>
          <w:color w:val="auto"/>
        </w:rPr>
      </w:pPr>
    </w:p>
    <w:p>
      <w:pPr>
        <w:ind w:right="40" w:firstLine="509"/>
        <w:spacing w:after="0" w:line="281" w:lineRule="auto"/>
        <w:rPr>
          <w:sz w:val="20"/>
          <w:szCs w:val="20"/>
          <w:color w:val="auto"/>
        </w:rPr>
      </w:pPr>
      <w:r>
        <w:rPr>
          <w:rFonts w:ascii="Times New Roman" w:cs="Times New Roman" w:eastAsia="Times New Roman" w:hAnsi="Times New Roman"/>
          <w:sz w:val="17"/>
          <w:szCs w:val="17"/>
          <w:color w:val="auto"/>
        </w:rPr>
        <w:t>Our accruals and disclosures for loss contingencies are reviewed quarterly and adjusted as additional information becomes available. We disclose a loss contingency and/or the amount accrued if we believe it is reasonably likely to be material or if we believe such disclosure is necessary for our financial statements to not be misleading. If we determine that an exposure to loss exists in excess of an amount previously accrued or disclosed, we assess whether there is at least a reasonable possibility that a loss, or additional loss, may have been incurred, and we adjust our accruals and disclosures accordingly.</w:t>
      </w:r>
    </w:p>
    <w:p>
      <w:pPr>
        <w:spacing w:after="0" w:line="124"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We do not presently believe that the ultimate resolution of any lawsuits currently pending against the Company will have a material adverse effect on the Company’s results of operations, financial condition, or cash flows. The outcome of litigation and other legal and regulatory matters is inherently uncertain, however, and it is possible that one or more of the legal matters currently pending or threatened against the Company could have a material adverse effect on our results of operations, financial condition or cash flows.</w:t>
      </w:r>
    </w:p>
    <w:p>
      <w:pPr>
        <w:spacing w:after="0" w:line="135"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ind w:right="40" w:firstLine="469"/>
        <w:spacing w:after="0" w:line="258" w:lineRule="auto"/>
        <w:rPr>
          <w:sz w:val="20"/>
          <w:szCs w:val="20"/>
          <w:color w:val="auto"/>
        </w:rPr>
      </w:pPr>
      <w:r>
        <w:rPr>
          <w:rFonts w:ascii="Times New Roman" w:cs="Times New Roman" w:eastAsia="Times New Roman" w:hAnsi="Times New Roman"/>
          <w:sz w:val="18"/>
          <w:szCs w:val="18"/>
          <w:color w:val="auto"/>
        </w:rPr>
        <w:t>There have been no material changes to the risk factors as previously disclosed in Item 1A. to Part I of our Annual Report on Form 10-K for the year ended December 31, 2023. The materiality of any risks and uncertainties identified in our Forward Looking Statements contained in this report together with those previously disclosed in the Form 10-K or those that are presently unforeseen could result in significant adverse effects on our financial condition, results of operations and cash flows. See Item 2.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in this Quarterly Report on Form 10-Q.</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right="20" w:firstLine="464"/>
        <w:spacing w:after="0" w:line="254" w:lineRule="auto"/>
        <w:rPr>
          <w:sz w:val="20"/>
          <w:szCs w:val="20"/>
          <w:color w:val="auto"/>
        </w:rPr>
      </w:pPr>
      <w:r>
        <w:rPr>
          <w:rFonts w:ascii="Times New Roman" w:cs="Times New Roman" w:eastAsia="Times New Roman" w:hAnsi="Times New Roman"/>
          <w:sz w:val="18"/>
          <w:szCs w:val="18"/>
          <w:color w:val="auto"/>
        </w:rPr>
        <w:t>On February 1, 2022, we announced that our Board of Directors authorized a share repurchase plan to repurchase up to 10,000,000 shares of the Company’s common stock ("2022 Repurchase Program"). We did not repurchase any shares of our common stock during the quarter ended September 30, 2024. As of September 30, 2024, an aggregate of 4,300,059 shares remained available for repurchase under our 2022 Repurchase Program. The only shares repurchased during the third quarter of 2024 were shares repurchased pursuant to net settlement by employees in satisfaction of income tax withholding obligations incurred through the vesting of Company stock awards.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3" w:name="page74"/>
    <w:bookmarkEnd w:id="73"/>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6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 Number of</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Purchased as Part of</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Maximum Number of Shares</w:t>
            </w:r>
          </w:p>
        </w:tc>
      </w:tr>
      <w:tr>
        <w:trPr>
          <w:trHeight w:val="216"/>
        </w:trPr>
        <w:tc>
          <w:tcPr>
            <w:tcW w:w="256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Shares Purchased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5"/>
              </w:rPr>
              <w:t>Average Price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Publicly Announced Plans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Available for Repurchase Under</w:t>
            </w:r>
          </w:p>
        </w:tc>
      </w:tr>
      <w:tr>
        <w:trPr>
          <w:trHeight w:val="245"/>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Paid Per Share</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or Programs</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the Plans or Programs</w:t>
            </w:r>
          </w:p>
        </w:tc>
      </w:tr>
      <w:tr>
        <w:trPr>
          <w:trHeight w:val="243"/>
        </w:trPr>
        <w:tc>
          <w:tcPr>
            <w:tcW w:w="2560" w:type="dxa"/>
            <w:vAlign w:val="bottom"/>
            <w:tcBorders>
              <w:top w:val="single" w:sz="8" w:color="auto"/>
            </w:tcBorders>
          </w:tcPr>
          <w:p>
            <w:pPr>
              <w:spacing w:after="0"/>
              <w:rPr>
                <w:sz w:val="21"/>
                <w:szCs w:val="21"/>
                <w:color w:val="auto"/>
              </w:rPr>
            </w:pPr>
          </w:p>
        </w:tc>
        <w:tc>
          <w:tcPr>
            <w:tcW w:w="15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1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7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July 1 - 31, 2024</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4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160" w:type="dxa"/>
            <w:vAlign w:val="bottom"/>
            <w:shd w:val="clear" w:color="auto" w:fill="CFF0FC"/>
          </w:tcPr>
          <w:p>
            <w:pPr>
              <w:ind w:left="1980"/>
              <w:spacing w:after="0"/>
              <w:rPr>
                <w:sz w:val="20"/>
                <w:szCs w:val="20"/>
                <w:color w:val="auto"/>
              </w:rPr>
            </w:pPr>
            <w:r>
              <w:rPr>
                <w:rFonts w:ascii="Times New Roman" w:cs="Times New Roman" w:eastAsia="Times New Roman" w:hAnsi="Times New Roman"/>
                <w:sz w:val="18"/>
                <w:szCs w:val="18"/>
                <w:color w:val="auto"/>
                <w:w w:val="88"/>
              </w:rPr>
              <w:t>—</w:t>
            </w:r>
          </w:p>
        </w:tc>
        <w:tc>
          <w:tcPr>
            <w:tcW w:w="30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4,300,059</w:t>
            </w:r>
          </w:p>
        </w:tc>
        <w:tc>
          <w:tcPr>
            <w:tcW w:w="100" w:type="dxa"/>
            <w:vAlign w:val="bottom"/>
            <w:shd w:val="clear" w:color="auto" w:fill="CFF0FC"/>
          </w:tcPr>
          <w:p>
            <w:pPr>
              <w:spacing w:after="0"/>
              <w:rPr>
                <w:sz w:val="21"/>
                <w:szCs w:val="21"/>
                <w:color w:val="auto"/>
              </w:rPr>
            </w:pPr>
          </w:p>
        </w:tc>
      </w:tr>
      <w:tr>
        <w:trPr>
          <w:trHeight w:val="239"/>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1 - 31, 2024</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ind w:left="1980"/>
              <w:spacing w:after="0"/>
              <w:rPr>
                <w:sz w:val="20"/>
                <w:szCs w:val="20"/>
                <w:color w:val="auto"/>
              </w:rPr>
            </w:pPr>
            <w:r>
              <w:rPr>
                <w:rFonts w:ascii="Times New Roman" w:cs="Times New Roman" w:eastAsia="Times New Roman" w:hAnsi="Times New Roman"/>
                <w:sz w:val="18"/>
                <w:szCs w:val="18"/>
                <w:color w:val="auto"/>
                <w:w w:val="88"/>
              </w:rPr>
              <w:t>—</w:t>
            </w:r>
          </w:p>
        </w:tc>
        <w:tc>
          <w:tcPr>
            <w:tcW w:w="3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4,300,059</w:t>
            </w:r>
          </w:p>
        </w:tc>
        <w:tc>
          <w:tcPr>
            <w:tcW w:w="100" w:type="dxa"/>
            <w:vAlign w:val="bottom"/>
          </w:tcPr>
          <w:p>
            <w:pPr>
              <w:spacing w:after="0"/>
              <w:rPr>
                <w:sz w:val="20"/>
                <w:szCs w:val="20"/>
                <w:color w:val="auto"/>
              </w:rPr>
            </w:pPr>
          </w:p>
        </w:tc>
      </w:tr>
      <w:tr>
        <w:trPr>
          <w:trHeight w:val="247"/>
        </w:trPr>
        <w:tc>
          <w:tcPr>
            <w:tcW w:w="2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September 1 - 30, 2024</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300" w:type="dxa"/>
            <w:vAlign w:val="bottom"/>
            <w:tcBorders>
              <w:bottom w:val="single" w:sz="8" w:color="CFF0FC"/>
            </w:tcBorders>
            <w:gridSpan w:val="2"/>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160" w:type="dxa"/>
            <w:vAlign w:val="bottom"/>
            <w:tcBorders>
              <w:bottom w:val="single" w:sz="8" w:color="auto"/>
            </w:tcBorders>
            <w:shd w:val="clear" w:color="auto" w:fill="CFF0FC"/>
          </w:tcPr>
          <w:p>
            <w:pPr>
              <w:ind w:left="198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CFF0FC"/>
            </w:tcBorders>
            <w:gridSpan w:val="2"/>
            <w:shd w:val="clear" w:color="auto" w:fill="CFF0FC"/>
          </w:tcPr>
          <w:p>
            <w:pPr>
              <w:spacing w:after="0"/>
              <w:rPr>
                <w:sz w:val="21"/>
                <w:szCs w:val="21"/>
                <w:color w:val="auto"/>
              </w:rPr>
            </w:pPr>
          </w:p>
        </w:tc>
        <w:tc>
          <w:tcPr>
            <w:tcW w:w="2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4,300,059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2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ind w:left="1980"/>
              <w:spacing w:after="0"/>
              <w:rPr>
                <w:sz w:val="20"/>
                <w:szCs w:val="20"/>
                <w:color w:val="auto"/>
              </w:rPr>
            </w:pPr>
            <w:r>
              <w:rPr>
                <w:rFonts w:ascii="Times New Roman" w:cs="Times New Roman" w:eastAsia="Times New Roman" w:hAnsi="Times New Roman"/>
                <w:sz w:val="18"/>
                <w:szCs w:val="18"/>
                <w:color w:val="auto"/>
                <w:w w:val="88"/>
              </w:rPr>
              <w:t>—</w:t>
            </w:r>
          </w:p>
        </w:tc>
        <w:tc>
          <w:tcPr>
            <w:tcW w:w="3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4,300,059</w:t>
            </w:r>
          </w:p>
        </w:tc>
        <w:tc>
          <w:tcPr>
            <w:tcW w:w="100" w:type="dxa"/>
            <w:vAlign w:val="bottom"/>
          </w:tcPr>
          <w:p>
            <w:pPr>
              <w:spacing w:after="0"/>
              <w:rPr>
                <w:sz w:val="20"/>
                <w:szCs w:val="20"/>
                <w:color w:val="auto"/>
              </w:rPr>
            </w:pPr>
          </w:p>
        </w:tc>
      </w:tr>
      <w:tr>
        <w:trPr>
          <w:trHeight w:val="20"/>
        </w:trPr>
        <w:tc>
          <w:tcPr>
            <w:tcW w:w="256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2602230</wp:posOffset>
            </wp:positionH>
            <wp:positionV relativeFrom="paragraph">
              <wp:posOffset>-187960</wp:posOffset>
            </wp:positionV>
            <wp:extent cx="76835" cy="825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-187960</wp:posOffset>
            </wp:positionV>
            <wp:extent cx="76835" cy="825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-187960</wp:posOffset>
            </wp:positionV>
            <wp:extent cx="68580" cy="825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9" w:lineRule="exact"/>
        <w:rPr>
          <w:sz w:val="20"/>
          <w:szCs w:val="20"/>
          <w:color w:val="auto"/>
        </w:rPr>
      </w:pPr>
    </w:p>
    <w:p>
      <w:pPr>
        <w:ind w:left="1040" w:right="120" w:hanging="470"/>
        <w:spacing w:after="0" w:line="298" w:lineRule="auto"/>
        <w:tabs>
          <w:tab w:leader="none" w:pos="10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repurchased pursuant to net settlement by employees in satisfaction of income tax withholding obligations incurred through the vesting of Company stock awards.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240" w:type="dxa"/>
            <w:vAlign w:val="bottom"/>
          </w:tcPr>
          <w:p>
            <w:pPr>
              <w:spacing w:after="0"/>
              <w:rPr>
                <w:sz w:val="20"/>
                <w:szCs w:val="20"/>
                <w:color w:val="auto"/>
              </w:rPr>
            </w:pPr>
          </w:p>
        </w:tc>
        <w:tc>
          <w:tcPr>
            <w:tcW w:w="978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Exhibits</w:t>
            </w:r>
          </w:p>
        </w:tc>
      </w:tr>
      <w:tr>
        <w:trPr>
          <w:trHeight w:val="304"/>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10.7</w:t>
            </w:r>
          </w:p>
        </w:tc>
        <w:tc>
          <w:tcPr>
            <w:tcW w:w="240" w:type="dxa"/>
            <w:vAlign w:val="bottom"/>
          </w:tcPr>
          <w:p>
            <w:pPr>
              <w:spacing w:after="0"/>
              <w:rPr>
                <w:sz w:val="24"/>
                <w:szCs w:val="24"/>
                <w:color w:val="auto"/>
              </w:rPr>
            </w:pPr>
          </w:p>
        </w:tc>
        <w:tc>
          <w:tcPr>
            <w:tcW w:w="964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rPr>
            </w:pPr>
            <w:hyperlink r:id="rId888">
              <w:r>
                <w:rPr>
                  <w:rFonts w:ascii="Times New Roman" w:cs="Times New Roman" w:eastAsia="Times New Roman" w:hAnsi="Times New Roman"/>
                  <w:sz w:val="18"/>
                  <w:szCs w:val="18"/>
                  <w:color w:val="0000FF"/>
                </w:rPr>
                <w:t>Second Amended and Restated Employment Agreement by and among CVB Financial Corp. and Citizens Business Bank, on the one</w:t>
              </w:r>
            </w:hyperlink>
          </w:p>
        </w:tc>
        <w:tc>
          <w:tcPr>
            <w:tcW w:w="140" w:type="dxa"/>
            <w:vAlign w:val="bottom"/>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12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r:id="rId888">
              <w:r>
                <w:rPr>
                  <w:rFonts w:ascii="Times New Roman" w:cs="Times New Roman" w:eastAsia="Times New Roman" w:hAnsi="Times New Roman"/>
                  <w:sz w:val="18"/>
                  <w:szCs w:val="18"/>
                  <w:color w:val="0000FF"/>
                  <w:w w:val="99"/>
                </w:rPr>
                <w:t>hand, and David A. Brager, on the other hand, dated July 1, 2024. † (1)</w:t>
              </w:r>
            </w:hyperlink>
          </w:p>
        </w:tc>
        <w:tc>
          <w:tcPr>
            <w:tcW w:w="20" w:type="dxa"/>
            <w:vAlign w:val="bottom"/>
            <w:tcBorders>
              <w:bottom w:val="single" w:sz="8" w:color="0000EE"/>
            </w:tcBorders>
          </w:tcPr>
          <w:p>
            <w:pPr>
              <w:spacing w:after="0"/>
              <w:rPr>
                <w:sz w:val="17"/>
                <w:szCs w:val="17"/>
                <w:color w:val="auto"/>
              </w:rPr>
            </w:pPr>
          </w:p>
        </w:tc>
        <w:tc>
          <w:tcPr>
            <w:tcW w:w="4640" w:type="dxa"/>
            <w:vAlign w:val="bottom"/>
            <w:gridSpan w:val="4"/>
          </w:tcPr>
          <w:p>
            <w:pPr>
              <w:spacing w:after="0"/>
              <w:rPr>
                <w:sz w:val="17"/>
                <w:szCs w:val="17"/>
                <w:color w:val="auto"/>
              </w:rPr>
            </w:pPr>
          </w:p>
        </w:tc>
      </w:tr>
      <w:tr>
        <w:trPr>
          <w:trHeight w:val="223"/>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10.11</w:t>
            </w:r>
          </w:p>
        </w:tc>
        <w:tc>
          <w:tcPr>
            <w:tcW w:w="240" w:type="dxa"/>
            <w:vAlign w:val="bottom"/>
          </w:tcPr>
          <w:p>
            <w:pPr>
              <w:spacing w:after="0"/>
              <w:rPr>
                <w:sz w:val="19"/>
                <w:szCs w:val="19"/>
                <w:color w:val="auto"/>
              </w:rPr>
            </w:pPr>
          </w:p>
        </w:tc>
        <w:tc>
          <w:tcPr>
            <w:tcW w:w="950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rPr>
            </w:pPr>
            <w:hyperlink r:id="rId889">
              <w:r>
                <w:rPr>
                  <w:rFonts w:ascii="Times New Roman" w:cs="Times New Roman" w:eastAsia="Times New Roman" w:hAnsi="Times New Roman"/>
                  <w:sz w:val="18"/>
                  <w:szCs w:val="18"/>
                  <w:color w:val="0000FF"/>
                </w:rPr>
                <w:t>Form of Employment Agreement by and among CVB Financial Corp. and Citizens Business Bank, on the one hand, and each of E.</w:t>
              </w:r>
            </w:hyperlink>
          </w:p>
        </w:tc>
        <w:tc>
          <w:tcPr>
            <w:tcW w:w="280" w:type="dxa"/>
            <w:vAlign w:val="bottom"/>
            <w:gridSpan w:val="2"/>
          </w:tcPr>
          <w:p>
            <w:pPr>
              <w:spacing w:after="0"/>
              <w:rPr>
                <w:sz w:val="19"/>
                <w:szCs w:val="19"/>
                <w:color w:val="auto"/>
              </w:rPr>
            </w:pPr>
          </w:p>
        </w:tc>
      </w:tr>
      <w:tr>
        <w:trPr>
          <w:trHeight w:val="196"/>
        </w:trPr>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78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889">
              <w:r>
                <w:rPr>
                  <w:rFonts w:ascii="Times New Roman" w:cs="Times New Roman" w:eastAsia="Times New Roman" w:hAnsi="Times New Roman"/>
                  <w:sz w:val="18"/>
                  <w:szCs w:val="18"/>
                  <w:color w:val="0000FF"/>
                  <w:w w:val="99"/>
                </w:rPr>
                <w:t>Allen Nicholson, David F. Farnsworth, David C. Harvey, and Richard H. Wohl, respectively, on the other hand, effective July 2, 2024 †</w:t>
              </w:r>
            </w:hyperlink>
          </w:p>
        </w:tc>
      </w:tr>
      <w:tr>
        <w:trPr>
          <w:trHeight w:val="196"/>
        </w:trPr>
        <w:tc>
          <w:tcPr>
            <w:tcW w:w="1180" w:type="dxa"/>
            <w:vAlign w:val="bottom"/>
          </w:tcPr>
          <w:p>
            <w:pPr>
              <w:spacing w:after="0"/>
              <w:rPr>
                <w:sz w:val="17"/>
                <w:szCs w:val="17"/>
                <w:color w:val="auto"/>
              </w:rPr>
            </w:pPr>
          </w:p>
        </w:tc>
        <w:tc>
          <w:tcPr>
            <w:tcW w:w="460" w:type="dxa"/>
            <w:vAlign w:val="bottom"/>
            <w:gridSpan w:val="2"/>
          </w:tcPr>
          <w:p>
            <w:pPr>
              <w:ind w:left="240"/>
              <w:spacing w:after="0" w:line="196" w:lineRule="exact"/>
              <w:rPr>
                <w:rFonts w:ascii="Times New Roman" w:cs="Times New Roman" w:eastAsia="Times New Roman" w:hAnsi="Times New Roman"/>
                <w:sz w:val="18"/>
                <w:szCs w:val="18"/>
                <w:color w:val="0000FF"/>
                <w:w w:val="85"/>
              </w:rPr>
            </w:pPr>
            <w:hyperlink r:id="rId889">
              <w:r>
                <w:rPr>
                  <w:rFonts w:ascii="Times New Roman" w:cs="Times New Roman" w:eastAsia="Times New Roman" w:hAnsi="Times New Roman"/>
                  <w:sz w:val="18"/>
                  <w:szCs w:val="18"/>
                  <w:color w:val="0000FF"/>
                  <w:w w:val="85"/>
                </w:rPr>
                <w:t>(2)</w:t>
              </w:r>
            </w:hyperlink>
          </w:p>
        </w:tc>
        <w:tc>
          <w:tcPr>
            <w:tcW w:w="4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6940" w:type="dxa"/>
            <w:vAlign w:val="bottom"/>
            <w:gridSpan w:val="3"/>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r>
      <w:tr>
        <w:trPr>
          <w:trHeight w:val="223"/>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31.1</w:t>
            </w:r>
          </w:p>
        </w:tc>
        <w:tc>
          <w:tcPr>
            <w:tcW w:w="240" w:type="dxa"/>
            <w:vAlign w:val="bottom"/>
          </w:tcPr>
          <w:p>
            <w:pPr>
              <w:spacing w:after="0"/>
              <w:rPr>
                <w:sz w:val="19"/>
                <w:szCs w:val="19"/>
                <w:color w:val="auto"/>
              </w:rPr>
            </w:pPr>
          </w:p>
        </w:tc>
        <w:tc>
          <w:tcPr>
            <w:tcW w:w="97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302 of the Sarbanes-Oxley Act of 2002</w:t>
            </w:r>
            <w:r>
              <w:rPr>
                <w:rFonts w:ascii="Times New Roman" w:cs="Times New Roman" w:eastAsia="Times New Roman" w:hAnsi="Times New Roman"/>
                <w:sz w:val="18"/>
                <w:szCs w:val="18"/>
                <w:color w:val="000000"/>
              </w:rPr>
              <w:t>*</w:t>
            </w:r>
          </w:p>
        </w:tc>
      </w:tr>
      <w:tr>
        <w:trPr>
          <w:trHeight w:val="20"/>
        </w:trPr>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160" w:type="dxa"/>
            <w:vAlign w:val="bottom"/>
            <w:tcBorders>
              <w:right w:val="single" w:sz="8" w:color="0000FF"/>
            </w:tcBorders>
            <w:gridSpan w:val="4"/>
            <w:shd w:val="clear" w:color="auto" w:fill="0000FF"/>
          </w:tcPr>
          <w:p>
            <w:pPr>
              <w:spacing w:after="0" w:line="20" w:lineRule="exact"/>
              <w:rPr>
                <w:sz w:val="1"/>
                <w:szCs w:val="1"/>
                <w:color w:val="auto"/>
              </w:rPr>
            </w:pPr>
          </w:p>
        </w:tc>
        <w:tc>
          <w:tcPr>
            <w:tcW w:w="2620" w:type="dxa"/>
            <w:vAlign w:val="bottom"/>
            <w:tcBorders>
              <w:left w:val="single" w:sz="8" w:color="0000EE"/>
            </w:tcBorders>
            <w:gridSpan w:val="3"/>
          </w:tcPr>
          <w:p>
            <w:pPr>
              <w:spacing w:after="0" w:line="20" w:lineRule="exact"/>
              <w:rPr>
                <w:sz w:val="1"/>
                <w:szCs w:val="1"/>
                <w:color w:val="auto"/>
              </w:rPr>
            </w:pPr>
          </w:p>
        </w:tc>
      </w:tr>
      <w:tr>
        <w:trPr>
          <w:trHeight w:val="223"/>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31.2</w:t>
            </w:r>
          </w:p>
        </w:tc>
        <w:tc>
          <w:tcPr>
            <w:tcW w:w="240" w:type="dxa"/>
            <w:vAlign w:val="bottom"/>
          </w:tcPr>
          <w:p>
            <w:pPr>
              <w:spacing w:after="0"/>
              <w:rPr>
                <w:sz w:val="19"/>
                <w:szCs w:val="19"/>
                <w:color w:val="auto"/>
              </w:rPr>
            </w:pPr>
          </w:p>
        </w:tc>
        <w:tc>
          <w:tcPr>
            <w:tcW w:w="97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Section 302 of the Sarbanes-Oxley Act of 2002</w:t>
            </w:r>
            <w:r>
              <w:rPr>
                <w:rFonts w:ascii="Times New Roman" w:cs="Times New Roman" w:eastAsia="Times New Roman" w:hAnsi="Times New Roman"/>
                <w:sz w:val="18"/>
                <w:szCs w:val="18"/>
                <w:color w:val="000000"/>
              </w:rPr>
              <w:t>*</w:t>
            </w:r>
          </w:p>
        </w:tc>
      </w:tr>
      <w:tr>
        <w:trPr>
          <w:trHeight w:val="20"/>
        </w:trPr>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160" w:type="dxa"/>
            <w:vAlign w:val="bottom"/>
            <w:tcBorders>
              <w:right w:val="single" w:sz="8" w:color="0000EE"/>
            </w:tcBorders>
            <w:gridSpan w:val="4"/>
            <w:shd w:val="clear" w:color="auto" w:fill="0000FF"/>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r>
      <w:tr>
        <w:trPr>
          <w:trHeight w:val="223"/>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32.1</w:t>
            </w:r>
          </w:p>
        </w:tc>
        <w:tc>
          <w:tcPr>
            <w:tcW w:w="240" w:type="dxa"/>
            <w:vAlign w:val="bottom"/>
          </w:tcPr>
          <w:p>
            <w:pPr>
              <w:spacing w:after="0"/>
              <w:rPr>
                <w:sz w:val="19"/>
                <w:szCs w:val="19"/>
                <w:color w:val="auto"/>
              </w:rPr>
            </w:pPr>
          </w:p>
        </w:tc>
        <w:tc>
          <w:tcPr>
            <w:tcW w:w="97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906 of the Sarbanes-Oxley Act of 2002</w:t>
            </w:r>
            <w:r>
              <w:rPr>
                <w:rFonts w:ascii="Times New Roman" w:cs="Times New Roman" w:eastAsia="Times New Roman" w:hAnsi="Times New Roman"/>
                <w:sz w:val="18"/>
                <w:szCs w:val="18"/>
                <w:color w:val="000000"/>
              </w:rPr>
              <w:t>**</w:t>
            </w:r>
          </w:p>
        </w:tc>
      </w:tr>
      <w:tr>
        <w:trPr>
          <w:trHeight w:val="20"/>
        </w:trPr>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160" w:type="dxa"/>
            <w:vAlign w:val="bottom"/>
            <w:tcBorders>
              <w:right w:val="single" w:sz="8" w:color="0000FF"/>
            </w:tcBorders>
            <w:gridSpan w:val="4"/>
            <w:shd w:val="clear" w:color="auto" w:fill="0000FF"/>
          </w:tcPr>
          <w:p>
            <w:pPr>
              <w:spacing w:after="0" w:line="20" w:lineRule="exact"/>
              <w:rPr>
                <w:sz w:val="1"/>
                <w:szCs w:val="1"/>
                <w:color w:val="auto"/>
              </w:rPr>
            </w:pPr>
          </w:p>
        </w:tc>
        <w:tc>
          <w:tcPr>
            <w:tcW w:w="2620" w:type="dxa"/>
            <w:vAlign w:val="bottom"/>
            <w:tcBorders>
              <w:left w:val="single" w:sz="8" w:color="0000EE"/>
            </w:tcBorders>
            <w:gridSpan w:val="3"/>
          </w:tcPr>
          <w:p>
            <w:pPr>
              <w:spacing w:after="0" w:line="20" w:lineRule="exact"/>
              <w:rPr>
                <w:sz w:val="1"/>
                <w:szCs w:val="1"/>
                <w:color w:val="auto"/>
              </w:rPr>
            </w:pPr>
          </w:p>
        </w:tc>
      </w:tr>
      <w:tr>
        <w:trPr>
          <w:trHeight w:val="223"/>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32.2</w:t>
            </w:r>
          </w:p>
        </w:tc>
        <w:tc>
          <w:tcPr>
            <w:tcW w:w="240" w:type="dxa"/>
            <w:vAlign w:val="bottom"/>
          </w:tcPr>
          <w:p>
            <w:pPr>
              <w:spacing w:after="0"/>
              <w:rPr>
                <w:sz w:val="19"/>
                <w:szCs w:val="19"/>
                <w:color w:val="auto"/>
              </w:rPr>
            </w:pPr>
          </w:p>
        </w:tc>
        <w:tc>
          <w:tcPr>
            <w:tcW w:w="97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Section 906 of the Sarbanes-Oxley Act of 2002</w:t>
            </w:r>
            <w:r>
              <w:rPr>
                <w:rFonts w:ascii="Times New Roman" w:cs="Times New Roman" w:eastAsia="Times New Roman" w:hAnsi="Times New Roman"/>
                <w:sz w:val="18"/>
                <w:szCs w:val="18"/>
                <w:color w:val="000000"/>
              </w:rPr>
              <w:t>**</w:t>
            </w:r>
          </w:p>
        </w:tc>
      </w:tr>
      <w:tr>
        <w:trPr>
          <w:trHeight w:val="20"/>
        </w:trPr>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160" w:type="dxa"/>
            <w:vAlign w:val="bottom"/>
            <w:tcBorders>
              <w:right w:val="single" w:sz="8" w:color="0000EE"/>
            </w:tcBorders>
            <w:gridSpan w:val="4"/>
            <w:shd w:val="clear" w:color="auto" w:fill="0000FF"/>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r>
      <w:tr>
        <w:trPr>
          <w:trHeight w:val="245"/>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101.INS</w:t>
            </w:r>
          </w:p>
        </w:tc>
        <w:tc>
          <w:tcPr>
            <w:tcW w:w="240" w:type="dxa"/>
            <w:vAlign w:val="bottom"/>
          </w:tcPr>
          <w:p>
            <w:pPr>
              <w:spacing w:after="0"/>
              <w:rPr>
                <w:sz w:val="21"/>
                <w:szCs w:val="21"/>
                <w:color w:val="auto"/>
              </w:rPr>
            </w:pPr>
          </w:p>
        </w:tc>
        <w:tc>
          <w:tcPr>
            <w:tcW w:w="97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r>
      <w:tr>
        <w:trPr>
          <w:trHeight w:val="234"/>
        </w:trPr>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43"/>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101.SCH</w:t>
            </w:r>
          </w:p>
        </w:tc>
        <w:tc>
          <w:tcPr>
            <w:tcW w:w="240" w:type="dxa"/>
            <w:vAlign w:val="bottom"/>
          </w:tcPr>
          <w:p>
            <w:pPr>
              <w:spacing w:after="0"/>
              <w:rPr>
                <w:sz w:val="21"/>
                <w:szCs w:val="21"/>
                <w:color w:val="auto"/>
              </w:rPr>
            </w:pPr>
          </w:p>
        </w:tc>
        <w:tc>
          <w:tcPr>
            <w:tcW w:w="97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bl>
    <w:p>
      <w:pPr>
        <w:spacing w:after="0" w:line="9" w:lineRule="exact"/>
        <w:rPr>
          <w:sz w:val="20"/>
          <w:szCs w:val="20"/>
          <w:color w:val="auto"/>
        </w:rPr>
      </w:pPr>
    </w:p>
    <w:p>
      <w:pPr>
        <w:ind w:left="1440" w:right="120" w:hanging="966"/>
        <w:spacing w:after="0" w:line="282" w:lineRule="auto"/>
        <w:tabs>
          <w:tab w:leader="none" w:pos="14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Quarterly Report on Form 10-Q for the quarter ended September 30, 2024, has been formatted in Inline XBRL.</w:t>
      </w:r>
    </w:p>
    <w:p>
      <w:pPr>
        <w:spacing w:after="0" w:line="269"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Filed herewith</w:t>
      </w:r>
    </w:p>
    <w:p>
      <w:pPr>
        <w:spacing w:after="0" w:line="40" w:lineRule="exact"/>
        <w:rPr>
          <w:rFonts w:ascii="Times New Roman" w:cs="Times New Roman" w:eastAsia="Times New Roman" w:hAnsi="Times New Roman"/>
          <w:sz w:val="18"/>
          <w:szCs w:val="18"/>
          <w:color w:val="auto"/>
        </w:rPr>
      </w:pPr>
    </w:p>
    <w:p>
      <w:pPr>
        <w:ind w:left="1680" w:hanging="1339"/>
        <w:spacing w:after="0"/>
        <w:tabs>
          <w:tab w:leader="none" w:pos="1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-327660</wp:posOffset>
            </wp:positionV>
            <wp:extent cx="2374265" cy="825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90">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12" w:lineRule="exact"/>
        <w:rPr>
          <w:sz w:val="20"/>
          <w:szCs w:val="20"/>
          <w:color w:val="auto"/>
        </w:rPr>
      </w:pPr>
    </w:p>
    <w:p>
      <w:pPr>
        <w:ind w:left="300"/>
        <w:spacing w:after="0"/>
        <w:tabs>
          <w:tab w:leader="none" w:pos="16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Indicates a management contract or compensation plan</w:t>
      </w:r>
    </w:p>
    <w:p>
      <w:pPr>
        <w:spacing w:after="0" w:line="200" w:lineRule="exact"/>
        <w:rPr>
          <w:sz w:val="20"/>
          <w:szCs w:val="20"/>
          <w:color w:val="auto"/>
        </w:rPr>
      </w:pPr>
    </w:p>
    <w:p>
      <w:pPr>
        <w:spacing w:after="0" w:line="387" w:lineRule="exact"/>
        <w:rPr>
          <w:sz w:val="20"/>
          <w:szCs w:val="20"/>
          <w:color w:val="auto"/>
        </w:rPr>
      </w:pPr>
    </w:p>
    <w:p>
      <w:pPr>
        <w:ind w:left="1020" w:hanging="503"/>
        <w:spacing w:after="0"/>
        <w:tabs>
          <w:tab w:leader="none" w:pos="1020" w:val="left"/>
        </w:tabs>
        <w:numPr>
          <w:ilvl w:val="0"/>
          <w:numId w:val="26"/>
        </w:numPr>
        <w:rPr>
          <w:rFonts w:ascii="Calibri" w:cs="Calibri" w:eastAsia="Calibri" w:hAnsi="Calibri"/>
          <w:sz w:val="20"/>
          <w:szCs w:val="20"/>
          <w:color w:val="auto"/>
        </w:rPr>
      </w:pPr>
      <w:r>
        <w:rPr>
          <w:rFonts w:ascii="Calibri" w:cs="Calibri" w:eastAsia="Calibri" w:hAnsi="Calibri"/>
          <w:sz w:val="20"/>
          <w:szCs w:val="20"/>
          <w:color w:val="auto"/>
        </w:rPr>
        <w:t>Incorporated herein by reference to Exhibit 10.1 to our Form 8-K fled with the SEC on July 1, 2024.</w:t>
      </w:r>
    </w:p>
    <w:p>
      <w:pPr>
        <w:spacing w:after="0" w:line="106" w:lineRule="exact"/>
        <w:rPr>
          <w:rFonts w:ascii="Calibri" w:cs="Calibri" w:eastAsia="Calibri" w:hAnsi="Calibri"/>
          <w:sz w:val="20"/>
          <w:szCs w:val="20"/>
          <w:color w:val="auto"/>
        </w:rPr>
      </w:pPr>
    </w:p>
    <w:p>
      <w:pPr>
        <w:ind w:left="1020" w:hanging="503"/>
        <w:spacing w:after="0"/>
        <w:tabs>
          <w:tab w:leader="none" w:pos="1020" w:val="left"/>
        </w:tabs>
        <w:numPr>
          <w:ilvl w:val="0"/>
          <w:numId w:val="26"/>
        </w:numPr>
        <w:rPr>
          <w:rFonts w:ascii="Calibri" w:cs="Calibri" w:eastAsia="Calibri" w:hAnsi="Calibri"/>
          <w:sz w:val="20"/>
          <w:szCs w:val="20"/>
          <w:color w:val="auto"/>
        </w:rPr>
      </w:pPr>
      <w:r>
        <w:rPr>
          <w:rFonts w:ascii="Calibri" w:cs="Calibri" w:eastAsia="Calibri" w:hAnsi="Calibri"/>
          <w:sz w:val="20"/>
          <w:szCs w:val="20"/>
          <w:color w:val="auto"/>
        </w:rPr>
        <w:t>Incorporated herein by reference to Exhibit 10.1 to our Form 8-K fled with the SEC on July 3, 2024.</w:t>
      </w:r>
    </w:p>
    <w:p>
      <w:pPr>
        <w:spacing w:after="0" w:line="14" w:lineRule="exact"/>
        <w:rPr>
          <w:rFonts w:ascii="Calibri" w:cs="Calibri" w:eastAsia="Calibri" w:hAnsi="Calibri"/>
          <w:sz w:val="20"/>
          <w:szCs w:val="20"/>
          <w:color w:val="auto"/>
        </w:rPr>
      </w:pPr>
    </w:p>
    <w:p>
      <w:pPr>
        <w:ind w:left="5540"/>
        <w:spacing w:after="0"/>
        <w:rPr>
          <w:rFonts w:ascii="Calibri" w:cs="Calibri" w:eastAsia="Calibri" w:hAnsi="Calibri"/>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firstLine="46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8"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u w:val="single" w:color="auto"/>
          <w:color w:val="auto"/>
        </w:rPr>
        <w:t>CVB FINANCIAL CORP.</w:t>
      </w:r>
    </w:p>
    <w:p>
      <w:pPr>
        <w:spacing w:after="0" w:line="2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(Registrant)</w:t>
      </w:r>
    </w:p>
    <w:p>
      <w:pPr>
        <w:spacing w:after="0" w:line="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7, 2024</w:t>
      </w:r>
    </w:p>
    <w:p>
      <w:pPr>
        <w:spacing w:after="0" w:line="20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u w:val="single" w:color="auto"/>
          <w:color w:val="auto"/>
        </w:rPr>
        <w:t>/s/ E. Allen Nicholson</w:t>
      </w:r>
    </w:p>
    <w:p>
      <w:pPr>
        <w:spacing w:after="0" w:line="2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E. Allen Nicholson</w:t>
      </w:r>
    </w:p>
    <w:p>
      <w:pPr>
        <w:spacing w:after="0" w:line="9"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9"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20" w:top="1089" w:right="7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A. Brager, certify that:</w:t>
      </w:r>
    </w:p>
    <w:p>
      <w:pPr>
        <w:spacing w:after="0" w:line="225" w:lineRule="exact"/>
        <w:rPr>
          <w:sz w:val="20"/>
          <w:szCs w:val="20"/>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CVB Financial Corp.;</w:t>
      </w:r>
    </w:p>
    <w:p>
      <w:pPr>
        <w:spacing w:after="0" w:line="225" w:lineRule="exact"/>
        <w:rPr>
          <w:rFonts w:ascii="Times New Roman" w:cs="Times New Roman" w:eastAsia="Times New Roman" w:hAnsi="Times New Roman"/>
          <w:sz w:val="18"/>
          <w:szCs w:val="18"/>
          <w:color w:val="auto"/>
        </w:rPr>
      </w:pPr>
    </w:p>
    <w:p>
      <w:pPr>
        <w:jc w:val="both"/>
        <w:ind w:left="760" w:right="20" w:hanging="378"/>
        <w:spacing w:after="0" w:line="266"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60" w:right="240" w:hanging="378"/>
        <w:spacing w:after="0" w:line="282"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760" w:right="20" w:hanging="378"/>
        <w:spacing w:after="0" w:line="266"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500" w:right="140" w:hanging="369"/>
        <w:spacing w:after="0" w:line="266" w:lineRule="auto"/>
        <w:tabs>
          <w:tab w:leader="none" w:pos="15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500" w:right="200" w:hanging="369"/>
        <w:spacing w:after="0" w:line="266" w:lineRule="auto"/>
        <w:tabs>
          <w:tab w:leader="none" w:pos="15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500" w:hanging="369"/>
        <w:spacing w:after="0" w:line="282" w:lineRule="auto"/>
        <w:tabs>
          <w:tab w:leader="none" w:pos="15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500" w:right="40" w:hanging="369"/>
        <w:spacing w:after="0" w:line="266" w:lineRule="auto"/>
        <w:tabs>
          <w:tab w:leader="none" w:pos="15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500" w:right="260" w:hanging="369"/>
        <w:spacing w:after="0" w:line="282" w:lineRule="auto"/>
        <w:tabs>
          <w:tab w:leader="none" w:pos="15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500" w:right="560" w:hanging="369"/>
        <w:spacing w:after="0" w:line="282" w:lineRule="auto"/>
        <w:tabs>
          <w:tab w:leader="none" w:pos="15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3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November 7, 2024</w:t>
            </w:r>
          </w:p>
        </w:tc>
        <w:tc>
          <w:tcPr>
            <w:tcW w:w="264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1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/s/ David A. Brager</w:t>
            </w:r>
          </w:p>
        </w:tc>
        <w:tc>
          <w:tcPr>
            <w:tcW w:w="3040" w:type="dxa"/>
            <w:vAlign w:val="bottom"/>
          </w:tcPr>
          <w:p>
            <w:pPr>
              <w:spacing w:after="0"/>
              <w:rPr>
                <w:sz w:val="18"/>
                <w:szCs w:val="18"/>
                <w:color w:val="auto"/>
              </w:rPr>
            </w:pPr>
          </w:p>
        </w:tc>
      </w:tr>
      <w:tr>
        <w:trPr>
          <w:trHeight w:val="232"/>
        </w:trPr>
        <w:tc>
          <w:tcPr>
            <w:tcW w:w="5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A. Brager</w:t>
            </w:r>
          </w:p>
        </w:tc>
      </w:tr>
      <w:tr>
        <w:trPr>
          <w:trHeight w:val="234"/>
        </w:trPr>
        <w:tc>
          <w:tcPr>
            <w:tcW w:w="5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1208"/>
        </w:trPr>
        <w:tc>
          <w:tcPr>
            <w:tcW w:w="54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 Allen Nicholson, certify that:</w:t>
      </w:r>
    </w:p>
    <w:p>
      <w:pPr>
        <w:spacing w:after="0" w:line="225" w:lineRule="exact"/>
        <w:rPr>
          <w:sz w:val="20"/>
          <w:szCs w:val="20"/>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CVB Financial Corp.;</w:t>
      </w:r>
    </w:p>
    <w:p>
      <w:pPr>
        <w:spacing w:after="0" w:line="225" w:lineRule="exact"/>
        <w:rPr>
          <w:rFonts w:ascii="Times New Roman" w:cs="Times New Roman" w:eastAsia="Times New Roman" w:hAnsi="Times New Roman"/>
          <w:sz w:val="18"/>
          <w:szCs w:val="18"/>
          <w:color w:val="auto"/>
        </w:rPr>
      </w:pPr>
    </w:p>
    <w:p>
      <w:pPr>
        <w:jc w:val="both"/>
        <w:ind w:left="760" w:right="20" w:hanging="378"/>
        <w:spacing w:after="0" w:line="266"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60" w:right="240" w:hanging="378"/>
        <w:spacing w:after="0" w:line="282"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760" w:right="20" w:hanging="378"/>
        <w:spacing w:after="0" w:line="266"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500" w:right="140" w:hanging="369"/>
        <w:spacing w:after="0" w:line="266" w:lineRule="auto"/>
        <w:tabs>
          <w:tab w:leader="none" w:pos="15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500" w:right="200" w:hanging="369"/>
        <w:spacing w:after="0" w:line="266" w:lineRule="auto"/>
        <w:tabs>
          <w:tab w:leader="none" w:pos="15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500" w:hanging="369"/>
        <w:spacing w:after="0" w:line="282" w:lineRule="auto"/>
        <w:tabs>
          <w:tab w:leader="none" w:pos="15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500" w:right="40" w:hanging="369"/>
        <w:spacing w:after="0" w:line="266" w:lineRule="auto"/>
        <w:tabs>
          <w:tab w:leader="none" w:pos="15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500" w:right="260" w:hanging="369"/>
        <w:spacing w:after="0" w:line="282" w:lineRule="auto"/>
        <w:tabs>
          <w:tab w:leader="none" w:pos="15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500" w:right="560" w:hanging="369"/>
        <w:spacing w:after="0" w:line="282" w:lineRule="auto"/>
        <w:tabs>
          <w:tab w:leader="none" w:pos="15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November 7, 2024</w:t>
            </w:r>
          </w:p>
        </w:tc>
        <w:tc>
          <w:tcPr>
            <w:tcW w:w="7100" w:type="dxa"/>
            <w:vAlign w:val="bottom"/>
            <w:gridSpan w:val="3"/>
          </w:tcPr>
          <w:p>
            <w:pPr>
              <w:ind w:left="2100"/>
              <w:spacing w:after="0"/>
              <w:rPr>
                <w:sz w:val="20"/>
                <w:szCs w:val="20"/>
                <w:color w:val="auto"/>
              </w:rPr>
            </w:pPr>
            <w:r>
              <w:rPr>
                <w:rFonts w:ascii="Times New Roman" w:cs="Times New Roman" w:eastAsia="Times New Roman" w:hAnsi="Times New Roman"/>
                <w:sz w:val="18"/>
                <w:szCs w:val="18"/>
                <w:color w:val="auto"/>
              </w:rPr>
              <w:t>By:   /s/ E. Allen Nicholson</w:t>
            </w:r>
          </w:p>
        </w:tc>
      </w:tr>
      <w:tr>
        <w:trPr>
          <w:trHeight w:val="232"/>
        </w:trPr>
        <w:tc>
          <w:tcPr>
            <w:tcW w:w="41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6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E. Allen Nicholson</w:t>
            </w:r>
          </w:p>
        </w:tc>
        <w:tc>
          <w:tcPr>
            <w:tcW w:w="2860" w:type="dxa"/>
            <w:vAlign w:val="bottom"/>
          </w:tcPr>
          <w:p>
            <w:pPr>
              <w:spacing w:after="0"/>
              <w:rPr>
                <w:sz w:val="20"/>
                <w:szCs w:val="20"/>
                <w:color w:val="auto"/>
              </w:rPr>
            </w:pPr>
          </w:p>
        </w:tc>
      </w:tr>
      <w:tr>
        <w:trPr>
          <w:trHeight w:val="234"/>
        </w:trPr>
        <w:tc>
          <w:tcPr>
            <w:tcW w:w="41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208"/>
        </w:trPr>
        <w:tc>
          <w:tcPr>
            <w:tcW w:w="414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ind w:right="240" w:firstLine="37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CVB Financial Corp. (the “Company”) on Form 10-Q for the period ended September 30, 2024, as filed with the Securities and Exchange Commission on the date hereof (the “Report”), I, David A. Brager, Chief Executive Officer of the Company, certify, pursuant to 18 U.S.C. § 1350, as adopted pursuant to § 906 of the Sarbanes-Oxley Act of 2002, to the best of my knowledge that:</w:t>
      </w:r>
    </w:p>
    <w:p>
      <w:pPr>
        <w:spacing w:after="0" w:line="176" w:lineRule="exact"/>
        <w:rPr>
          <w:sz w:val="20"/>
          <w:szCs w:val="20"/>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3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November 7, 2024</w:t>
            </w:r>
          </w:p>
        </w:tc>
        <w:tc>
          <w:tcPr>
            <w:tcW w:w="264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1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/s/ David A. Brager</w:t>
            </w:r>
          </w:p>
        </w:tc>
        <w:tc>
          <w:tcPr>
            <w:tcW w:w="3040" w:type="dxa"/>
            <w:vAlign w:val="bottom"/>
          </w:tcPr>
          <w:p>
            <w:pPr>
              <w:spacing w:after="0"/>
              <w:rPr>
                <w:sz w:val="17"/>
                <w:szCs w:val="17"/>
                <w:color w:val="auto"/>
              </w:rPr>
            </w:pPr>
          </w:p>
        </w:tc>
      </w:tr>
      <w:tr>
        <w:trPr>
          <w:trHeight w:val="232"/>
        </w:trPr>
        <w:tc>
          <w:tcPr>
            <w:tcW w:w="5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A. Brager</w:t>
            </w:r>
          </w:p>
        </w:tc>
      </w:tr>
      <w:tr>
        <w:trPr>
          <w:trHeight w:val="234"/>
        </w:trPr>
        <w:tc>
          <w:tcPr>
            <w:tcW w:w="5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1208"/>
        </w:trPr>
        <w:tc>
          <w:tcPr>
            <w:tcW w:w="54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ind w:right="240" w:firstLine="37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CVB Financial Corp. (the “Company”) on Form 10-Q for the period ended September 30, 2024, as filed with the Securities and Exchange Commission on the date hereof (the “Report”), I, E. Allen Nicholson, Chief Financial Officer of the Company, certify, pursuant to 18 U.S.C. § 1350, as adopted pursuant to § 906 of the Sarbanes-Oxley Act of 2002, to the best of my knowledge that:</w:t>
      </w:r>
    </w:p>
    <w:p>
      <w:pPr>
        <w:spacing w:after="0" w:line="176" w:lineRule="exact"/>
        <w:rPr>
          <w:sz w:val="20"/>
          <w:szCs w:val="20"/>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November 7, 2024</w:t>
            </w:r>
          </w:p>
        </w:tc>
        <w:tc>
          <w:tcPr>
            <w:tcW w:w="7100" w:type="dxa"/>
            <w:vAlign w:val="bottom"/>
            <w:gridSpan w:val="3"/>
          </w:tcPr>
          <w:p>
            <w:pPr>
              <w:ind w:left="2100"/>
              <w:spacing w:after="0"/>
              <w:rPr>
                <w:sz w:val="20"/>
                <w:szCs w:val="20"/>
                <w:color w:val="auto"/>
              </w:rPr>
            </w:pPr>
            <w:r>
              <w:rPr>
                <w:rFonts w:ascii="Times New Roman" w:cs="Times New Roman" w:eastAsia="Times New Roman" w:hAnsi="Times New Roman"/>
                <w:sz w:val="18"/>
                <w:szCs w:val="18"/>
                <w:color w:val="auto"/>
              </w:rPr>
              <w:t>By:   /s/ E. Allen Nicholson</w:t>
            </w:r>
          </w:p>
        </w:tc>
      </w:tr>
      <w:tr>
        <w:trPr>
          <w:trHeight w:val="232"/>
        </w:trPr>
        <w:tc>
          <w:tcPr>
            <w:tcW w:w="41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6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E. Allen Nicholson</w:t>
            </w:r>
          </w:p>
        </w:tc>
        <w:tc>
          <w:tcPr>
            <w:tcW w:w="2860" w:type="dxa"/>
            <w:vAlign w:val="bottom"/>
          </w:tcPr>
          <w:p>
            <w:pPr>
              <w:spacing w:after="0"/>
              <w:rPr>
                <w:sz w:val="20"/>
                <w:szCs w:val="20"/>
                <w:color w:val="auto"/>
              </w:rPr>
            </w:pPr>
          </w:p>
        </w:tc>
      </w:tr>
      <w:tr>
        <w:trPr>
          <w:trHeight w:val="234"/>
        </w:trPr>
        <w:tc>
          <w:tcPr>
            <w:tcW w:w="41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208"/>
        </w:trPr>
        <w:tc>
          <w:tcPr>
            <w:tcW w:w="414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9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80" w:name="page81"/>
    <w:bookmarkEnd w:id="8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decimal"/>
      <w:start w:val="1"/>
    </w:lvl>
  </w:abstractNum>
  <w:abstractNum w:abstractNumId="3">
    <w:nsid w:val="25E45D32"/>
    <w:multiLevelType w:val="hybridMultilevel"/>
    <w:lvl w:ilvl="0">
      <w:lvlJc w:val="left"/>
      <w:lvlText w:val="%1."/>
      <w:numFmt w:val="decimal"/>
      <w:start w:val="5"/>
    </w:lvl>
  </w:abstractNum>
  <w:abstractNum w:abstractNumId="4">
    <w:nsid w:val="519B500D"/>
    <w:multiLevelType w:val="hybridMultilevel"/>
    <w:lvl w:ilvl="0">
      <w:lvlJc w:val="left"/>
      <w:lvlText w:val="(%1)"/>
      <w:numFmt w:val="decimal"/>
      <w:start w:val="1"/>
    </w:lvl>
  </w:abstractNum>
  <w:abstractNum w:abstractNumId="5">
    <w:nsid w:val="431BD7B7"/>
    <w:multiLevelType w:val="hybridMultilevel"/>
    <w:lvl w:ilvl="0">
      <w:lvlJc w:val="left"/>
      <w:lvlText w:val="(%1)"/>
      <w:numFmt w:val="decimal"/>
      <w:start w:val="1"/>
    </w:lvl>
  </w:abstractNum>
  <w:abstractNum w:abstractNumId="6">
    <w:nsid w:val="3F2DBA31"/>
    <w:multiLevelType w:val="hybridMultilevel"/>
    <w:lvl w:ilvl="0">
      <w:lvlJc w:val="left"/>
      <w:lvlText w:val="(%1)"/>
      <w:numFmt w:val="decimal"/>
      <w:start w:val="1"/>
    </w:lvl>
  </w:abstractNum>
  <w:abstractNum w:abstractNumId="7">
    <w:nsid w:val="7C83E458"/>
    <w:multiLevelType w:val="hybridMultilevel"/>
    <w:lvl w:ilvl="0">
      <w:lvlJc w:val="left"/>
      <w:lvlText w:val="(%1)"/>
      <w:numFmt w:val="decimal"/>
      <w:start w:val="1"/>
    </w:lvl>
  </w:abstractNum>
  <w:abstractNum w:abstractNumId="8">
    <w:nsid w:val="257130A3"/>
    <w:multiLevelType w:val="hybridMultilevel"/>
    <w:lvl w:ilvl="0">
      <w:lvlJc w:val="left"/>
      <w:lvlText w:val="%1."/>
      <w:numFmt w:val="decimal"/>
      <w:start w:val="8"/>
    </w:lvl>
  </w:abstractNum>
  <w:abstractNum w:abstractNumId="9">
    <w:nsid w:val="62BBD95A"/>
    <w:multiLevelType w:val="hybridMultilevel"/>
    <w:lvl w:ilvl="0">
      <w:lvlJc w:val="left"/>
      <w:lvlText w:val="(%1)"/>
      <w:numFmt w:val="decimal"/>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1)"/>
      <w:numFmt w:val="decimal"/>
      <w:start w:val="1"/>
    </w:lvl>
  </w:abstractNum>
  <w:abstractNum w:abstractNumId="12">
    <w:nsid w:val="333AB105"/>
    <w:multiLevelType w:val="hybridMultilevel"/>
    <w:lvl w:ilvl="0">
      <w:lvlJc w:val="left"/>
      <w:lvlText w:val="(%1)"/>
      <w:numFmt w:val="decimal"/>
      <w:start w:val="1"/>
    </w:lvl>
  </w:abstractNum>
  <w:abstractNum w:abstractNumId="13">
    <w:nsid w:val="721DA317"/>
    <w:multiLevelType w:val="hybridMultilevel"/>
    <w:lvl w:ilvl="0">
      <w:lvlJc w:val="left"/>
      <w:lvlText w:val="(%1)"/>
      <w:numFmt w:val="decimal"/>
      <w:start w:val="1"/>
    </w:lvl>
  </w:abstractNum>
  <w:abstractNum w:abstractNumId="14">
    <w:nsid w:val="2443A858"/>
    <w:multiLevelType w:val="hybridMultilevel"/>
    <w:lvl w:ilvl="0">
      <w:lvlJc w:val="left"/>
      <w:lvlText w:val="(%1)"/>
      <w:numFmt w:val="decimal"/>
      <w:start w:val="1"/>
    </w:lvl>
  </w:abstractNum>
  <w:abstractNum w:abstractNumId="15">
    <w:nsid w:val="2D1D5AE9"/>
    <w:multiLevelType w:val="hybridMultilevel"/>
    <w:lvl w:ilvl="0">
      <w:lvlJc w:val="left"/>
      <w:lvlText w:val="(%1)"/>
      <w:numFmt w:val="decimal"/>
      <w:start w:val="1"/>
    </w:lvl>
  </w:abstractNum>
  <w:abstractNum w:abstractNumId="16">
    <w:nsid w:val="6763845E"/>
    <w:multiLevelType w:val="hybridMultilevel"/>
    <w:lvl w:ilvl="0">
      <w:lvlJc w:val="left"/>
      <w:lvlText w:val="(%1)"/>
      <w:numFmt w:val="decimal"/>
      <w:start w:val="1"/>
    </w:lvl>
  </w:abstractNum>
  <w:abstractNum w:abstractNumId="17">
    <w:nsid w:val="75A2A8D4"/>
    <w:multiLevelType w:val="hybridMultilevel"/>
    <w:lvl w:ilvl="0">
      <w:lvlJc w:val="left"/>
      <w:lvlText w:val="(%1)"/>
      <w:numFmt w:val="decimal"/>
      <w:start w:val="1"/>
    </w:lvl>
  </w:abstractNum>
  <w:abstractNum w:abstractNumId="18">
    <w:nsid w:val="8EDBDAB"/>
    <w:multiLevelType w:val="hybridMultilevel"/>
    <w:lvl w:ilvl="0">
      <w:lvlJc w:val="left"/>
      <w:lvlText w:val="(%1)"/>
      <w:numFmt w:val="decimal"/>
      <w:start w:val="1"/>
    </w:lvl>
  </w:abstractNum>
  <w:abstractNum w:abstractNumId="19">
    <w:nsid w:val="79838CB2"/>
    <w:multiLevelType w:val="hybridMultilevel"/>
    <w:lvl w:ilvl="0">
      <w:lvlJc w:val="left"/>
      <w:lvlText w:val="(%1)"/>
      <w:numFmt w:val="decimal"/>
      <w:start w:val="1"/>
    </w:lvl>
  </w:abstractNum>
  <w:abstractNum w:abstractNumId="20">
    <w:nsid w:val="4353D0CD"/>
    <w:multiLevelType w:val="hybridMultilevel"/>
    <w:lvl w:ilvl="0">
      <w:lvlJc w:val="left"/>
      <w:lvlText w:val="(%1)"/>
      <w:numFmt w:val="decimal"/>
      <w:start w:val="1"/>
    </w:lvl>
  </w:abstractNum>
  <w:abstractNum w:abstractNumId="21">
    <w:nsid w:val="B03E0C6"/>
    <w:multiLevelType w:val="hybridMultilevel"/>
    <w:lvl w:ilvl="0">
      <w:lvlJc w:val="left"/>
      <w:lvlText w:val="(%1)"/>
      <w:numFmt w:val="decimal"/>
      <w:start w:val="1"/>
    </w:lvl>
  </w:abstractNum>
  <w:abstractNum w:abstractNumId="22">
    <w:nsid w:val="189A769B"/>
    <w:multiLevelType w:val="hybridMultilevel"/>
    <w:lvl w:ilvl="0">
      <w:lvlJc w:val="left"/>
      <w:lvlText w:val="(%1)"/>
      <w:numFmt w:val="decimal"/>
      <w:start w:val="1"/>
    </w:lvl>
  </w:abstractNum>
  <w:abstractNum w:abstractNumId="23">
    <w:nsid w:val="54E49EB4"/>
    <w:multiLevelType w:val="hybridMultilevel"/>
    <w:lvl w:ilvl="0">
      <w:lvlJc w:val="left"/>
      <w:lvlText w:val="*"/>
      <w:numFmt w:val="bullet"/>
      <w:start w:val="1"/>
    </w:lvl>
    <w:lvl w:ilvl="1">
      <w:lvlJc w:val="left"/>
      <w:lvlText w:val="%2"/>
      <w:numFmt w:val="decimal"/>
      <w:start w:val="104"/>
    </w:lvl>
  </w:abstractNum>
  <w:abstractNum w:abstractNumId="24">
    <w:nsid w:val="71F32454"/>
    <w:multiLevelType w:val="hybridMultilevel"/>
    <w:lvl w:ilvl="0">
      <w:lvlJc w:val="left"/>
      <w:lvlText w:val="**"/>
      <w:numFmt w:val="bullet"/>
      <w:start w:val="1"/>
    </w:lvl>
    <w:lvl w:ilvl="1">
      <w:lvlJc w:val="left"/>
      <w:lvlText w:val="%2"/>
      <w:numFmt w:val="decimal"/>
      <w:start w:val="1"/>
    </w:lvl>
  </w:abstractNum>
  <w:abstractNum w:abstractNumId="25">
    <w:nsid w:val="2CA88611"/>
    <w:multiLevelType w:val="hybridMultilevel"/>
    <w:lvl w:ilvl="0">
      <w:lvlJc w:val="left"/>
      <w:lvlText w:val="(%1)"/>
      <w:numFmt w:val="decimal"/>
      <w:start w:val="1"/>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90" Type="http://schemas.openxmlformats.org/officeDocument/2006/relationships/image" Target="media/image881.png"/><Relationship Id="rId891" Type="http://schemas.openxmlformats.org/officeDocument/2006/relationships/image" Target="media/image882.png"/><Relationship Id="rId892" Type="http://schemas.openxmlformats.org/officeDocument/2006/relationships/image" Target="media/image883.png"/><Relationship Id="rId893" Type="http://schemas.openxmlformats.org/officeDocument/2006/relationships/image" Target="media/image884.png"/><Relationship Id="rId894" Type="http://schemas.openxmlformats.org/officeDocument/2006/relationships/image" Target="media/image885.png"/><Relationship Id="rId895" Type="http://schemas.openxmlformats.org/officeDocument/2006/relationships/image" Target="media/image886.png"/><Relationship Id="rId896" Type="http://schemas.openxmlformats.org/officeDocument/2006/relationships/image" Target="media/image887.png"/><Relationship Id="rId897" Type="http://schemas.openxmlformats.org/officeDocument/2006/relationships/image" Target="media/image888.png"/><Relationship Id="rId898" Type="http://schemas.openxmlformats.org/officeDocument/2006/relationships/image" Target="media/image889.png"/><Relationship Id="rId899" Type="http://schemas.openxmlformats.org/officeDocument/2006/relationships/image" Target="media/image890.png"/><Relationship Id="rId900" Type="http://schemas.openxmlformats.org/officeDocument/2006/relationships/image" Target="media/image891.png"/><Relationship Id="rId888" Type="http://schemas.openxmlformats.org/officeDocument/2006/relationships/hyperlink" Target="https://www.sec.gov/Archives/edgar/data/354647/000119312524173453/d836579dex101.htm" TargetMode="External"/><Relationship Id="rId889" Type="http://schemas.openxmlformats.org/officeDocument/2006/relationships/hyperlink" Target="https://www.sec.gov/Archives/edgar/data/354647/000119312524174920/d769269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2024-11-07T13:52:58Z</dcterms:created>
  <dcterms:modified xsi:type="dcterms:W3CDTF">2024-11-07T13:52:58Z</dcterms:modified>
</cp:coreProperties>
</file>