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cvbf-20260630.htm"/>
      <w:bookmarkStart w:id="1" w:name="kscvbf20260630"/>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 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color w:val="000000"/>
        </w:rPr>
        <w:t xml:space="preserve">☒ </w:t>
      </w:r>
      <w:r>
        <w:rPr>
          <w:rFonts w:ascii="Times New Roman" w:hAnsi="Times New Roman"/>
          <w:b/>
          <w:color w:val="000000"/>
          <w:sz w:val="18"/>
        </w:rPr>
        <w:t>QUARTERLY REPORT PURSUANT TO SECTION 13 OR 15(d) OF THE SECURITIES EXCHANGE ACT OF 1934</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For the quarterly period ended June 30, 2026</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or</w:t>
      </w:r>
    </w:p>
    <w:p>
      <w:pPr>
        <w:pStyle w:val="TextBody"/>
        <w:bidi w:val="0"/>
        <w:jc w:val="center"/>
        <w:rPr/>
      </w:pPr>
      <w:r>
        <w:rPr/>
        <w:t> </w:t>
      </w:r>
    </w:p>
    <w:p>
      <w:pPr>
        <w:pStyle w:val="TextBody"/>
        <w:bidi w:val="0"/>
        <w:jc w:val="center"/>
        <w:rPr/>
      </w:pPr>
      <w:r>
        <w:rPr>
          <w:color w:val="000000"/>
        </w:rPr>
        <w:t xml:space="preserve">☐ </w:t>
      </w:r>
      <w:r>
        <w:rPr>
          <w:rFonts w:ascii="Times New Roman" w:hAnsi="Times New Roman"/>
          <w:b/>
          <w:color w:val="000000"/>
          <w:sz w:val="18"/>
        </w:rPr>
        <w:t>TRANSITION REPORT PURSUANT TO SECTION 13 OR 15(d) 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color w:val="000000"/>
          <w:sz w:val="18"/>
        </w:rPr>
      </w:pPr>
      <w:r>
        <w:rPr>
          <w:rFonts w:ascii="Times New Roman" w:hAnsi="Times New Roman"/>
          <w:color w:val="000000"/>
          <w:sz w:val="18"/>
        </w:rPr>
        <w:t>For the transition period from _____ to _____</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Commission File Number: 000-10140</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CVB FINANCIAL CORP.</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6723" w:type="dxa"/>
        <w:jc w:val="left"/>
        <w:tblInd w:w="0" w:type="dxa"/>
        <w:tblLayout w:type="fixed"/>
        <w:tblCellMar>
          <w:top w:w="28" w:type="dxa"/>
          <w:left w:w="28" w:type="dxa"/>
          <w:bottom w:w="28" w:type="dxa"/>
          <w:right w:w="28" w:type="dxa"/>
        </w:tblCellMar>
      </w:tblPr>
      <w:tblGrid>
        <w:gridCol w:w="2926"/>
        <w:gridCol w:w="2341"/>
        <w:gridCol w:w="1456"/>
      </w:tblGrid>
      <w:tr>
        <w:trPr/>
        <w:tc>
          <w:tcPr>
            <w:tcW w:w="292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California</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95-3629339</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(State or other jurisdiction of</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Incorporation or organization)</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 xml:space="preserve">(I.R.S. Employer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701 North Haven Ave., Suite 350</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Ontario, California</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91764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(Zip Code)</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(909) 980-4030</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(Registrant's telephone number,</w:t>
            </w:r>
          </w:p>
          <w:p>
            <w:pPr>
              <w:pStyle w:val="TableContents"/>
              <w:bidi w:val="0"/>
              <w:jc w:val="center"/>
              <w:rPr>
                <w:rFonts w:ascii="Times New Roman" w:hAnsi="Times New Roman"/>
                <w:color w:val="000000"/>
                <w:sz w:val="18"/>
              </w:rPr>
            </w:pPr>
            <w:r>
              <w:rPr>
                <w:rFonts w:ascii="Times New Roman" w:hAnsi="Times New Roman"/>
                <w:color w:val="000000"/>
                <w:sz w:val="18"/>
              </w:rPr>
              <w:t>including area code)</w:t>
            </w:r>
          </w:p>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7023" w:type="dxa"/>
        <w:jc w:val="left"/>
        <w:tblInd w:w="0" w:type="dxa"/>
        <w:tblLayout w:type="fixed"/>
        <w:tblCellMar>
          <w:top w:w="28" w:type="dxa"/>
          <w:left w:w="28" w:type="dxa"/>
          <w:bottom w:w="28" w:type="dxa"/>
          <w:right w:w="28" w:type="dxa"/>
        </w:tblCellMar>
      </w:tblPr>
      <w:tblGrid>
        <w:gridCol w:w="2296"/>
        <w:gridCol w:w="1456"/>
        <w:gridCol w:w="3271"/>
      </w:tblGrid>
      <w:tr>
        <w:trPr/>
        <w:tc>
          <w:tcPr>
            <w:tcW w:w="22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229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Symbol(s)</w:t>
            </w:r>
          </w:p>
        </w:tc>
        <w:tc>
          <w:tcPr>
            <w:tcW w:w="32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2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No Par Value</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CVBF</w:t>
            </w:r>
          </w:p>
        </w:tc>
        <w:tc>
          <w:tcPr>
            <w:tcW w:w="32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 LLC</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 w:hAnsi="Times New Roman"/>
          <w:color w:val="000000"/>
          <w:sz w:val="20"/>
        </w:rPr>
        <w:t xml:space="preserve"> Yes ☒ No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hAnsi="Times New Roman"/>
          <w:color w:val="000000"/>
          <w:sz w:val="20"/>
        </w:rPr>
        <w:t>Yes ☒ No ☐</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pStyle w:val="TextBody"/>
        <w:bidi w:val="0"/>
        <w:jc w:val="both"/>
        <w:rPr/>
      </w:pPr>
      <w:r>
        <w:rPr/>
        <w:t> </w:t>
      </w:r>
    </w:p>
    <w:tbl>
      <w:tblPr>
        <w:tblW w:w="5051" w:type="dxa"/>
        <w:jc w:val="left"/>
        <w:tblInd w:w="0" w:type="dxa"/>
        <w:tblLayout w:type="fixed"/>
        <w:tblCellMar>
          <w:top w:w="28" w:type="dxa"/>
          <w:left w:w="28" w:type="dxa"/>
          <w:bottom w:w="28" w:type="dxa"/>
          <w:right w:w="28" w:type="dxa"/>
        </w:tblCellMar>
      </w:tblPr>
      <w:tblGrid>
        <w:gridCol w:w="2056"/>
        <w:gridCol w:w="316"/>
        <w:gridCol w:w="14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is a shell company (as defined in Rule 12b-2 of the Exchange 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 xml:space="preserve">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Number of shares of common stock of the registrant: 175,997,435</w:t>
      </w:r>
      <w:r>
        <w:rPr>
          <w:rFonts w:ascii="Times New Roman" w:hAnsi="Times New Roman"/>
          <w:color w:val="000000"/>
          <w:sz w:val="20"/>
        </w:rPr>
        <w:t xml:space="preserve"> </w:t>
      </w:r>
      <w:r>
        <w:rPr>
          <w:rFonts w:ascii="Times New Roman" w:hAnsi="Times New Roman"/>
          <w:color w:val="000000"/>
          <w:sz w:val="18"/>
        </w:rPr>
        <w:t>outstanding as of August 3, 2026.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6"/>
        <w:gridCol w:w="8262"/>
        <w:gridCol w:w="577"/>
      </w:tblGrid>
      <w:tr>
        <w:trPr/>
        <w:tc>
          <w:tcPr>
            <w:tcW w:w="1366" w:type="dxa"/>
            <w:tcBorders/>
            <w:vAlign w:val="center"/>
          </w:tcPr>
          <w:p>
            <w:pPr>
              <w:pStyle w:val="TableContents"/>
              <w:bidi w:val="0"/>
              <w:spacing w:before="0" w:after="283"/>
              <w:jc w:val="left"/>
              <w:rPr>
                <w:sz w:val="4"/>
                <w:szCs w:val="4"/>
              </w:rPr>
            </w:pPr>
            <w:r>
              <w:rPr>
                <w:sz w:val="4"/>
                <w:szCs w:val="4"/>
              </w:rPr>
            </w:r>
          </w:p>
        </w:tc>
        <w:tc>
          <w:tcPr>
            <w:tcW w:w="826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9628" w:type="dxa"/>
            <w:gridSpan w:val="2"/>
            <w:tcBorders/>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FORWARD-LOOKING STATEMENTS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FINANCIAL INFORMATION (UNAUDITED)</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5</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1.</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CONDENSED CONSOLIDATED FINANCIAL STATEMENTS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statements_comp_income">
              <w:r>
                <w:rPr>
                  <w:rStyle w:val="InternetLink"/>
                  <w:rFonts w:ascii="Times New Roman" w:hAnsi="Times New Roman"/>
                  <w:color w:val="0000FF"/>
                  <w:sz w:val="20"/>
                  <w:u w:val="single"/>
                </w:rPr>
                <w:t>CONDENSED CONSOLIDATED STATEMENTS OF EARNINGS AND COMPREHENSIVE INCOME</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statements_equity">
              <w:r>
                <w:rPr>
                  <w:rStyle w:val="InternetLink"/>
                  <w:rFonts w:ascii="Times New Roman" w:hAnsi="Times New Roman"/>
                  <w:color w:val="0000FF"/>
                  <w:sz w:val="20"/>
                  <w:u w:val="single"/>
                </w:rPr>
                <w:t>CONDENSED CONSOLIDATED STATEMENTS OF STOCKHOLDERS' EQUITY</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CONDENSED CONSOLIDATED STATEMENTS OF CASH FLOWS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notes_financial_statements">
              <w:r>
                <w:rPr>
                  <w:rStyle w:val="InternetLink"/>
                  <w:rFonts w:ascii="Times New Roman" w:hAnsi="Times New Roman"/>
                  <w:color w:val="0000FF"/>
                  <w:sz w:val="20"/>
                  <w:u w:val="single"/>
                </w:rPr>
                <w:t>NOTES TO THE CONDENSED CONSOLIDATED FINANCIAL STATEMENTS</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10</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2.</w:t>
            </w:r>
          </w:p>
        </w:tc>
        <w:tc>
          <w:tcPr>
            <w:tcW w:w="826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i_item2_mda">
              <w:r>
                <w:rPr>
                  <w:rStyle w:val="InternetLink"/>
                  <w:rFonts w:ascii="Times New Roman" w:hAnsi="Times New Roman"/>
                  <w:color w:val="0000FF"/>
                  <w:sz w:val="20"/>
                  <w:u w:val="single"/>
                </w:rPr>
                <w:t>MANAGEMENT’S DISCUSSION AND ANALYSIS OF FINANCIAL CONDITION AND RESULTS OF OPERATIONS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critical_accounting_policies">
              <w:r>
                <w:rPr>
                  <w:rStyle w:val="InternetLink"/>
                  <w:rFonts w:ascii="Times New Roman" w:hAnsi="Times New Roman"/>
                  <w:color w:val="0000FF"/>
                  <w:sz w:val="20"/>
                  <w:u w:val="single"/>
                </w:rPr>
                <w:t>CRITICAL ACCOUNTING POLICIES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overview">
              <w:r>
                <w:rPr>
                  <w:rStyle w:val="InternetLink"/>
                  <w:rFonts w:ascii="Times New Roman" w:hAnsi="Times New Roman"/>
                  <w:color w:val="0000FF"/>
                  <w:sz w:val="20"/>
                  <w:u w:val="single"/>
                </w:rPr>
                <w:t>OVERVIEW</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analysis_results_operations">
              <w:r>
                <w:rPr>
                  <w:rStyle w:val="InternetLink"/>
                  <w:rFonts w:ascii="Times New Roman" w:hAnsi="Times New Roman"/>
                  <w:color w:val="0000FF"/>
                  <w:sz w:val="20"/>
                  <w:u w:val="single"/>
                </w:rPr>
                <w:t>ANALYSIS OF THE RESULTS OF OPERATIONS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analysis_financial_condition">
              <w:r>
                <w:rPr>
                  <w:rStyle w:val="InternetLink"/>
                  <w:rFonts w:ascii="Times New Roman" w:hAnsi="Times New Roman"/>
                  <w:color w:val="0000FF"/>
                  <w:sz w:val="20"/>
                  <w:u w:val="single"/>
                </w:rPr>
                <w:t>ANALYSIS OF FINANCIAL CONDITION</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liability_risk_management">
              <w:r>
                <w:rPr>
                  <w:rStyle w:val="InternetLink"/>
                  <w:rFonts w:ascii="Times New Roman" w:hAnsi="Times New Roman"/>
                  <w:color w:val="0000FF"/>
                  <w:sz w:val="20"/>
                  <w:u w:val="single"/>
                </w:rPr>
                <w:t>ASSET/LIABILITY AND MARKET RISK MANAGEMENT</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73</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3.</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76</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4.</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partii_other_information">
              <w:r>
                <w:rPr>
                  <w:rStyle w:val="InternetLink"/>
                  <w:rFonts w:ascii="Times New Roman" w:hAnsi="Times New Roman"/>
                  <w:color w:val="0000FF"/>
                  <w:sz w:val="20"/>
                  <w:u w:val="single"/>
                </w:rPr>
                <w:t>OTHER INFORMATION</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77</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1.</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77</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1A.</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77</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2.</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78</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3.</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78</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4.</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78</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5.</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577"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78</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000000"/>
                <w:sz w:val="20"/>
              </w:rPr>
            </w:pPr>
            <w:r>
              <w:rPr>
                <w:rFonts w:ascii="Times New Roman" w:hAnsi="Times New Roman"/>
                <w:b/>
                <w:color w:val="000000"/>
                <w:sz w:val="20"/>
              </w:rPr>
              <w:t>ITEM 6.</w:t>
            </w:r>
          </w:p>
        </w:tc>
        <w:tc>
          <w:tcPr>
            <w:tcW w:w="8262" w:type="dxa"/>
            <w:tcBorders/>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8262" w:type="dxa"/>
            <w:tcBorders/>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bookmarkStart w:id="2" w:name="forward_looking_statements"/>
      <w:bookmarkEnd w:id="2"/>
      <w:r>
        <w:rPr>
          <w:rFonts w:ascii="Times New Roman" w:hAnsi="Times New Roman"/>
          <w:b/>
          <w:color w:val="000000"/>
          <w:sz w:val="20"/>
        </w:rPr>
        <w:t>Forward-Looking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statements set forth herein constitute forward-looking statements within the meaning of Section 27A of the Securities Act of 1933, as amended, and Section 21E of the Securities Exchange Act of 1934, as amended, which are intended to be covered by the safe harbor for "forward-looking statements" provided by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goals and statements about the Company’s outlook regarding revenue and asset growth, financial performance and profitability, capital and liquidity levels, loan and deposit levels, growth and retention, yields and returns, loan diversification and credit management, stockholder value creation, tax rates, the impact of business, economic, or political developments, the impact of monetary, fiscal and trade policies, and the impact of acquisitions we have made or may make, including our recent acquisition of Heritage Commerce Corp and its wholly-owned banking subsidiary, Heritage Bank of Commerce (collectively, “Heritage”).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General risks and uncertainties include, but are not limited to, the following: the strength of the United States economy and the strength of the local economies in which we conduct business; the effects of, and changes in, immigration, trade, tariff, monetary, and fiscal policies and laws, including interest rate policies of the Board of Governors of the Federal Reserve System; inflation/deflation, interest rate, market, and monetary fluctuations; the effects of acquisitions we have made or may make, including, without limitation, the failure to achieve the expected efficiencies and financial results from such acquisitions; the timely development of competitive new products and services, and the acceptance of these products and services by potential and existing customers; the impact of changes in financial services policies, laws, and regulations, including those concerning banking, taxes, securities and insurance, and the application thereof by regulatory agencies; changes in the scope and cost of FDIC insurance; the effectiveness of our risk management framework and quantitative models; changes in the level of our nonperforming assets and charge-offs;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loans and securities held by us; possible impairment charges to goodwill, including any impairment that may result from increased volatility in our stock price; changes in consumer or business spending, borrowing and savings habits; the effects of risks associated with geographic and industry concentrations within our loan portfolio; periodic fluctuations in commercial or residential real estate prices or values; our ability to attract or retain deposits (including low cost deposits) or to access government or private lending facilities and other sources of liquidity; the possibility that we may reduce or discontinue the payment of dividends on our common stock; changes in the financial performance and/or condition of our borrowers or depositors; changes in the competitive environment among financial and bank holding companies and other financial service providers; technological changes, including the adoption of artificial intelligence, in banking and financial services; the use, reliability and accuracy of the financial models and data on which we rely; systemic or non-systemic bank failures or crises;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the economic and business environments in which we operate, including on our asset credit quality, business operations and employees, as well as the impact on general economic and financial market conditions; cybersecurity threats and fraud and the costs of defending against them, including the costs of compliance with legislation or regulations to combat fraud and cybersecurity threats; our ability to recruit and retain key executives, board members and other employees, and our ability to comply with federal and state employment laws and regulations; ongoing or unanticipated regulatory or legal proceedings or outcomes; risks associated with our recently completed merger with Heritage, including difficulties retaining Heritage’s key personnel and customers, and achieving anticipated cost saving and revenue synergies; and our ability to manage the risks involved in the foregoing.</w:t>
      </w:r>
    </w:p>
    <w:p>
      <w:pPr>
        <w:pStyle w:val="TextBody"/>
        <w:bidi w:val="0"/>
        <w:jc w:val="both"/>
        <w:rPr>
          <w:rFonts w:ascii="Times New Roman" w:hAnsi="Times New Roman"/>
          <w:color w:val="000000"/>
          <w:sz w:val="20"/>
        </w:rPr>
      </w:pPr>
      <w:r>
        <w:rPr>
          <w:rFonts w:ascii="Times New Roman" w:hAnsi="Times New Roman"/>
          <w:color w:val="000000"/>
          <w:sz w:val="20"/>
        </w:rPr>
        <w:t>Additional factors that could cause actual results to differ materially from those expressed in the forward-looking statements are discussed in the Company's 2025 Annual Report on Form 10-K filed with the SEC and available at the SEC’s website (http://www.sec.gov).</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equity or shareholder returns, are for illustrative purposes only, are not forecasts, and actual results may differ.</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olor w:val="000000"/>
          <w:sz w:val="20"/>
        </w:rPr>
      </w:pPr>
      <w:bookmarkStart w:id="3" w:name="part_1_financial_information"/>
      <w:bookmarkEnd w:id="3"/>
      <w:r>
        <w:rPr>
          <w:rFonts w:ascii="Times New Roman" w:hAnsi="Times New Roman"/>
          <w:color w:val="000000"/>
          <w:sz w:val="20"/>
        </w:rPr>
        <w:t>PART I – FINANCIAL INFORMATION</w:t>
      </w:r>
    </w:p>
    <w:p>
      <w:pPr>
        <w:pStyle w:val="Heading1"/>
        <w:bidi w:val="0"/>
        <w:jc w:val="center"/>
        <w:rPr/>
      </w:pPr>
      <w:r>
        <w:rPr/>
        <w:t> </w:t>
      </w:r>
    </w:p>
    <w:p>
      <w:pPr>
        <w:pStyle w:val="Heading1"/>
        <w:bidi w:val="0"/>
        <w:jc w:val="left"/>
        <w:rPr>
          <w:rFonts w:ascii="Times New Roman" w:hAnsi="Times New Roman"/>
          <w:color w:val="000000"/>
          <w:sz w:val="20"/>
        </w:rPr>
      </w:pPr>
      <w:bookmarkStart w:id="4" w:name="i_item1"/>
      <w:bookmarkEnd w:id="4"/>
      <w:r>
        <w:rPr>
          <w:rFonts w:ascii="Times New Roman" w:hAnsi="Times New Roman"/>
          <w:color w:val="000000"/>
          <w:sz w:val="20"/>
        </w:rPr>
        <w:t>ITEM 1. CONDENSED CONSOLIDATED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CVB FINANCIAL CORP. AND SUBSIDIARIES</w:t>
      </w:r>
    </w:p>
    <w:p>
      <w:pPr>
        <w:pStyle w:val="TextBody"/>
        <w:bidi w:val="0"/>
        <w:jc w:val="center"/>
        <w:rPr>
          <w:rFonts w:ascii="Times New Roman" w:hAnsi="Times New Roman"/>
          <w:b/>
          <w:color w:val="000000"/>
          <w:sz w:val="20"/>
        </w:rPr>
      </w:pPr>
      <w:bookmarkStart w:id="5" w:name="balance_sheet"/>
      <w:bookmarkEnd w:id="5"/>
      <w:r>
        <w:rPr>
          <w:rFonts w:ascii="Times New Roman" w:hAnsi="Times New Roman"/>
          <w:b/>
          <w:color w:val="000000"/>
          <w:sz w:val="20"/>
        </w:rPr>
        <w:t>CONDENSED CONSOLIDATED BALANCE SHEETS</w:t>
      </w:r>
    </w:p>
    <w:p>
      <w:pPr>
        <w:pStyle w:val="TextBody"/>
        <w:bidi w:val="0"/>
        <w:jc w:val="center"/>
        <w:rPr>
          <w:rFonts w:ascii="Times New Roman" w:hAnsi="Times New Roman"/>
          <w:i/>
          <w:color w:val="000000"/>
          <w:sz w:val="18"/>
        </w:rPr>
      </w:pPr>
      <w:r>
        <w:rPr>
          <w:rFonts w:ascii="Times New Roman" w:hAnsi="Times New Roman"/>
          <w:i/>
          <w:color w:val="000000"/>
          <w:sz w:val="18"/>
        </w:rPr>
        <w:t>(Dollars in thousands, except share amounts)</w:t>
      </w:r>
    </w:p>
    <w:p>
      <w:pPr>
        <w:pStyle w:val="TextBody"/>
        <w:bidi w:val="0"/>
        <w:jc w:val="center"/>
        <w:rPr>
          <w:rFonts w:ascii="Times New Roman" w:hAnsi="Times New Roman"/>
          <w:sz w:val="20"/>
        </w:rPr>
      </w:pPr>
      <w:r>
        <w:rPr>
          <w:rFonts w:ascii="Times New Roman" w:hAnsi="Times New Roman"/>
          <w:i/>
          <w:color w:val="000000"/>
          <w:sz w:val="18"/>
        </w:rPr>
        <w:t>(Unaudited)</w:t>
      </w:r>
      <w:r>
        <w:rPr>
          <w:rFonts w:ascii="Times New Roman" w:hAnsi="Times New Roman"/>
          <w:color w:val="000000"/>
          <w:sz w:val="20"/>
        </w:rPr>
        <w:t xml:space="preserve"> </w:t>
      </w:r>
    </w:p>
    <w:p>
      <w:pPr>
        <w:pStyle w:val="TextBody"/>
        <w:bidi w:val="0"/>
        <w:jc w:val="center"/>
        <w:rPr/>
      </w:pPr>
      <w:r>
        <w:rPr/>
        <w:t> </w:t>
      </w:r>
    </w:p>
    <w:tbl>
      <w:tblPr>
        <w:tblW w:w="9847" w:type="dxa"/>
        <w:jc w:val="left"/>
        <w:tblInd w:w="0" w:type="dxa"/>
        <w:tblLayout w:type="fixed"/>
        <w:tblCellMar>
          <w:top w:w="28" w:type="dxa"/>
          <w:left w:w="28" w:type="dxa"/>
          <w:bottom w:w="28" w:type="dxa"/>
          <w:right w:w="28" w:type="dxa"/>
        </w:tblCellMar>
      </w:tblPr>
      <w:tblGrid>
        <w:gridCol w:w="6246"/>
        <w:gridCol w:w="146"/>
        <w:gridCol w:w="196"/>
        <w:gridCol w:w="916"/>
        <w:gridCol w:w="166"/>
        <w:gridCol w:w="146"/>
        <w:gridCol w:w="201"/>
        <w:gridCol w:w="939"/>
        <w:gridCol w:w="891"/>
      </w:tblGrid>
      <w:tr>
        <w:trPr/>
        <w:tc>
          <w:tcPr>
            <w:tcW w:w="6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due from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107,511</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balances due from Federal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268,878</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376,389</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balances due from depository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13,064</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 xml:space="preserve">Investment securities available-for-sale, at fair value (with amortized cost of </w:t>
              <w:br/>
              <w:t>   $3,777,744</w:t>
            </w:r>
            <w:r>
              <w:rPr>
                <w:rFonts w:ascii="Times New Roman" w:hAnsi="Times New Roman"/>
                <w:color w:val="000000"/>
                <w:sz w:val="20"/>
              </w:rPr>
              <w:t> </w:t>
            </w:r>
            <w:r>
              <w:rPr>
                <w:rFonts w:ascii="Times New Roman" w:hAnsi="Times New Roman"/>
                <w:color w:val="000000"/>
                <w:sz w:val="18"/>
              </w:rPr>
              <w:t>at June 30, 2026, and $2,982,228</w:t>
            </w:r>
            <w:r>
              <w:rPr>
                <w:rFonts w:ascii="Times New Roman" w:hAnsi="Times New Roman"/>
                <w:color w:val="000000"/>
                <w:sz w:val="20"/>
              </w:rPr>
              <w:t> </w:t>
            </w:r>
            <w:r>
              <w:rPr>
                <w:rFonts w:ascii="Times New Roman" w:hAnsi="Times New Roman"/>
                <w:color w:val="000000"/>
                <w:sz w:val="18"/>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2,683,070</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Investment securities held-to-maturity (with fair value of $1,867,394</w:t>
            </w:r>
            <w:r>
              <w:rPr>
                <w:rFonts w:ascii="Times New Roman" w:hAnsi="Times New Roman"/>
                <w:color w:val="000000"/>
                <w:sz w:val="20"/>
              </w:rPr>
              <w:t> </w:t>
            </w:r>
            <w:r>
              <w:rPr>
                <w:rFonts w:ascii="Times New Roman" w:hAnsi="Times New Roman"/>
                <w:color w:val="000000"/>
                <w:sz w:val="18"/>
              </w:rPr>
              <w:t xml:space="preserve">at </w:t>
              <w:br/>
              <w:t>   June 30, 2026, and $1,925,492</w:t>
            </w:r>
            <w:r>
              <w:rPr>
                <w:rFonts w:ascii="Times New Roman" w:hAnsi="Times New Roman"/>
                <w:color w:val="000000"/>
                <w:sz w:val="20"/>
              </w:rPr>
              <w:t> </w:t>
            </w:r>
            <w:r>
              <w:rPr>
                <w:rFonts w:ascii="Times New Roman" w:hAnsi="Times New Roman"/>
                <w:color w:val="000000"/>
                <w:sz w:val="18"/>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2,270,391</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5,676,293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4,953,461</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in FHLB, FRB, and other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55,948</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 and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12,017,055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8,699,193</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(77,161</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Net loans and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11,890,394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8,622,032</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Premises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26,505</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Bank owned life insurance (“BOLI”)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325,299</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46,723</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5,774</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174,169</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265,868</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21,182,781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15,631,054</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Noninterest-bearing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8,606,924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6,800,691</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Interest-bearing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7,681,777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5,271,291</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16,288,701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12,071,982</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Customer repurchase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490,601</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Federal Home Loan Bank advances and other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22,318</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4,770</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246,159</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18,013,092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13,335,830</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authorized, 225,000,000</w:t>
            </w:r>
            <w:r>
              <w:rPr>
                <w:rFonts w:ascii="Times New Roman" w:hAnsi="Times New Roman"/>
                <w:color w:val="000000"/>
                <w:sz w:val="20"/>
              </w:rPr>
              <w:t> </w:t>
            </w:r>
            <w:r>
              <w:rPr>
                <w:rFonts w:ascii="Times New Roman" w:hAnsi="Times New Roman"/>
                <w:color w:val="000000"/>
                <w:sz w:val="18"/>
              </w:rPr>
              <w:t>shares without par; issued and</w:t>
              <w:br/>
              <w:t> outstanding 176,247,135</w:t>
            </w:r>
            <w:r>
              <w:rPr>
                <w:rFonts w:ascii="Times New Roman" w:hAnsi="Times New Roman"/>
                <w:color w:val="000000"/>
                <w:sz w:val="20"/>
              </w:rPr>
              <w:t> </w:t>
            </w:r>
            <w:r>
              <w:rPr>
                <w:rFonts w:ascii="Times New Roman" w:hAnsi="Times New Roman"/>
                <w:color w:val="000000"/>
                <w:sz w:val="18"/>
              </w:rPr>
              <w:t>at June 30, 2026, and 135,551,799</w:t>
            </w:r>
            <w:r>
              <w:rPr>
                <w:rFonts w:ascii="Times New Roman" w:hAnsi="Times New Roman"/>
                <w:color w:val="000000"/>
                <w:sz w:val="20"/>
              </w:rPr>
              <w:t> </w:t>
            </w:r>
            <w:r>
              <w:rPr>
                <w:rFonts w:ascii="Times New Roman" w:hAnsi="Times New Roman"/>
                <w:color w:val="000000"/>
                <w:sz w:val="18"/>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2,060,555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1,222,365</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1,300,513</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(227,654</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2,295,224</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21,182,781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15,631,054</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CVB FINANCIAL CORP. AND SUBSIDIARIES</w:t>
      </w:r>
    </w:p>
    <w:p>
      <w:pPr>
        <w:pStyle w:val="TextBody"/>
        <w:bidi w:val="0"/>
        <w:jc w:val="center"/>
        <w:rPr>
          <w:rFonts w:ascii="Times New Roman" w:hAnsi="Times New Roman"/>
          <w:sz w:val="20"/>
        </w:rPr>
      </w:pPr>
      <w:bookmarkStart w:id="6" w:name="statements_comp_income"/>
      <w:bookmarkEnd w:id="6"/>
      <w:r>
        <w:rPr>
          <w:rFonts w:ascii="Times New Roman" w:hAnsi="Times New Roman"/>
          <w:b/>
          <w:color w:val="000000"/>
          <w:sz w:val="20"/>
        </w:rPr>
        <w:t>CONDENSED CONSOLIDATED STATEMENTS</w:t>
      </w:r>
      <w:r>
        <w:rPr>
          <w:rFonts w:ascii="Times New Roman" w:hAnsi="Times New Roman"/>
          <w:color w:val="000000"/>
          <w:sz w:val="20"/>
        </w:rPr>
        <w:t xml:space="preserve"> </w:t>
      </w:r>
      <w:r>
        <w:rPr>
          <w:rFonts w:ascii="Times New Roman" w:hAnsi="Times New Roman"/>
          <w:b/>
          <w:color w:val="000000"/>
          <w:sz w:val="20"/>
        </w:rPr>
        <w:t>OF EARNINGS AND COMPREHENSIVE INCOME</w:t>
      </w:r>
    </w:p>
    <w:p>
      <w:pPr>
        <w:pStyle w:val="TextBody"/>
        <w:bidi w:val="0"/>
        <w:jc w:val="center"/>
        <w:rPr>
          <w:rFonts w:ascii="Times New Roman" w:hAnsi="Times New Roman"/>
          <w:i/>
          <w:color w:val="000000"/>
          <w:sz w:val="18"/>
        </w:rPr>
      </w:pPr>
      <w:r>
        <w:rPr>
          <w:rFonts w:ascii="Times New Roman" w:hAnsi="Times New Roman"/>
          <w:i/>
          <w:color w:val="000000"/>
          <w:sz w:val="18"/>
        </w:rPr>
        <w:t>(Dollars in thousands, except per share amounts)</w:t>
      </w:r>
    </w:p>
    <w:p>
      <w:pPr>
        <w:pStyle w:val="TextBody"/>
        <w:bidi w:val="0"/>
        <w:jc w:val="center"/>
        <w:rPr>
          <w:rFonts w:ascii="Times New Roman" w:hAnsi="Times New Roman"/>
          <w:sz w:val="20"/>
        </w:rPr>
      </w:pPr>
      <w:r>
        <w:rPr>
          <w:rFonts w:ascii="Times New Roman" w:hAnsi="Times New Roman"/>
          <w:i/>
          <w:color w:val="000000"/>
          <w:sz w:val="18"/>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784"/>
        <w:gridCol w:w="146"/>
        <w:gridCol w:w="196"/>
        <w:gridCol w:w="691"/>
        <w:gridCol w:w="166"/>
        <w:gridCol w:w="146"/>
        <w:gridCol w:w="196"/>
        <w:gridCol w:w="691"/>
        <w:gridCol w:w="166"/>
        <w:gridCol w:w="146"/>
        <w:gridCol w:w="196"/>
        <w:gridCol w:w="691"/>
        <w:gridCol w:w="166"/>
        <w:gridCol w:w="146"/>
        <w:gridCol w:w="196"/>
        <w:gridCol w:w="691"/>
        <w:gridCol w:w="791"/>
      </w:tblGrid>
      <w:tr>
        <w:trPr/>
        <w:tc>
          <w:tcPr>
            <w:tcW w:w="4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 and leases, including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217,916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Investment securities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Investment securities held-to-maturity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62,940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from FHLB, FRB, and other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deposits with other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287,211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50,151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 and customer repurchase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14,201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65,159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interest income before provision for (recapture of)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222,052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(recapture of)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interest income after provision for (recapture of)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224,052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charges on deposit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Trust and investment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Bankcard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BOLI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OREO,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30,973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Salaries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71,476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Computer software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Marketing and promotion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unfunded loan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116,701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138,324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36,656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101,668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gain on securities and derivatives arising during the period,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64,999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Less: Income tax benefit (expense) related to items of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43,932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145,600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Diluted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CVB FINANCIAL CORP. AND SUBSIDIARIES</w:t>
      </w:r>
    </w:p>
    <w:p>
      <w:pPr>
        <w:pStyle w:val="TextBody"/>
        <w:bidi w:val="0"/>
        <w:jc w:val="center"/>
        <w:rPr>
          <w:rFonts w:ascii="Times New Roman" w:hAnsi="Times New Roman"/>
          <w:b/>
          <w:color w:val="000000"/>
          <w:sz w:val="20"/>
        </w:rPr>
      </w:pPr>
      <w:bookmarkStart w:id="7" w:name="statements_equity"/>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SIX MONTHS ENDED JUNE 30, 2026 AND 2025</w:t>
      </w:r>
    </w:p>
    <w:p>
      <w:pPr>
        <w:pStyle w:val="TextBody"/>
        <w:bidi w:val="0"/>
        <w:jc w:val="center"/>
        <w:rPr>
          <w:rFonts w:ascii="Times New Roman" w:hAnsi="Times New Roman"/>
          <w:i/>
          <w:color w:val="000000"/>
          <w:sz w:val="18"/>
        </w:rPr>
      </w:pPr>
      <w:r>
        <w:rPr>
          <w:rFonts w:ascii="Times New Roman" w:hAnsi="Times New Roman"/>
          <w:i/>
          <w:color w:val="000000"/>
          <w:sz w:val="18"/>
        </w:rPr>
        <w:t>(Dollars in thousands, except share data)</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4"/>
        <w:gridCol w:w="164"/>
        <w:gridCol w:w="1137"/>
        <w:gridCol w:w="166"/>
        <w:gridCol w:w="146"/>
        <w:gridCol w:w="201"/>
        <w:gridCol w:w="847"/>
        <w:gridCol w:w="166"/>
        <w:gridCol w:w="146"/>
        <w:gridCol w:w="207"/>
        <w:gridCol w:w="872"/>
        <w:gridCol w:w="166"/>
        <w:gridCol w:w="146"/>
        <w:gridCol w:w="303"/>
        <w:gridCol w:w="1166"/>
        <w:gridCol w:w="166"/>
        <w:gridCol w:w="146"/>
        <w:gridCol w:w="196"/>
        <w:gridCol w:w="826"/>
        <w:gridCol w:w="514"/>
      </w:tblGrid>
      <w:tr>
        <w:trPr/>
        <w:tc>
          <w:tcPr>
            <w:tcW w:w="252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April 1, 2026</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135,791,180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2,321,281</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Issuance of common stock for acquisition</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40,621,024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840,173</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Repurchase of common stock</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(5,133</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Exercise of stock options</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Shares issued and compensation expense, pursuant to stock-based compensation plan, net of stock surrendered and cancelled</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3,340</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6"/>
              </w:rPr>
              <w:t>Cash dividends declared on common stock ($0.20</w:t>
            </w:r>
            <w:r>
              <w:rPr>
                <w:rFonts w:ascii="Times New Roman" w:hAnsi="Times New Roman"/>
                <w:color w:val="000000"/>
                <w:sz w:val="20"/>
              </w:rPr>
              <w:t> </w:t>
            </w:r>
            <w:r>
              <w:rPr>
                <w:rFonts w:ascii="Times New Roman" w:hAnsi="Times New Roman"/>
                <w:color w:val="000000"/>
                <w:sz w:val="16"/>
              </w:rPr>
              <w:t>per share)</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(35,350</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earnings</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48,261</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Other comprehensive loss</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2026</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176,247,135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2,060,555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3,169,689</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April 1, 2025</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139,089,612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2,228,419</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Repurchase of common stock</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(1,283,761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(22,544</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Exercise of stock options</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Shares issued and compensation expense, pursuant to stock-based compensation plan, net of stock surrendered and cancelled</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2,411</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6"/>
              </w:rPr>
              <w:t>Cash dividends declared on common stock ($0.20</w:t>
            </w:r>
            <w:r>
              <w:rPr>
                <w:rFonts w:ascii="Times New Roman" w:hAnsi="Times New Roman"/>
                <w:color w:val="000000"/>
                <w:sz w:val="20"/>
              </w:rPr>
              <w:t> </w:t>
            </w:r>
            <w:r>
              <w:rPr>
                <w:rFonts w:ascii="Times New Roman" w:hAnsi="Times New Roman"/>
                <w:color w:val="000000"/>
                <w:sz w:val="16"/>
              </w:rPr>
              <w:t>per share)</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(27,703</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earnings</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50,564</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Other comprehensive income</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9,168</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2025</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137,825,465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1,247,611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2,240,322</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4"/>
        <w:gridCol w:w="164"/>
        <w:gridCol w:w="1137"/>
        <w:gridCol w:w="166"/>
        <w:gridCol w:w="146"/>
        <w:gridCol w:w="201"/>
        <w:gridCol w:w="847"/>
        <w:gridCol w:w="166"/>
        <w:gridCol w:w="146"/>
        <w:gridCol w:w="207"/>
        <w:gridCol w:w="872"/>
        <w:gridCol w:w="166"/>
        <w:gridCol w:w="146"/>
        <w:gridCol w:w="303"/>
        <w:gridCol w:w="1166"/>
        <w:gridCol w:w="166"/>
        <w:gridCol w:w="146"/>
        <w:gridCol w:w="196"/>
        <w:gridCol w:w="826"/>
        <w:gridCol w:w="514"/>
      </w:tblGrid>
      <w:tr>
        <w:trPr/>
        <w:tc>
          <w:tcPr>
            <w:tcW w:w="252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January 1, 2026</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135,551,799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2,295,224</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Issuance of common stock for acquisition</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40,621,024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840,173</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Repurchase of common stock</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(5,133</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Exercise of stock options</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Shares issued and compensation expense, pursuant to stock-based compensation plan, net of stock surrendered and cancelled</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6"/>
              </w:rPr>
              <w:t>Cash dividends declared on common stock ($0.40</w:t>
            </w:r>
            <w:r>
              <w:rPr>
                <w:rFonts w:ascii="Times New Roman" w:hAnsi="Times New Roman"/>
                <w:color w:val="000000"/>
                <w:sz w:val="20"/>
              </w:rPr>
              <w:t> </w:t>
            </w:r>
            <w:r>
              <w:rPr>
                <w:rFonts w:ascii="Times New Roman" w:hAnsi="Times New Roman"/>
                <w:color w:val="000000"/>
                <w:sz w:val="16"/>
              </w:rPr>
              <w:t>per share)</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(62,547</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earnings</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99,263</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Other comprehensive loss</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2026</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176,247,135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2,060,555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3,169,689</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January 1, 2025</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139,690,086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2,186,316</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Repurchase of common stock</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(2,238,074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(41,231</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Exercise of stock options</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Shares issued and compensation expense, pursuant to stock-based compensation plan, net of stock surrendered and cancelled</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4,934</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6"/>
              </w:rPr>
              <w:t>Cash dividends declared on common stock ($0.40</w:t>
            </w:r>
            <w:r>
              <w:rPr>
                <w:rFonts w:ascii="Times New Roman" w:hAnsi="Times New Roman"/>
                <w:color w:val="000000"/>
                <w:sz w:val="20"/>
              </w:rPr>
              <w:t> </w:t>
            </w:r>
            <w:r>
              <w:rPr>
                <w:rFonts w:ascii="Times New Roman" w:hAnsi="Times New Roman"/>
                <w:color w:val="000000"/>
                <w:sz w:val="16"/>
              </w:rPr>
              <w:t>per share)</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(55,556</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earnings</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101,668</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Other comprehensive income</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43,932</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2025</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137,825,465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1,247,611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2,240,322</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CVB FINANCIAL CORP. AND SUBSIDIARIES</w:t>
      </w:r>
    </w:p>
    <w:p>
      <w:pPr>
        <w:pStyle w:val="TextBody"/>
        <w:bidi w:val="0"/>
        <w:jc w:val="center"/>
        <w:rPr>
          <w:rFonts w:ascii="Times New Roman" w:hAnsi="Times New Roman"/>
          <w:sz w:val="20"/>
        </w:rPr>
      </w:pPr>
      <w:bookmarkStart w:id="8" w:name="statements_cash_flows"/>
      <w:bookmarkEnd w:id="8"/>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(Dollars in thousands)</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p>
      <w:pPr>
        <w:pStyle w:val="TextBody"/>
        <w:bidi w:val="0"/>
        <w:jc w:val="center"/>
        <w:rPr/>
      </w:pPr>
      <w:r>
        <w:rPr/>
        <w:t> </w:t>
      </w:r>
    </w:p>
    <w:tbl>
      <w:tblPr>
        <w:tblW w:w="8728" w:type="dxa"/>
        <w:jc w:val="left"/>
        <w:tblInd w:w="0" w:type="dxa"/>
        <w:tblLayout w:type="fixed"/>
        <w:tblCellMar>
          <w:top w:w="28" w:type="dxa"/>
          <w:left w:w="28" w:type="dxa"/>
          <w:bottom w:w="28" w:type="dxa"/>
          <w:right w:w="28" w:type="dxa"/>
        </w:tblCellMar>
      </w:tblPr>
      <w:tblGrid>
        <w:gridCol w:w="5936"/>
        <w:gridCol w:w="196"/>
        <w:gridCol w:w="826"/>
        <w:gridCol w:w="166"/>
        <w:gridCol w:w="146"/>
        <w:gridCol w:w="196"/>
        <w:gridCol w:w="751"/>
        <w:gridCol w:w="511"/>
      </w:tblGrid>
      <w:tr>
        <w:trPr/>
        <w:tc>
          <w:tcPr>
            <w:tcW w:w="59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and dividends received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292,810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Service charges and other fees received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22,299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(65,625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cash paid to vendors, employees and others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(131,308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sales of loans held for sale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Income taxes paid, net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(23,190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94,986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change in FHLB, FRB, and other stock</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change in interest-earning balances from depository institutions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repayment and maturity of investment securities available-for-sale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167,451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repayment and maturity of investment securities held-to-maturity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52,560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sale of investment securities available-for-sale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investment securities available-for-sale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(29,388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investment securities held-to-maturity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increase in equity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(18,499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(increase) decrease in loan and lease finance receivables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179,611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 of premises and equipment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BOLI death benefit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sales of OREO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21,348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acquired from acquisition, net of cash paid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357,140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(decrease) increase in other deposits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(decrease) increase in time deposits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Repayment of long-term FHLB advances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change in short-term FHLB borrowings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increase in customer repurchase agreements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142,267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dividends on common stock</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(55,925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Repurchase of common stock and restricted stock</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(41,231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exercise of stock options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81,812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 in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533,938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beginning of period</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204,698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end of period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738,636</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CVB FINANCIAL CORP.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 (Continued)</w:t>
      </w:r>
    </w:p>
    <w:p>
      <w:pPr>
        <w:pStyle w:val="TextBody"/>
        <w:bidi w:val="0"/>
        <w:jc w:val="center"/>
        <w:rPr>
          <w:rFonts w:ascii="Times New Roman" w:hAnsi="Times New Roman"/>
          <w:i/>
          <w:color w:val="000000"/>
          <w:sz w:val="18"/>
        </w:rPr>
      </w:pPr>
      <w:r>
        <w:rPr>
          <w:rFonts w:ascii="Times New Roman" w:hAnsi="Times New Roman"/>
          <w:i/>
          <w:color w:val="000000"/>
          <w:sz w:val="18"/>
        </w:rPr>
        <w:t>(Dollars in thousands)</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p>
      <w:pPr>
        <w:pStyle w:val="TextBody"/>
        <w:bidi w:val="0"/>
        <w:jc w:val="center"/>
        <w:rPr/>
      </w:pPr>
      <w:r>
        <w:rPr/>
        <w:t> </w:t>
      </w:r>
    </w:p>
    <w:tbl>
      <w:tblPr>
        <w:tblW w:w="9013" w:type="dxa"/>
        <w:jc w:val="left"/>
        <w:tblInd w:w="0" w:type="dxa"/>
        <w:tblLayout w:type="fixed"/>
        <w:tblCellMar>
          <w:top w:w="28" w:type="dxa"/>
          <w:left w:w="28" w:type="dxa"/>
          <w:bottom w:w="28" w:type="dxa"/>
          <w:right w:w="28" w:type="dxa"/>
        </w:tblCellMar>
      </w:tblPr>
      <w:tblGrid>
        <w:gridCol w:w="5981"/>
        <w:gridCol w:w="196"/>
        <w:gridCol w:w="826"/>
        <w:gridCol w:w="166"/>
        <w:gridCol w:w="146"/>
        <w:gridCol w:w="196"/>
        <w:gridCol w:w="691"/>
        <w:gridCol w:w="811"/>
      </w:tblGrid>
      <w:tr>
        <w:trPr/>
        <w:tc>
          <w:tcPr>
            <w:tcW w:w="59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Net Earnings to Net Cash Provided by Operating Activities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earnings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101,668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Adjustments to reconcile net earnings to net cash provided by operating activities: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sale of other real estate owned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in BOLI</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amortization of premiums and discounts on investment securities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 for acquired loans,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(recapture of) credit losses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unfunded loan commitments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amortization and accretion,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sales of loans held for sale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other assets and liabilities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(17,136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adjustments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450,535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94,986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Activities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Securities purchased and not settled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Transfer of loans to other real estate owned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Business Combination:</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of tangible assets acquired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5,288,984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 and intangibles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of liabilities assumed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4,894,181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for acquisition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CVB FINANCIAL CORP. AND SUBSIDIARIES</w:t>
      </w:r>
    </w:p>
    <w:p>
      <w:pPr>
        <w:pStyle w:val="Heading2"/>
        <w:bidi w:val="0"/>
        <w:jc w:val="center"/>
        <w:rPr>
          <w:rFonts w:ascii="Times New Roman" w:hAnsi="Times New Roman"/>
          <w:color w:val="000000"/>
          <w:sz w:val="20"/>
        </w:rPr>
      </w:pPr>
      <w:bookmarkStart w:id="9" w:name="notes_financial_statements"/>
      <w:bookmarkEnd w:id="9"/>
      <w:r>
        <w:rPr>
          <w:rFonts w:ascii="Times New Roman" w:hAnsi="Times New Roman"/>
          <w:color w:val="000000"/>
          <w:sz w:val="20"/>
        </w:rPr>
        <w:t>NOTES TO THE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BUSINESS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condensed consolidated financial statements include CVB Financial Corp. (referred to herein on an unconsolidated basis as “CVB” and on a consolidated basis as “we”, “our” or the “Company”) and its wholly owned subsidiary, Citizens Business Bank, National Association (the “Bank” or “CBB”), after elimination of all intercompany transactions and balances. The Company has one inactive subsidiary, Chino Valley Bancorp.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April 17, 2026, the Company completed its acquisition of Heritage Commerce Corp and its wholly-owned banking subsidiary, Heritage Bank of Commerce (collectively, “Heritage”). The conversion of Heritage's banking systems was completed during the second quarter of 2026. The acquisition was an all-stock transaction accounted for under the acquisition method of accounting as a business combination. See Note 4 — </w:t>
      </w:r>
      <w:r>
        <w:rPr>
          <w:rFonts w:ascii="Times New Roman" w:hAnsi="Times New Roman"/>
          <w:i/>
          <w:color w:val="000000"/>
          <w:sz w:val="20"/>
        </w:rPr>
        <w:t>Business Combination</w:t>
      </w:r>
      <w:r>
        <w:rPr>
          <w:rFonts w:ascii="Times New Roman" w:hAnsi="Times New Roman"/>
          <w:color w:val="000000"/>
          <w:sz w:val="20"/>
        </w:rPr>
        <w:t xml:space="preserve"> for additional information.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throughout California. As a result of the Heritage acquisition, CSNK Working Capital Finance Corp., a California corporation doing business as Bay View Funding (“BVF”), became a wholly owned subsidiary of CBB. BVF provides working capital factoring financing to various industries throughout the United States.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Bank operated 78 banking centers, one loan production office in Temecula, CA, and three trust office locations. The Company is headquartered in the city of Ontario, California.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BASIS OF PRESENTATION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normal recurring adjustments that are necessary for a fair presentation of financial results for the interim periods presented. The Company’s financial results for the three and six months ended June 30, 2026, included 74 days of Heritage's operations, post-merger, which impacts the comparability of the current period's results to prior periods. The results of operations for the three and six months ended June 30, 2026 are not necessarily indicative of the results anticipated for another interim period or the full year ending December 31, 2026.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2025 (the “2025 Form 10-K”), filed with the SEC. A summary of the significant accounting policies consistently applied in the preparation of the accompanying unaudited condensed consolidated financial statements follows.</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SUMMARY OF SIGNIFICANT ACCOUNTING POLICIES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Except as discussed below, our accounting policies are described in Note 3 – Summary of Significant Accounting Policies, of our audited consolidated financial statements included in our 2025 Form 10-K. As of June 30, 2026, there were no significant changes to accounting policies from those disclosed in our audited consolidated financial statements included in our 2025 Form 10-K.</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Use of Estimates in the Preparation of Financial Statements</w:t>
      </w:r>
      <w:r>
        <w:rPr>
          <w:rFonts w:ascii="Times New Roman" w:hAnsi="Times New Roman"/>
          <w:color w:val="000000"/>
          <w:sz w:val="20"/>
        </w:rPr>
        <w:t xml:space="preserve"> — 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significant estimates, which may be subject to change, include fair value determinations and disclosures, impairment of investments, goodwill and loans, as well as valuation of deferred tax assets.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 xml:space="preserve">Business Segments </w:t>
      </w:r>
      <w:r>
        <w:rPr>
          <w:rFonts w:ascii="Times New Roman" w:hAnsi="Times New Roman"/>
          <w:color w:val="000000"/>
          <w:sz w:val="20"/>
        </w:rPr>
        <w:t>— We regularly assess our strategic plans, operations, reporting structures and financial information provided to the Chief Executive Officer, our chief operating decision maker (“CODM”), to identify our reportable segments. At June 30, 2026 and since September 30, 2018, we have operated as one reportable segment. Changes to our reportable segments are expected to be infrequent.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factors considered in making this determination included the nature of products and services offered, geographic regions in which we operate, the applicable regulatory environment, and the materiality of discrete financial information reviewed by our CODM. Through our network of banking centers, we provide relationship-based banking products, services and solutions for small to mid-sized companies, real estate investors, non-profit organizations, professionals and other individuals. Our products include loans for commercial businesses, commercial real estate, multi-family, construction, land, dairy &amp; livestock and agribusiness, consumer and government-guaranteed small business loans. We also provide business deposit products and treasury cash management services, as well as deposit products to the owners and employees of the businesses we serve. Our operations are throughout the state of California.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has determined that all of its banking divisions meet the aggregation criteria of Accounting Standards Updates (“ASU”) 2023-07, </w:t>
      </w:r>
      <w:r>
        <w:rPr>
          <w:rFonts w:ascii="Times New Roman" w:hAnsi="Times New Roman"/>
          <w:i/>
          <w:color w:val="000000"/>
          <w:sz w:val="20"/>
        </w:rPr>
        <w:t>Segment Reporting</w:t>
      </w:r>
      <w:r>
        <w:rPr>
          <w:rFonts w:ascii="Times New Roman" w:hAnsi="Times New Roman"/>
          <w:color w:val="000000"/>
          <w:sz w:val="20"/>
        </w:rPr>
        <w:t>, as its current operating model is structured whereby banking divisions serve a similar base of primarily commercial clients utilizing a company-wide offering of similar products and services managed through similar processes and platforms, and therefore operates one line of business that is collectively reviewed by the CODM. The CODM regularly assesses performance of the aggregated single reporting segment and decides how to allocate resources based on net income calculated on the same basis as net income reported in the Company's consolidated statements of earnings and comprehensive income. The CODM is also regularly provided with expense information at a level consistent with that disclosed in the Company's consolidated statements of earnings and comprehensive income. No additional qualitative segment disclosures are required based on this assessment.</w:t>
      </w:r>
    </w:p>
    <w:p>
      <w:pPr>
        <w:pStyle w:val="TextBody"/>
        <w:bidi w:val="0"/>
        <w:spacing w:before="200" w:after="283"/>
        <w:jc w:val="both"/>
        <w:rPr>
          <w:rFonts w:ascii="Times New Roman" w:hAnsi="Times New Roman"/>
          <w:sz w:val="20"/>
        </w:rPr>
      </w:pPr>
      <w:r>
        <w:rPr>
          <w:rFonts w:ascii="Times New Roman" w:hAnsi="Times New Roman"/>
          <w:b/>
          <w:i/>
          <w:color w:val="000000"/>
          <w:sz w:val="20"/>
        </w:rPr>
        <w:t>Adoption of New Accounting Standards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06"/>
        <w:gridCol w:w="146"/>
        <w:gridCol w:w="3352"/>
        <w:gridCol w:w="146"/>
        <w:gridCol w:w="811"/>
        <w:gridCol w:w="146"/>
        <w:gridCol w:w="4398"/>
      </w:tblGrid>
      <w:tr>
        <w:trPr/>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8" w:type="dxa"/>
            <w:tcBorders/>
            <w:vAlign w:val="center"/>
          </w:tcPr>
          <w:p>
            <w:pPr>
              <w:pStyle w:val="TableContents"/>
              <w:bidi w:val="0"/>
              <w:spacing w:before="0" w:after="283"/>
              <w:jc w:val="left"/>
              <w:rPr>
                <w:sz w:val="4"/>
                <w:szCs w:val="4"/>
              </w:rPr>
            </w:pPr>
            <w:r>
              <w:rPr>
                <w:sz w:val="4"/>
                <w:szCs w:val="4"/>
              </w:rPr>
            </w:r>
          </w:p>
        </w:tc>
      </w:tr>
      <w:tr>
        <w:trPr/>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Standard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Adoption Timing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on Financial Statements</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ASU 2025-08, Financial Instruments — Credit Losses (Topic 326): Purchased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November 2025, the FASB issued ASU 2025-08, which expands the use of the gross-up approach in Accounting Standards Codification (“ASC”) 326, Credit Losses, to all “purchased seasoned loans.” The ASU defines purchased seasoned loans as loans that are not purchased credit deteriorated (“PCD”) financial assets. All non-PCD loans (excluding credit cards) that are acquired in a business combination are deemed seasoned. Other non-PCD loans (excluding credit cards) are seasoned if they were purchased at least 90 days after origination and the acquirer was not involved in the origination of the loans. Early adoption is permitted.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January 1, </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The Company elected to early adopt this ASU, effective January 1, 2026 and applied it to the accounting for the acquisition of Heritage Commerce Corp, which was completed in the second quarter of 2026. As a result, the Company established an initial allowance for credit losses of $25.2 million on purchased seasoned loans acquired from Heritage at the acquisition date, with a corresponding increase to the loans' amortized cost basis. In addition, the Company recognized an initial allowance for credit losses of $21.4 million on PCD loans through a gross-up of the acquired loan balances. The adoption of this ASU did not otherwise have a material impact on the Company's consolidated financial statements. For additional details related to the acquisition, see Note 4 — </w:t>
            </w:r>
            <w:r>
              <w:rPr>
                <w:rFonts w:ascii="Times New Roman" w:hAnsi="Times New Roman"/>
                <w:i/>
                <w:color w:val="000000"/>
                <w:sz w:val="16"/>
              </w:rPr>
              <w:t>Business Combination</w:t>
            </w:r>
            <w:r>
              <w:rPr>
                <w:rFonts w:ascii="Times New Roman" w:hAnsi="Times New Roman"/>
                <w:color w:val="000000"/>
                <w:sz w:val="16"/>
              </w:rPr>
              <w:t> of the notes to this Quarterly Report on Form 10-Q.</w:t>
            </w:r>
          </w:p>
        </w:tc>
      </w:tr>
      <w:tr>
        <w:trPr/>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Recently Issued Accounting Standards Not Yet Adopted</w:t>
      </w:r>
    </w:p>
    <w:p>
      <w:pPr>
        <w:pStyle w:val="TextBody"/>
        <w:bidi w:val="0"/>
        <w:jc w:val="both"/>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0"/>
        <w:gridCol w:w="146"/>
        <w:gridCol w:w="5158"/>
        <w:gridCol w:w="146"/>
        <w:gridCol w:w="846"/>
        <w:gridCol w:w="146"/>
        <w:gridCol w:w="1763"/>
      </w:tblGrid>
      <w:tr>
        <w:trPr/>
        <w:tc>
          <w:tcPr>
            <w:tcW w:w="2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r>
      <w:tr>
        <w:trPr/>
        <w:tc>
          <w:tcPr>
            <w:tcW w:w="2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Standard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Adoption Timing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on Financial Statements</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ASU 2024-03, Income Statement—Reporting Comprehensive Income—Expense Disaggregation Disclosures (Subtopic 220-40): Disaggregation of Income Statement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 November, 2024, the FASB issued ASU 2024-03, Income Statement - Reporting Comprehensive Income - Expense Disaggregation Disclosures (Subtopic 220-40 Disaggregation of Income Statement Expenses. This ASU requires disaggregated disclosure of income statement expenses for public business entities. This ASU does not change the expense captions an entity presents on the face of the income statement; rather, it requires disaggregation of certain expense captions into specified categories in disclosures in tabular format within the footnotes to the financial statements. The prescribed categories include employee compensation, depreciation, and intangible asset amortization. This ASU is effective for annual reporting periods beginning after December 15, 2026, and interim periods in fiscal years beginning after December 15, 2027. </w:t>
              <w:br/>
              <w:br/>
              <w:t>This ASU is to be applied on a prospective basis, though early adoption and retrospective application are permitted.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December 31, </w:t>
              <w:b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 is currently evaluating the impact of this ASU and does not expect its adoption to have a material impact on the Company’s consolidated financial statements.</w:t>
            </w:r>
          </w:p>
        </w:tc>
      </w:tr>
      <w:tr>
        <w:trPr/>
        <w:tc>
          <w:tcPr>
            <w:tcW w:w="2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ASU 2025-09, Derivatives and Hedging (Topic 815): Hedge Accounting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 November 2025, the FASB issued ASU 2025-09, which amends certain aspects of hedge accounting guidance to better align with an entity's risk management activities and reflect those strategies in the financial statements. This ASU intended to enhance or clarify the guidance under ASC 815 in the following areas: </w:t>
              <w:br/>
              <w:t>(1) Expanding the hedged risks permitted to be aggregated in a group of individual forecasted transactions, thereby enabling entities to apply hedge accounting to potentially broader portfolios of forecasted transactions;</w:t>
              <w:br/>
              <w:t>(2) Enabling hedge accounting to forecasted interest payments on choose-your-rate debt and address existing diversity in practice;</w:t>
              <w:br/>
              <w:t>(3) Expanding hedge accounting for forecasted purchases and sales of nonfinancial assets subject to certain criteria;</w:t>
              <w:br/>
              <w:t>(4) Accommodating differences in the loan and swap markets that resulted from reference rate reform, eliminating the requirement for the net written option test in certain instances;</w:t>
              <w:br/>
              <w:t xml:space="preserve">(5) Eliminating the recognition and presentation mismatch related to dual hedge strategies. </w:t>
              <w:br/>
              <w:br/>
              <w:t>This ASU is effective for annual and interim periods in fiscal years beginning after December 15, 2026. Early adoption is permitted.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December 31, </w:t>
              <w:b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 is currently evaluating the impact of this ASU and does not expect its adoption to have a material impact on the Company’s consolidated financial statements.</w:t>
            </w:r>
          </w:p>
        </w:tc>
      </w:tr>
      <w:tr>
        <w:trPr/>
        <w:tc>
          <w:tcPr>
            <w:tcW w:w="2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ASU 2025-11, Interim Reporting (Topic 270): Narrow-Scope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December 2025, the FASB issued ASU 2025-11, which clarifies interim disclosure requirements and creates a comprehensive list of interim disclosures required under U.S. GAAP and incorporates a disclosure principle that requires disclosures at interim periods when an event or change that has a material effect on an entity has occurred since the previous year end.</w:t>
              <w:br/>
              <w:br/>
              <w:t>This ASU is effective for interim reporting periods within annual reporting periods beginning after 15 December 2027. Early adoption is permitted.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January 1, </w:t>
              <w:b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 is currently evaluating the impact of this ASU and does not expect its adoption to have a material impact on the Company’s consolidated financial statements.</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BUSINESS COMBINATION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17, 2026, the Company completed its previously announced acquisition of Heritage Commerce Corp and its wholly-owned banking subsidiary, Heritage Bank of Commerce, in an all-stock transaction pursuant to the Agreement and Plan of Reorganization and Merger, dated as of December 17, 2025 (the “Merger Agreement”), by and between CVB and Heritage. On the Closing Date, Heritage Commerce Corp merged with and into CVB, with CVB continuing as the surviving entity. Immediately thereafter, Heritage Bank of Commerce merged with and into Citizens Business Bank, N.A. Under the terms of the Merger Agreement, Heritage shareholders received 0.65 shares of the Company’s common stock for each share of Heritage common stock owned. As consideration for the acquisition, the Company issued approximately 40,621,024 shares of common stock, net of shares withheld for applicable taxes related to Heritage equity awards, valued at $20.68 per share based on the closing price of the Company's common stock as of the acquisition date. In addition, the Company paid $1.6 million in cash in lieu of fractional shares and for the cash settlement of certain Heritage stock options and assumed substitute restricted stock units with a fair value of $129,000. Total merger consideration was $845.5 million. The acquisition accelerated the Company's expansion into the Bay area and enhanced its geographic presence across major business banking markets in California.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acquisition of Heritage was accounted for as a business combination under ASC 805, Business Combination. Accordingly, the assets acquired and liabilities assumed were recorded at fair value as of the acquisition date. Fair value estimates were based on information available as of the acquisition date and are considered preliminary as of June 30, 2026. The determination of fair value requires management to make estimates related to discount rates, expected future cash flows, market conditions and other future events that are highly subjective in nature and subject to change. These preliminary estimates, including deferred tax assets, may be revised during the measurement period, which ends no later than one year after the acquisition date. Adjustments may occur as additional information becomes available regarding facts and circumstances that existed at the acquisition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the allocation of purchase price consideration to the estimated fair values of assets acquired and liabilities assumed from Heritage as of April 17, 2026.</w:t>
      </w:r>
    </w:p>
    <w:p>
      <w:pPr>
        <w:pStyle w:val="TextBody"/>
        <w:bidi w:val="0"/>
        <w:jc w:val="left"/>
        <w:rPr/>
      </w:pPr>
      <w:r>
        <w:rPr/>
        <w:t> </w:t>
      </w:r>
    </w:p>
    <w:tbl>
      <w:tblPr>
        <w:tblW w:w="6804" w:type="dxa"/>
        <w:jc w:val="left"/>
        <w:tblInd w:w="0" w:type="dxa"/>
        <w:tblLayout w:type="fixed"/>
        <w:tblCellMar>
          <w:top w:w="28" w:type="dxa"/>
          <w:left w:w="28" w:type="dxa"/>
          <w:bottom w:w="28" w:type="dxa"/>
          <w:right w:w="28" w:type="dxa"/>
        </w:tblCellMar>
      </w:tblPr>
      <w:tblGrid>
        <w:gridCol w:w="3966"/>
        <w:gridCol w:w="146"/>
        <w:gridCol w:w="196"/>
        <w:gridCol w:w="826"/>
        <w:gridCol w:w="146"/>
        <w:gridCol w:w="146"/>
        <w:gridCol w:w="196"/>
        <w:gridCol w:w="691"/>
        <w:gridCol w:w="491"/>
      </w:tblGrid>
      <w:tr>
        <w:trPr/>
        <w:tc>
          <w:tcPr>
            <w:tcW w:w="3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April 17,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consideration paid to Heritage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of common shares issued and exchanged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843,723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or restricted stock units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merger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845,497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securities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FHLB, FRB stock and 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3,433,567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Premises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Bank owned life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tax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5,405,563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4,752,465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4,894,180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511,383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334,114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color w:val="000000"/>
          <w:sz w:val="20"/>
        </w:rPr>
        <w:t xml:space="preserve">In connection with the acquisition of Heritage, the Company recorded approximately $334.1 million of goodwill and core deposit intangible assets of $116.6 million. The preliminary goodwill primarily reflects the expected synergies, operational efficiencies, expanded market opportunities and other factors to result from the acquisition and represents the excess purchase price over the estimated fair value of the net assets acquired. Goodwill recognized in this transaction is not deductible for income tax purposes. See Note 7 - </w:t>
      </w:r>
      <w:r>
        <w:rPr>
          <w:rFonts w:ascii="Times New Roman" w:hAnsi="Times New Roman"/>
          <w:i/>
          <w:color w:val="000000"/>
          <w:sz w:val="20"/>
        </w:rPr>
        <w:t>Goodwill and other intangible assets</w:t>
      </w:r>
      <w:r>
        <w:rPr>
          <w:rFonts w:ascii="Times New Roman" w:hAnsi="Times New Roman"/>
          <w:color w:val="000000"/>
          <w:sz w:val="20"/>
        </w:rPr>
        <w:t xml:space="preserve"> for additional information.</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description of the methods used to determine the fair values of significant assets acquired and liabilities assumed.</w:t>
      </w:r>
    </w:p>
    <w:p>
      <w:pPr>
        <w:pStyle w:val="TextBody"/>
        <w:bidi w:val="0"/>
        <w:spacing w:before="20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b/>
          <w:color w:val="000000"/>
          <w:sz w:val="20"/>
        </w:rPr>
        <w:t>:</w:t>
      </w:r>
      <w:r>
        <w:rPr>
          <w:rFonts w:ascii="Times New Roman" w:hAnsi="Times New Roman"/>
          <w:color w:val="000000"/>
          <w:sz w:val="20"/>
        </w:rPr>
        <w:t xml:space="preserve"> The carrying amounts approximate fair value due to the short-term nature of these assets.</w:t>
      </w:r>
    </w:p>
    <w:p>
      <w:pPr>
        <w:pStyle w:val="TextBody"/>
        <w:bidi w:val="0"/>
        <w:spacing w:before="200" w:after="283"/>
        <w:jc w:val="left"/>
        <w:rPr>
          <w:rFonts w:ascii="Times New Roman" w:hAnsi="Times New Roman"/>
          <w:sz w:val="20"/>
        </w:rPr>
      </w:pPr>
      <w:r>
        <w:rPr>
          <w:rFonts w:ascii="Times New Roman" w:hAnsi="Times New Roman"/>
          <w:b/>
          <w:i/>
          <w:color w:val="000000"/>
          <w:sz w:val="20"/>
        </w:rPr>
        <w:t>Investment securities available-for-sale:</w:t>
      </w:r>
      <w:r>
        <w:rPr>
          <w:rFonts w:ascii="Times New Roman" w:hAnsi="Times New Roman"/>
          <w:color w:val="000000"/>
          <w:sz w:val="20"/>
        </w:rPr>
        <w:t xml:space="preserve"> Fair values were based on third-party pricing services, dealer quotes, or subsequent sale prices, where available. If quoted market prices were not available, fair value estimates were based on observable inputs including quoted market prices for similar instruments, quoted market prices that were not in an active market or other inputs that were observable in the market. In the absence of observable inputs, fair value was estimated based on market-based inputs and valuation models using discounted cash flow methodologies.</w:t>
      </w:r>
    </w:p>
    <w:p>
      <w:pPr>
        <w:pStyle w:val="TextBody"/>
        <w:bidi w:val="0"/>
        <w:spacing w:before="200" w:after="283"/>
        <w:jc w:val="left"/>
        <w:rPr>
          <w:rFonts w:ascii="Times New Roman" w:hAnsi="Times New Roman"/>
          <w:sz w:val="20"/>
        </w:rPr>
      </w:pPr>
      <w:r>
        <w:rPr>
          <w:rFonts w:ascii="Times New Roman" w:hAnsi="Times New Roman"/>
          <w:b/>
          <w:i/>
          <w:color w:val="000000"/>
          <w:sz w:val="20"/>
        </w:rPr>
        <w:t>Loans:</w:t>
      </w:r>
      <w:r>
        <w:rPr>
          <w:rFonts w:ascii="Times New Roman" w:hAnsi="Times New Roman"/>
          <w:color w:val="000000"/>
          <w:sz w:val="20"/>
        </w:rPr>
        <w:t xml:space="preserve"> Certain SFR mortgage loan pools acquired from Heritage were classified as held-for-sale and were sold by the Company at a fair value of $327.5 million. Fair value was determined based on bids from third-party investors. Fair values for loans held for investment were estimated on a loan level basis using a discounted cash flow methodology that considered factors including loan types, interest rates, contractual term, amortization status, current market rates, loan-to-value ratios, loss exposures, and remaining balances. The discounted cash flow incorporates the credit losses directly in the projected cash flows using assumptions for probability of defaults, loss given defaults, recovery lags, prepayment rate, and discount rates. The discount rates used for loans were based on alternative cost of funds, current market interest rates, servicing costs and include liquidity adjustments. Expected future cash flows from the loans were estimated and discounted to present value over the remaining life using a discount rate that reflected credit risks.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Purchased loans that exhibited more-than-insignificant deterioration of credit quality from origination were classified as purchased credit deteriorated loans. For PCD loans, the initial estimate of expected credit losses is recognized through allowance for credit losses (“ACL”) with an offsetting gross-up adjustment to the acquired loan balances and the related purchase accounting mark. In addition, the Company adopted ASU 2025-08 effectively January 1, 2026. Accordingly, the initial ACL established on acquired loans included both PCD and non-PCD loans that qualified as purchased seasoned loans under the guidance.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a summary of the acquired PCD and PSL loans as of April 17, 2026.</w:t>
      </w:r>
    </w:p>
    <w:p>
      <w:pPr>
        <w:pStyle w:val="TextBody"/>
        <w:bidi w:val="0"/>
        <w:jc w:val="left"/>
        <w:rPr/>
      </w:pPr>
      <w:r>
        <w:rPr/>
        <w:t> </w:t>
      </w:r>
    </w:p>
    <w:tbl>
      <w:tblPr>
        <w:tblW w:w="8512" w:type="dxa"/>
        <w:jc w:val="left"/>
        <w:tblInd w:w="0" w:type="dxa"/>
        <w:tblLayout w:type="fixed"/>
        <w:tblCellMar>
          <w:top w:w="28" w:type="dxa"/>
          <w:left w:w="28" w:type="dxa"/>
          <w:bottom w:w="28" w:type="dxa"/>
          <w:right w:w="28" w:type="dxa"/>
        </w:tblCellMar>
      </w:tblPr>
      <w:tblGrid>
        <w:gridCol w:w="1756"/>
        <w:gridCol w:w="394"/>
        <w:gridCol w:w="1661"/>
        <w:gridCol w:w="146"/>
        <w:gridCol w:w="202"/>
        <w:gridCol w:w="683"/>
        <w:gridCol w:w="166"/>
        <w:gridCol w:w="196"/>
        <w:gridCol w:w="826"/>
        <w:gridCol w:w="146"/>
        <w:gridCol w:w="196"/>
        <w:gridCol w:w="661"/>
        <w:gridCol w:w="166"/>
        <w:gridCol w:w="196"/>
        <w:gridCol w:w="826"/>
        <w:gridCol w:w="291"/>
      </w:tblGrid>
      <w:tr>
        <w:trPr/>
        <w:tc>
          <w:tcPr>
            <w:tcW w:w="175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Unpaid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Premium/</w:t>
              <w:br/>
              <w:t>(discount)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PCD loans</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PSL loans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3,131,699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3,053,145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3,027,936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3,234,336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3,152,574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3,105,946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Premises and equipment: </w:t>
      </w:r>
      <w:r>
        <w:rPr>
          <w:rFonts w:ascii="Times New Roman" w:hAnsi="Times New Roman"/>
          <w:color w:val="000000"/>
          <w:sz w:val="20"/>
        </w:rPr>
        <w:t>Fair values were determined using a market approach, supported by third-party appraisals and broker opinions of value for land and office buildings.</w:t>
      </w:r>
    </w:p>
    <w:p>
      <w:pPr>
        <w:pStyle w:val="TextBody"/>
        <w:bidi w:val="0"/>
        <w:spacing w:before="200" w:after="283"/>
        <w:jc w:val="both"/>
        <w:rPr>
          <w:rFonts w:ascii="Times New Roman" w:hAnsi="Times New Roman"/>
          <w:sz w:val="20"/>
        </w:rPr>
      </w:pPr>
      <w:r>
        <w:rPr>
          <w:rFonts w:ascii="Times New Roman" w:hAnsi="Times New Roman"/>
          <w:b/>
          <w:i/>
          <w:color w:val="000000"/>
          <w:sz w:val="20"/>
        </w:rPr>
        <w:t>Core Deposit intangible assets (“CDI”):</w:t>
      </w:r>
      <w:r>
        <w:rPr>
          <w:rFonts w:ascii="Times New Roman" w:hAnsi="Times New Roman"/>
          <w:color w:val="000000"/>
          <w:sz w:val="20"/>
        </w:rPr>
        <w:t xml:space="preserve"> Core deposit intangible assets represent the value of acquired deposit relationships. Fair value was estimated using a discounted cash flow methodology based on the present value of expected cost savings from utilizing core deposit funding compared to alternative funding sources. Key assumptions included expected customer attrition rates, net maintenance costs of the deposit base, alternative funding costs, and interest costs associated with customer deposits. The discount rate used was derived based on the estimated cost of equity, risk-free rate of return, market risk premium and specific risk related to the asset’s cash flows. The core deposit intangible is being amortized over 10 years using the sum-of-the-years'-digits method, reflecting the pattern of expected economic benefits.</w:t>
      </w:r>
    </w:p>
    <w:p>
      <w:pPr>
        <w:pStyle w:val="TextBody"/>
        <w:bidi w:val="0"/>
        <w:spacing w:before="200" w:after="283"/>
        <w:jc w:val="both"/>
        <w:rPr>
          <w:rFonts w:ascii="Times New Roman" w:hAnsi="Times New Roman"/>
          <w:sz w:val="20"/>
        </w:rPr>
      </w:pPr>
      <w:r>
        <w:rPr>
          <w:rFonts w:ascii="Times New Roman" w:hAnsi="Times New Roman"/>
          <w:b/>
          <w:i/>
          <w:color w:val="000000"/>
          <w:sz w:val="20"/>
        </w:rPr>
        <w:t>Deposits:</w:t>
      </w:r>
      <w:r>
        <w:rPr>
          <w:rFonts w:ascii="Times New Roman" w:hAnsi="Times New Roman"/>
          <w:color w:val="000000"/>
          <w:sz w:val="20"/>
        </w:rPr>
        <w:t xml:space="preserve"> The fair values for demand and savings deposits were assumed to equal the amounts payable on demand at the acquisition date. The fair values for time deposits were estimated using a discounted cash flow approach that applied current market interest rates to the contractual terms on such deposits.</w:t>
      </w:r>
    </w:p>
    <w:p>
      <w:pPr>
        <w:pStyle w:val="TextBody"/>
        <w:bidi w:val="0"/>
        <w:spacing w:before="200" w:after="283"/>
        <w:jc w:val="both"/>
        <w:rPr>
          <w:rFonts w:ascii="Times New Roman" w:hAnsi="Times New Roman"/>
          <w:sz w:val="20"/>
        </w:rPr>
      </w:pPr>
      <w:r>
        <w:rPr>
          <w:rFonts w:ascii="Times New Roman" w:hAnsi="Times New Roman"/>
          <w:b/>
          <w:i/>
          <w:color w:val="000000"/>
          <w:sz w:val="20"/>
        </w:rPr>
        <w:t>Subordinated debt:</w:t>
      </w:r>
      <w:r>
        <w:rPr>
          <w:rFonts w:ascii="Times New Roman" w:hAnsi="Times New Roman"/>
          <w:color w:val="000000"/>
          <w:sz w:val="20"/>
        </w:rPr>
        <w:t xml:space="preserve"> The fair value of subordinated debt was determined by using a discounted cash flow method using a discount rate based on the 10-year treasury yield as of the valuation date, adjusted for a market spread of comparable debt or preferred securities offerings. The Company expects to repay the subordinated debt in May 2027. Accordingly, the projected cash flows were modeled through the expected repayment date in May 2027 rather than the contractual maturity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Effective from the closing date of April 17, 2026, Heritage’s financial results were included in the Company’s consolidated results of operations for the three and six months ended June 30, 2026. During the three and six months ended June 30, 2026, the Company incurred $31.4 million and $32.5 million of non-recurring acquisition-related expenses, respectively.</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Pro forma financial information (unaudited)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presents unaudited financial information as if the acquisition had occurred on January 1, 2025. Pro forma adjustments reflect changes in interest income from the accretion of discounts and premiums on acquired loans and leases, changes in interest expense from the amortization or accretion of fair value adjustments on interest-bearing deposits, and the amortization of core deposit intangibles as if the deposits had been acquired in January 1, 2025. This pro forma information is provided for illustrative purposes only and is not necessarily indicative of the results that would have occurred had the acquisition been completed at the beginning of the prior year. The amounts do not reflect anticipated operating cost savings, revenue enhancements, or other synergies expected to result from the acquisition. Actual results may differ from the unaudited pro forma information presented.</w:t>
      </w:r>
    </w:p>
    <w:p>
      <w:pPr>
        <w:pStyle w:val="TextBody"/>
        <w:bidi w:val="0"/>
        <w:spacing w:before="200" w:after="283"/>
        <w:jc w:val="left"/>
        <w:rPr/>
      </w:pPr>
      <w:r>
        <w:rPr/>
        <w:t> </w:t>
      </w:r>
    </w:p>
    <w:tbl>
      <w:tblPr>
        <w:tblW w:w="6517" w:type="dxa"/>
        <w:jc w:val="left"/>
        <w:tblInd w:w="0" w:type="dxa"/>
        <w:tblLayout w:type="fixed"/>
        <w:tblCellMar>
          <w:top w:w="28" w:type="dxa"/>
          <w:left w:w="28" w:type="dxa"/>
          <w:bottom w:w="28" w:type="dxa"/>
          <w:right w:w="28" w:type="dxa"/>
        </w:tblCellMar>
      </w:tblPr>
      <w:tblGrid>
        <w:gridCol w:w="1756"/>
        <w:gridCol w:w="146"/>
        <w:gridCol w:w="196"/>
        <w:gridCol w:w="691"/>
        <w:gridCol w:w="146"/>
        <w:gridCol w:w="146"/>
        <w:gridCol w:w="196"/>
        <w:gridCol w:w="691"/>
        <w:gridCol w:w="146"/>
        <w:gridCol w:w="146"/>
        <w:gridCol w:w="196"/>
        <w:gridCol w:w="691"/>
        <w:gridCol w:w="146"/>
        <w:gridCol w:w="146"/>
        <w:gridCol w:w="196"/>
        <w:gridCol w:w="691"/>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327,084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Net income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left"/>
        <w:rPr>
          <w:bdr w:val="single" w:sz="6" w:space="1" w:color="000000"/>
        </w:rPr>
      </w:pPr>
      <w:r>
        <w:rPr>
          <w:rFonts w:ascii="Times New Roman" w:hAnsi="Times New Roman"/>
          <w:color w:val="000000"/>
          <w:sz w:val="16"/>
          <w:bdr w:val="single" w:sz="6" w:space="1" w:color="000000"/>
        </w:rPr>
        <w:t>Pro forma net income for the three and six months ended June 30, 2026 was adjusted to excluded acquisition-related costs of $31.4</w:t>
      </w:r>
      <w:r>
        <w:rPr>
          <w:color w:val="000000"/>
          <w:bdr w:val="single" w:sz="6" w:space="1" w:color="000000"/>
        </w:rPr>
        <w:t xml:space="preserve"> </w:t>
      </w:r>
      <w:r>
        <w:rPr>
          <w:rFonts w:ascii="Times New Roman" w:hAnsi="Times New Roman"/>
          <w:color w:val="000000"/>
          <w:sz w:val="16"/>
          <w:bdr w:val="single" w:sz="6" w:space="1" w:color="000000"/>
        </w:rPr>
        <w:t>million and $50.2</w:t>
      </w:r>
      <w:r>
        <w:rPr>
          <w:color w:val="000000"/>
          <w:bdr w:val="single" w:sz="6" w:space="1" w:color="000000"/>
        </w:rPr>
        <w:t xml:space="preserve"> </w:t>
      </w:r>
      <w:r>
        <w:rPr>
          <w:rFonts w:ascii="Times New Roman" w:hAnsi="Times New Roman"/>
          <w:color w:val="000000"/>
          <w:sz w:val="16"/>
          <w:bdr w:val="single" w:sz="6" w:space="1" w:color="000000"/>
        </w:rPr>
        <w:t>million respectively, including Heritage acquisition related costs incurred during those periods. Pro forma net income for the six months ended June 30, 2025 was adjusted to include the acquisition-related costs of $75.0</w:t>
      </w:r>
      <w:r>
        <w:rPr>
          <w:color w:val="000000"/>
          <w:bdr w:val="single" w:sz="6" w:space="1" w:color="000000"/>
        </w:rPr>
        <w:t xml:space="preserve"> </w:t>
      </w:r>
      <w:r>
        <w:rPr>
          <w:rFonts w:ascii="Times New Roman" w:hAnsi="Times New Roman"/>
          <w:color w:val="000000"/>
          <w:sz w:val="16"/>
          <w:bdr w:val="single" w:sz="6" w:space="1" w:color="000000"/>
        </w:rPr>
        <w:t>million. Pro forma net income assumes acquisition-related costs were incurred after the first quarter of 2025.</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INVESTMENT SECURITIES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amortized cost and estimated fair value of available-for-sale (“AFS”) and held-to-maturity (“HTM”) investment securities are summarized below. Fair value is generally determined based on quoted prices for similar assets in active markets or quoted prices for identical assets in markets that are not active. Estimated fair values were obtained from an independent pricing service utilizing observable market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65"/>
        <w:gridCol w:w="217"/>
        <w:gridCol w:w="918"/>
        <w:gridCol w:w="166"/>
        <w:gridCol w:w="146"/>
        <w:gridCol w:w="426"/>
        <w:gridCol w:w="1111"/>
        <w:gridCol w:w="146"/>
        <w:gridCol w:w="146"/>
        <w:gridCol w:w="318"/>
        <w:gridCol w:w="1222"/>
        <w:gridCol w:w="166"/>
        <w:gridCol w:w="146"/>
        <w:gridCol w:w="196"/>
        <w:gridCol w:w="826"/>
        <w:gridCol w:w="146"/>
        <w:gridCol w:w="146"/>
        <w:gridCol w:w="174"/>
        <w:gridCol w:w="718"/>
        <w:gridCol w:w="706"/>
      </w:tblGrid>
      <w:tr>
        <w:trPr/>
        <w:tc>
          <w:tcPr>
            <w:tcW w:w="21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Percent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4"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AFS investment securities</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2,637,390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2,425,399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70.14</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26.66</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0.60</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Collateralized loan obligations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securities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Unallocated portfolio layer fair value basis</w:t>
              <w:br/>
              <w:t xml:space="preserve">  adjustments </w:t>
            </w:r>
            <w:r>
              <w:rPr>
                <w:rFonts w:ascii="Times New Roman" w:hAnsi="Times New Roman"/>
                <w:color w:val="000000"/>
                <w:sz w:val="12"/>
              </w:rPr>
              <w:t>(1)</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AFS investment securities</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3,777,744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3,457,764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HTM investment securities</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22.10</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24.06</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33.18</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Other securities </w:t>
            </w:r>
            <w:r>
              <w:rPr>
                <w:rFonts w:ascii="Times New Roman" w:hAnsi="Times New Roman"/>
                <w:color w:val="000000"/>
                <w:sz w:val="12"/>
              </w:rPr>
              <w:t>(2)</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0.85</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HTM investment securities</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(352,545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1,867,394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65"/>
        <w:gridCol w:w="217"/>
        <w:gridCol w:w="918"/>
        <w:gridCol w:w="166"/>
        <w:gridCol w:w="146"/>
        <w:gridCol w:w="376"/>
        <w:gridCol w:w="1161"/>
        <w:gridCol w:w="146"/>
        <w:gridCol w:w="146"/>
        <w:gridCol w:w="318"/>
        <w:gridCol w:w="1222"/>
        <w:gridCol w:w="166"/>
        <w:gridCol w:w="146"/>
        <w:gridCol w:w="196"/>
        <w:gridCol w:w="826"/>
        <w:gridCol w:w="146"/>
        <w:gridCol w:w="146"/>
        <w:gridCol w:w="174"/>
        <w:gridCol w:w="718"/>
        <w:gridCol w:w="706"/>
      </w:tblGrid>
      <w:tr>
        <w:trPr/>
        <w:tc>
          <w:tcPr>
            <w:tcW w:w="21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Percent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4"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AFS investment securities</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2,089,155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70.35</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25.91</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0.79</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Collateralized loan obligations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securities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Unallocated portfolio layer fair value basis</w:t>
              <w:br/>
              <w:t xml:space="preserve">  adjustments </w:t>
            </w:r>
            <w:r>
              <w:rPr>
                <w:rFonts w:ascii="Times New Roman" w:hAnsi="Times New Roman"/>
                <w:color w:val="000000"/>
                <w:sz w:val="12"/>
              </w:rPr>
              <w:t>(1)</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AFS investment securities</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2,982,228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(312,365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2,683,070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HTM investment securities</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21.96</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33.10</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19.59</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Other securities </w:t>
            </w:r>
            <w:r>
              <w:rPr>
                <w:rFonts w:ascii="Times New Roman" w:hAnsi="Times New Roman"/>
                <w:color w:val="000000"/>
                <w:sz w:val="12"/>
              </w:rPr>
              <w:t>(2)</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0.78</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HTM investment securities</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Represents the amount of portfolio layer method basis adjustments related to AFS mortgage-backed securities (“MBS”) securities hedged in a closed portfolio. Under GAAP, these basis adjustments are not allocated to individual securities, however the amounts impact the unrealized gains or losses of the hedged AFS securities. Refer to Note 11 for additional information.</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Represents Commercial Property Assessed Clean Energy (“C-PACE”) bonds.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about the amount of interest income earned on investment securities which is fully taxable, and interest income on investment securities which is exempt from regular federal income tax.</w:t>
      </w:r>
    </w:p>
    <w:p>
      <w:pPr>
        <w:pStyle w:val="TextBody"/>
        <w:bidi w:val="0"/>
        <w:jc w:val="left"/>
        <w:rPr/>
      </w:pPr>
      <w:r>
        <w:rPr/>
        <w:t> </w:t>
      </w:r>
    </w:p>
    <w:tbl>
      <w:tblPr>
        <w:tblW w:w="9001" w:type="dxa"/>
        <w:jc w:val="left"/>
        <w:tblInd w:w="0" w:type="dxa"/>
        <w:tblLayout w:type="fixed"/>
        <w:tblCellMar>
          <w:top w:w="28" w:type="dxa"/>
          <w:left w:w="28" w:type="dxa"/>
          <w:bottom w:w="28" w:type="dxa"/>
          <w:right w:w="28" w:type="dxa"/>
        </w:tblCellMar>
      </w:tblPr>
      <w:tblGrid>
        <w:gridCol w:w="4246"/>
        <w:gridCol w:w="196"/>
        <w:gridCol w:w="601"/>
        <w:gridCol w:w="146"/>
        <w:gridCol w:w="146"/>
        <w:gridCol w:w="196"/>
        <w:gridCol w:w="601"/>
        <w:gridCol w:w="146"/>
        <w:gridCol w:w="146"/>
        <w:gridCol w:w="196"/>
        <w:gridCol w:w="601"/>
        <w:gridCol w:w="146"/>
        <w:gridCol w:w="146"/>
        <w:gridCol w:w="196"/>
        <w:gridCol w:w="601"/>
        <w:gridCol w:w="691"/>
      </w:tblGrid>
      <w:tr>
        <w:trPr/>
        <w:tc>
          <w:tcPr>
            <w:tcW w:w="4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AFS investment securities</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36,744</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Tax-advantaged</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interest income from AFS investment securities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37,033</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HTM investment securities</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21,196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Tax-advantaged</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4,711</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interest income from HTM investment securities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interest income from investment securities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62,940</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Company’s AFS and HTM investment securities, by investment category, in an unrealized loss position for which an allowance for credit losses has not been recorded as of June 30, 2026 and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8"/>
        <w:gridCol w:w="196"/>
        <w:gridCol w:w="693"/>
        <w:gridCol w:w="146"/>
        <w:gridCol w:w="146"/>
        <w:gridCol w:w="281"/>
        <w:gridCol w:w="825"/>
        <w:gridCol w:w="166"/>
        <w:gridCol w:w="146"/>
        <w:gridCol w:w="196"/>
        <w:gridCol w:w="826"/>
        <w:gridCol w:w="146"/>
        <w:gridCol w:w="146"/>
        <w:gridCol w:w="232"/>
        <w:gridCol w:w="889"/>
        <w:gridCol w:w="166"/>
        <w:gridCol w:w="146"/>
        <w:gridCol w:w="196"/>
        <w:gridCol w:w="826"/>
        <w:gridCol w:w="146"/>
        <w:gridCol w:w="146"/>
        <w:gridCol w:w="232"/>
        <w:gridCol w:w="889"/>
        <w:gridCol w:w="716"/>
      </w:tblGrid>
      <w:tr>
        <w:trPr/>
        <w:tc>
          <w:tcPr>
            <w:tcW w:w="17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 Months or Longer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Losses</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AFS investment securities</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1,935,530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(213,835</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(111,171</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AFS investment securities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767,815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1,810,006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2,577,821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(325,740</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HTM investment securities</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(84,755</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(86,197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(155,100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313,870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327,526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(26,493</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HTM investment securities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1,731,555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1,761,521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(352,545</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5"/>
        <w:gridCol w:w="199"/>
        <w:gridCol w:w="611"/>
        <w:gridCol w:w="146"/>
        <w:gridCol w:w="146"/>
        <w:gridCol w:w="348"/>
        <w:gridCol w:w="779"/>
        <w:gridCol w:w="166"/>
        <w:gridCol w:w="146"/>
        <w:gridCol w:w="196"/>
        <w:gridCol w:w="826"/>
        <w:gridCol w:w="146"/>
        <w:gridCol w:w="146"/>
        <w:gridCol w:w="236"/>
        <w:gridCol w:w="905"/>
        <w:gridCol w:w="166"/>
        <w:gridCol w:w="146"/>
        <w:gridCol w:w="196"/>
        <w:gridCol w:w="826"/>
        <w:gridCol w:w="146"/>
        <w:gridCol w:w="146"/>
        <w:gridCol w:w="236"/>
        <w:gridCol w:w="905"/>
        <w:gridCol w:w="717"/>
      </w:tblGrid>
      <w:tr>
        <w:trPr/>
        <w:tc>
          <w:tcPr>
            <w:tcW w:w="17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 Months or Longer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Unrealized Holding Losses</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AFS investment securities</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1,586,803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(203,700</w:t>
            </w:r>
          </w:p>
        </w:tc>
        <w:tc>
          <w:tcPr>
            <w:tcW w:w="7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(108,060</w:t>
            </w:r>
          </w:p>
        </w:tc>
        <w:tc>
          <w:tcPr>
            <w:tcW w:w="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172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AFS investment securities</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1,949,268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1,987,766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(312,365</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HTM investment securities</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agency/GSE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(82,741</w:t>
            </w:r>
          </w:p>
        </w:tc>
        <w:tc>
          <w:tcPr>
            <w:tcW w:w="7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Mortgage-backed securities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(84,512</w:t>
            </w:r>
          </w:p>
        </w:tc>
        <w:tc>
          <w:tcPr>
            <w:tcW w:w="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CMO/REMIC</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(152,417</w:t>
            </w:r>
          </w:p>
        </w:tc>
        <w:tc>
          <w:tcPr>
            <w:tcW w:w="7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Municipal bonds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321,723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325,413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(26,826</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172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HTM investment securities</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1,791,972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1,795,662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(346,496</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allowance for credit losses on investment securities is evaluated for both the AFS and HTM classifications of the investment portfolio in accordance with ASC 326. The Company reviews investment securities in an unrealized loss position to determine whether the decline in fair value a is attributable to credit-related factors or non-credit-related factors, such as changes in interest rates and general market conditions, changes in issuer credit ratings. Unrealized losses on AFS securities attributable to non-credit-related factors are not recorded through an ACL. Such declines are recorded in accumulated other comprehensive income, net. If the Company intends to sell an AFS security, or if it is more likely than not that the Company will be required to sell the security before recovery of its amortized cost basis, the amortized cost basis of the security is written down to fair value through earnings. Management determined that no credit losses exist for securities in an unrealized loss position as of June 30, 2026 and December 31, 2025. Accordingly, no allowance for credit losses was recorded on the Company's investment securities portfolio.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investment securities with carrying values of $2.74 billion were pledged to secure various types of deposits, including $1.03 billion of public funds. In addition, investment securities with carrying values of $2.36 billion were pledged to secure $708.5 million for repurchase agreements, $1.58 billion for unused borrowing capacity, and approximately $71.7 million for other purposes as required or permitted by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December 31, 2025, investment securities with carrying values of $2.74 billion were pledged to secure various types of deposits, including $942.0 million of public funds. In addition, investment securities with carrying values of $2.0 billion were pledged to secure $548.6 million for repurchase agreements, $1.35 billion for unused borrowing capacity, and approximately $57.0 million for other purposes as required or permitted by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amortized cost and fair value of debt securities at June 30, 2026, by contractual maturity, are shown in the following table. Although mortgage-backed securities and CMO/REMIC securities have weighted average remaining contractual maturities of approximately 25 years, expected maturities will differ from contractual maturities because borrowers may have the right to prepay such obligations without penalty. Mortgage-backed securities and CMO/REMIC securities are included in maturity categories based upon estimated average lives which incorporate estimated prepayment speeds.</w:t>
      </w:r>
    </w:p>
    <w:p>
      <w:pPr>
        <w:pStyle w:val="TextBody"/>
        <w:bidi w:val="0"/>
        <w:jc w:val="left"/>
        <w:rPr/>
      </w:pPr>
      <w:r>
        <w:rPr/>
        <w:t> </w:t>
      </w:r>
    </w:p>
    <w:tbl>
      <w:tblPr>
        <w:tblW w:w="8547" w:type="dxa"/>
        <w:jc w:val="left"/>
        <w:tblInd w:w="0" w:type="dxa"/>
        <w:tblLayout w:type="fixed"/>
        <w:tblCellMar>
          <w:top w:w="28" w:type="dxa"/>
          <w:left w:w="28" w:type="dxa"/>
          <w:bottom w:w="28" w:type="dxa"/>
          <w:right w:w="28" w:type="dxa"/>
        </w:tblCellMar>
      </w:tblPr>
      <w:tblGrid>
        <w:gridCol w:w="2746"/>
        <w:gridCol w:w="238"/>
        <w:gridCol w:w="1007"/>
        <w:gridCol w:w="146"/>
        <w:gridCol w:w="146"/>
        <w:gridCol w:w="196"/>
        <w:gridCol w:w="826"/>
        <w:gridCol w:w="146"/>
        <w:gridCol w:w="146"/>
        <w:gridCol w:w="238"/>
        <w:gridCol w:w="1007"/>
        <w:gridCol w:w="146"/>
        <w:gridCol w:w="146"/>
        <w:gridCol w:w="196"/>
        <w:gridCol w:w="826"/>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Held-to-maturity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in one year or less</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after one year through five years</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after five years through ten years</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286,347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after ten years</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3,671,300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3,349,081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1,755,568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1,454,383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investment securities</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3,777,744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3,457,764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2,218,529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1,867,394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Investment in Federal Home Loan Bank and Federal Reserve Bank of San Francisco Stock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Bank is a member of the Federal Home Loan Bank (“FHLB”), and members are required to own a certain amount of FHLB stock based on the level of borrowings and other factors. The Bank is also a member of the Federal Reserve Bank of San Francisco (“FRB”) System and is required to subscribe a certain amount of FRB stock based on the Bank's capital and surplus. The investments in FHLB and FRB stock are carried at cost and are periodically evaluated for impairment based on, among other things, the capital adequacy and overall financial condition of the FHLB and FRB. No impairment losses were recorded as of June 30,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LOANS AND LEASE FINANCE RECEIVABLES AND ALLOWANCE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a summary of total loans and lease finance receivables by type.</w:t>
      </w:r>
    </w:p>
    <w:p>
      <w:pPr>
        <w:pStyle w:val="TextBody"/>
        <w:bidi w:val="0"/>
        <w:jc w:val="left"/>
        <w:rPr/>
      </w:pPr>
      <w:r>
        <w:rPr/>
        <w:t> </w:t>
      </w:r>
    </w:p>
    <w:tbl>
      <w:tblPr>
        <w:tblW w:w="7354" w:type="dxa"/>
        <w:jc w:val="left"/>
        <w:tblInd w:w="0" w:type="dxa"/>
        <w:tblLayout w:type="fixed"/>
        <w:tblCellMar>
          <w:top w:w="28" w:type="dxa"/>
          <w:left w:w="28" w:type="dxa"/>
          <w:bottom w:w="28" w:type="dxa"/>
          <w:right w:w="28" w:type="dxa"/>
        </w:tblCellMar>
      </w:tblPr>
      <w:tblGrid>
        <w:gridCol w:w="3731"/>
        <w:gridCol w:w="203"/>
        <w:gridCol w:w="952"/>
        <w:gridCol w:w="166"/>
        <w:gridCol w:w="146"/>
        <w:gridCol w:w="296"/>
        <w:gridCol w:w="1249"/>
        <w:gridCol w:w="611"/>
      </w:tblGrid>
      <w:tr>
        <w:trPr/>
        <w:tc>
          <w:tcPr>
            <w:tcW w:w="37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8,983,934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6,574,395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SBA</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282,401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1,478,884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973,631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Dairy &amp; livestock and agribusiness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431,577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Municipal lease finance receivables</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SFR mortgage</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281,766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and other loans</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loans, at amortized cost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12,017,055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8,699,193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Allowance for credit losses</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Total loans and lease finance receivables, net</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11,890,394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8,622,032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77.6% of the Company’s total loan portfolio consisted of real estate loans, with commercial real estate loans representing 74.8% of total loans. The Company’s real estate loans and construction loans are secured by real properties primarily located in California. As of June 30, 2026, $418.3 million, or 4.7% of the total commercial real estate loans included loans secured by farmland, compared to $424.5 million, or 6.46%, at December 31, 2025. The loans secured by farmland included $124.4 million for loans secured by dairy &amp; livestock land and $293.8 million for loans secured by agricultural land at June 30, 2026, compared to $119.0 million for loans secured by dairy &amp; livestock land and $305.5 million for loans secured by agricultural land at December 31, 2025. As of June 30, 2026, dairy &amp; livestock and agribusiness loans of $281.0 million were comprised of $239.1 million of dairy &amp; livestock loans and $41.9 million of agribusiness loans, compared to $431.6 million comprised of $386.1 million of dairy &amp; livestock loans and $45.5 million of agribusiness loans at December 31, 2025.</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acquisition of Heritage, the Company’s factoring receivables are from the operations of BVF, the Bank's subsidiary, whose primary business is purchasing and collecting factored receivables on a nation-wide basis. Factored receivables are receivables that have been transferred by the originating organization and typically have not been subject to previous collection efforts. These receivables are acquired from a variety of companies, including but not limited to service providers, transportation companies, manufacturers, distributors, wholesalers, apparel companies, advertisers, and temporary staffing companies. As of June 30, 2026, the portfolio of factored receivables totaled $106.8 million and is included in the Company’s commercial loan portfolio.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and December 31, 2025, loans totaling $7.56 billion and $6.47 billion, respectively, were pledged to secure available lines of credit from the FHLB and the Federal Reserve Bank.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outstanding loans held-for-sale as of June 30, 2026 and December 31,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Credit Quality Indicators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pStyle w:val="TextBody"/>
        <w:bidi w:val="0"/>
        <w:jc w:val="both"/>
        <w:rPr>
          <w:rFonts w:ascii="Times New Roman" w:hAnsi="Times New Roman"/>
          <w:color w:val="000000"/>
          <w:sz w:val="20"/>
        </w:rPr>
      </w:pPr>
      <w:r>
        <w:rPr>
          <w:rFonts w:ascii="Times New Roman" w:hAnsi="Times New Roman"/>
          <w:color w:val="000000"/>
          <w:sz w:val="20"/>
        </w:rPr>
        <w:t xml:space="preserve">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 </w:t>
      </w:r>
    </w:p>
    <w:p>
      <w:pPr>
        <w:pStyle w:val="TextBody"/>
        <w:bidi w:val="0"/>
        <w:jc w:val="both"/>
        <w:rPr>
          <w:rFonts w:ascii="Times New Roman" w:hAnsi="Times New Roman"/>
          <w:color w:val="000000"/>
          <w:sz w:val="20"/>
        </w:rPr>
      </w:pPr>
      <w:r>
        <w:rPr>
          <w:rFonts w:ascii="Times New Roman" w:hAnsi="Times New Roman"/>
          <w:color w:val="000000"/>
          <w:sz w:val="20"/>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pStyle w:val="TextBody"/>
        <w:bidi w:val="0"/>
        <w:jc w:val="both"/>
        <w:rPr>
          <w:rFonts w:ascii="Times New Roman" w:hAnsi="Times New Roman"/>
          <w:color w:val="000000"/>
          <w:sz w:val="20"/>
        </w:rPr>
      </w:pPr>
      <w:r>
        <w:rPr>
          <w:rFonts w:ascii="Times New Roman" w:hAnsi="Times New Roman"/>
          <w:color w:val="000000"/>
          <w:sz w:val="20"/>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pStyle w:val="TextBody"/>
        <w:bidi w:val="0"/>
        <w:jc w:val="both"/>
        <w:rPr>
          <w:rFonts w:ascii="Times New Roman" w:hAnsi="Times New Roman"/>
          <w:color w:val="000000"/>
          <w:sz w:val="20"/>
        </w:rPr>
      </w:pPr>
      <w:r>
        <w:rPr>
          <w:rFonts w:ascii="Times New Roman" w:hAnsi="Times New Roman"/>
          <w:color w:val="000000"/>
          <w:sz w:val="20"/>
        </w:rPr>
        <w:t xml:space="preserve">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 </w:t>
      </w:r>
    </w:p>
    <w:p>
      <w:pPr>
        <w:pStyle w:val="TextBody"/>
        <w:bidi w:val="0"/>
        <w:jc w:val="both"/>
        <w:rPr>
          <w:rFonts w:ascii="Times New Roman" w:hAnsi="Times New Roman"/>
          <w:color w:val="000000"/>
          <w:sz w:val="20"/>
        </w:rPr>
      </w:pPr>
      <w:r>
        <w:rPr>
          <w:rFonts w:ascii="Times New Roman" w:hAnsi="Times New Roman"/>
          <w:color w:val="000000"/>
          <w:sz w:val="20"/>
        </w:rPr>
        <w:t xml:space="preserve">Substandard — Loans classified as substandard are inadequately protected by the current financial strength and paying capacity of the obligor or by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 </w:t>
      </w:r>
    </w:p>
    <w:p>
      <w:pPr>
        <w:pStyle w:val="TextBody"/>
        <w:bidi w:val="0"/>
        <w:jc w:val="both"/>
        <w:rPr>
          <w:rFonts w:ascii="Times New Roman" w:hAnsi="Times New Roman"/>
          <w:color w:val="000000"/>
          <w:sz w:val="20"/>
        </w:rPr>
      </w:pPr>
      <w:r>
        <w:rPr>
          <w:rFonts w:ascii="Times New Roman" w:hAnsi="Times New Roman"/>
          <w:color w:val="000000"/>
          <w:sz w:val="20"/>
        </w:rPr>
        <w:t xml:space="preserve">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 </w:t>
      </w:r>
    </w:p>
    <w:p>
      <w:pPr>
        <w:pStyle w:val="TextBody"/>
        <w:bidi w:val="0"/>
        <w:jc w:val="both"/>
        <w:rPr>
          <w:rFonts w:ascii="Times New Roman" w:hAnsi="Times New Roman"/>
          <w:color w:val="000000"/>
          <w:sz w:val="20"/>
        </w:rPr>
      </w:pPr>
      <w:r>
        <w:rPr>
          <w:rFonts w:ascii="Times New Roman" w:hAnsi="Times New Roman"/>
          <w:color w:val="000000"/>
          <w:sz w:val="20"/>
        </w:rPr>
        <w:t xml:space="preserve">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summarize loans by type and origination year, according to our internal risk ratings as of the dates presented.</w:t>
      </w:r>
    </w:p>
    <w:p>
      <w:pPr>
        <w:pStyle w:val="TextBody"/>
        <w:bidi w:val="0"/>
        <w:jc w:val="left"/>
        <w:rPr/>
      </w:pPr>
      <w:r>
        <w:rPr/>
        <w:t> </w:t>
      </w:r>
    </w:p>
    <w:tbl>
      <w:tblPr>
        <w:tblW w:w="10940" w:type="dxa"/>
        <w:jc w:val="left"/>
        <w:tblInd w:w="0" w:type="dxa"/>
        <w:tblLayout w:type="fixed"/>
        <w:tblCellMar>
          <w:top w:w="28" w:type="dxa"/>
          <w:left w:w="28" w:type="dxa"/>
          <w:bottom w:w="28" w:type="dxa"/>
          <w:right w:w="28" w:type="dxa"/>
        </w:tblCellMar>
      </w:tblPr>
      <w:tblGrid>
        <w:gridCol w:w="1041"/>
        <w:gridCol w:w="181"/>
        <w:gridCol w:w="586"/>
        <w:gridCol w:w="146"/>
        <w:gridCol w:w="146"/>
        <w:gridCol w:w="181"/>
        <w:gridCol w:w="586"/>
        <w:gridCol w:w="146"/>
        <w:gridCol w:w="146"/>
        <w:gridCol w:w="181"/>
        <w:gridCol w:w="586"/>
        <w:gridCol w:w="146"/>
        <w:gridCol w:w="146"/>
        <w:gridCol w:w="181"/>
        <w:gridCol w:w="586"/>
        <w:gridCol w:w="146"/>
        <w:gridCol w:w="146"/>
        <w:gridCol w:w="181"/>
        <w:gridCol w:w="691"/>
        <w:gridCol w:w="146"/>
        <w:gridCol w:w="146"/>
        <w:gridCol w:w="181"/>
        <w:gridCol w:w="691"/>
        <w:gridCol w:w="146"/>
        <w:gridCol w:w="146"/>
        <w:gridCol w:w="181"/>
        <w:gridCol w:w="586"/>
        <w:gridCol w:w="146"/>
        <w:gridCol w:w="146"/>
        <w:gridCol w:w="188"/>
        <w:gridCol w:w="533"/>
        <w:gridCol w:w="146"/>
        <w:gridCol w:w="146"/>
        <w:gridCol w:w="181"/>
        <w:gridCol w:w="691"/>
        <w:gridCol w:w="391"/>
      </w:tblGrid>
      <w:tr>
        <w:trPr/>
        <w:tc>
          <w:tcPr>
            <w:tcW w:w="10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Origination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converted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June 30, 2026</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term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8"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Commercial real estate</w:t>
              <w:br/>
              <w:t>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874,826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4,381,752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8,615,338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317,522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51,074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Commercial real</w:t>
              <w:br/>
              <w:t>   estate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643,906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882,145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438,964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628,047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1,443,009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4,568,850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8,983,934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Construction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204,095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Construction</w:t>
              <w:br/>
              <w:t>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209,993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SBA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421,651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SBA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441,572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Commercial and</w:t>
              <w:br/>
              <w:t>   industrial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657,161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1,400,520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Commercial and</w:t>
              <w:br/>
              <w:t>   industrial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179,522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81,911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692,769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1,478,884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1225" w:type="dxa"/>
        <w:jc w:val="left"/>
        <w:tblInd w:w="0" w:type="dxa"/>
        <w:tblLayout w:type="fixed"/>
        <w:tblCellMar>
          <w:top w:w="28" w:type="dxa"/>
          <w:left w:w="28" w:type="dxa"/>
          <w:bottom w:w="28" w:type="dxa"/>
          <w:right w:w="28" w:type="dxa"/>
        </w:tblCellMar>
      </w:tblPr>
      <w:tblGrid>
        <w:gridCol w:w="1041"/>
        <w:gridCol w:w="181"/>
        <w:gridCol w:w="586"/>
        <w:gridCol w:w="146"/>
        <w:gridCol w:w="146"/>
        <w:gridCol w:w="181"/>
        <w:gridCol w:w="691"/>
        <w:gridCol w:w="146"/>
        <w:gridCol w:w="146"/>
        <w:gridCol w:w="181"/>
        <w:gridCol w:w="586"/>
        <w:gridCol w:w="146"/>
        <w:gridCol w:w="146"/>
        <w:gridCol w:w="181"/>
        <w:gridCol w:w="586"/>
        <w:gridCol w:w="146"/>
        <w:gridCol w:w="146"/>
        <w:gridCol w:w="181"/>
        <w:gridCol w:w="691"/>
        <w:gridCol w:w="146"/>
        <w:gridCol w:w="146"/>
        <w:gridCol w:w="181"/>
        <w:gridCol w:w="691"/>
        <w:gridCol w:w="146"/>
        <w:gridCol w:w="146"/>
        <w:gridCol w:w="181"/>
        <w:gridCol w:w="691"/>
        <w:gridCol w:w="146"/>
        <w:gridCol w:w="146"/>
        <w:gridCol w:w="188"/>
        <w:gridCol w:w="533"/>
        <w:gridCol w:w="146"/>
        <w:gridCol w:w="146"/>
        <w:gridCol w:w="181"/>
        <w:gridCol w:w="766"/>
        <w:gridCol w:w="391"/>
      </w:tblGrid>
      <w:tr>
        <w:trPr/>
        <w:tc>
          <w:tcPr>
            <w:tcW w:w="10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Origination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converted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June 30, 2026</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term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3"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Dairy &amp; livestock and</w:t>
              <w:br/>
              <w:t>   agribusiness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262,032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Dairy &amp; livestock</w:t>
              <w:br/>
              <w:t>   and agribusiness</w:t>
              <w:br/>
              <w:t>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279,186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280,994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Municipal lease finance</w:t>
              <w:br/>
              <w:t>   receivables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Municipal lease</w:t>
              <w:br/>
              <w:t>   finance receivables</w:t>
              <w:br/>
              <w:t>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SFR mortgage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339,964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SFR mortgage</w:t>
              <w:br/>
              <w:t>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183,915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341,340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Consumer and other</w:t>
              <w:br/>
              <w:t>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219,694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Consumer and</w:t>
              <w:br/>
              <w:t>   other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197,242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Loans, at amortized cost:</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924,924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1,240,272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713,859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1,559,832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4,991,998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1,426,704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11,519,380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387,958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109,717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Loans at amortized cost: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932,138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757,613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1,649,955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5,209,395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1,503,765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79,332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12,017,055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Total gross charge-offs</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1045" w:type="dxa"/>
        <w:jc w:val="left"/>
        <w:tblInd w:w="0" w:type="dxa"/>
        <w:tblLayout w:type="fixed"/>
        <w:tblCellMar>
          <w:top w:w="28" w:type="dxa"/>
          <w:left w:w="28" w:type="dxa"/>
          <w:bottom w:w="28" w:type="dxa"/>
          <w:right w:w="28" w:type="dxa"/>
        </w:tblCellMar>
      </w:tblPr>
      <w:tblGrid>
        <w:gridCol w:w="1041"/>
        <w:gridCol w:w="181"/>
        <w:gridCol w:w="586"/>
        <w:gridCol w:w="146"/>
        <w:gridCol w:w="146"/>
        <w:gridCol w:w="181"/>
        <w:gridCol w:w="586"/>
        <w:gridCol w:w="146"/>
        <w:gridCol w:w="146"/>
        <w:gridCol w:w="181"/>
        <w:gridCol w:w="586"/>
        <w:gridCol w:w="146"/>
        <w:gridCol w:w="146"/>
        <w:gridCol w:w="181"/>
        <w:gridCol w:w="691"/>
        <w:gridCol w:w="146"/>
        <w:gridCol w:w="146"/>
        <w:gridCol w:w="181"/>
        <w:gridCol w:w="691"/>
        <w:gridCol w:w="146"/>
        <w:gridCol w:w="146"/>
        <w:gridCol w:w="181"/>
        <w:gridCol w:w="691"/>
        <w:gridCol w:w="146"/>
        <w:gridCol w:w="146"/>
        <w:gridCol w:w="181"/>
        <w:gridCol w:w="586"/>
        <w:gridCol w:w="146"/>
        <w:gridCol w:w="146"/>
        <w:gridCol w:w="188"/>
        <w:gridCol w:w="533"/>
        <w:gridCol w:w="146"/>
        <w:gridCol w:w="146"/>
        <w:gridCol w:w="181"/>
        <w:gridCol w:w="691"/>
        <w:gridCol w:w="391"/>
      </w:tblGrid>
      <w:tr>
        <w:trPr/>
        <w:tc>
          <w:tcPr>
            <w:tcW w:w="10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Origination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converted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December 31, 2025</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term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3"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Commercial real estate</w:t>
              <w:br/>
              <w:t>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1,143,941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2,631,270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6,303,320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243,809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Commercial real</w:t>
              <w:br/>
              <w:t>   estate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600,697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390,409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1,197,153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1,002,050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2,762,851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260,676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6,574,395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Construction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Construction</w:t>
              <w:br/>
              <w:t>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SBA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276,367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SBA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104,685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282,401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Commercial and</w:t>
              <w:br/>
              <w:t>   industrial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930,014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Commercial and</w:t>
              <w:br/>
              <w:t>   industrial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136,920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73,931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88,538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380,619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973,631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1150" w:type="dxa"/>
        <w:jc w:val="left"/>
        <w:tblInd w:w="0" w:type="dxa"/>
        <w:tblLayout w:type="fixed"/>
        <w:tblCellMar>
          <w:top w:w="28" w:type="dxa"/>
          <w:left w:w="28" w:type="dxa"/>
          <w:bottom w:w="28" w:type="dxa"/>
          <w:right w:w="28" w:type="dxa"/>
        </w:tblCellMar>
      </w:tblPr>
      <w:tblGrid>
        <w:gridCol w:w="1041"/>
        <w:gridCol w:w="181"/>
        <w:gridCol w:w="586"/>
        <w:gridCol w:w="146"/>
        <w:gridCol w:w="146"/>
        <w:gridCol w:w="181"/>
        <w:gridCol w:w="586"/>
        <w:gridCol w:w="146"/>
        <w:gridCol w:w="146"/>
        <w:gridCol w:w="181"/>
        <w:gridCol w:w="586"/>
        <w:gridCol w:w="146"/>
        <w:gridCol w:w="146"/>
        <w:gridCol w:w="181"/>
        <w:gridCol w:w="691"/>
        <w:gridCol w:w="146"/>
        <w:gridCol w:w="146"/>
        <w:gridCol w:w="181"/>
        <w:gridCol w:w="691"/>
        <w:gridCol w:w="146"/>
        <w:gridCol w:w="146"/>
        <w:gridCol w:w="181"/>
        <w:gridCol w:w="691"/>
        <w:gridCol w:w="146"/>
        <w:gridCol w:w="146"/>
        <w:gridCol w:w="181"/>
        <w:gridCol w:w="691"/>
        <w:gridCol w:w="146"/>
        <w:gridCol w:w="146"/>
        <w:gridCol w:w="188"/>
        <w:gridCol w:w="533"/>
        <w:gridCol w:w="146"/>
        <w:gridCol w:w="146"/>
        <w:gridCol w:w="181"/>
        <w:gridCol w:w="691"/>
        <w:gridCol w:w="391"/>
      </w:tblGrid>
      <w:tr>
        <w:trPr/>
        <w:tc>
          <w:tcPr>
            <w:tcW w:w="10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Origination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 loans converted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December 31, 2025</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term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8"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Dairy &amp; livestock and</w:t>
              <w:br/>
              <w:t>   agribusiness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412,834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Dairy &amp; livestock</w:t>
              <w:br/>
              <w:t>   and agribusiness</w:t>
              <w:br/>
              <w:t>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429,732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431,577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Municipal lease finance</w:t>
              <w:br/>
              <w:t>   receivables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Municipal lease</w:t>
              <w:br/>
              <w:t>   finance receivables</w:t>
              <w:br/>
              <w:t>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SFR mortgage loans: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280,841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SFR mortgage</w:t>
              <w:br/>
              <w:t>   loans: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57,988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281,766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Consumer and other</w:t>
              <w:br/>
              <w:t>   loans:</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Consumer and</w:t>
              <w:br/>
              <w:t>   other loans: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58,069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Loans, at amortized cost:</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Risk Rating:</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834,194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440,059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494,857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1,334,967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3,018,977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1,064,777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8,358,093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Special Mention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288,399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Substandard</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Loans at amortized cost: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842,237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509,582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1,394,854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1,162,486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3,158,717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1,114,278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8,699,193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YTD Period:</w:t>
              <w:br/>
              <w:t>  Gross charge-offs</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Allowance for Credit Losses (“ACL”)</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Company's allowance models calculate reserves over the average life of the loan, which includes the remaining time to maturity, adjusted for estimated prepayments applied as an adjustment to our commercial real estate and commercial and industrial loans. 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A majority of the ACL relates to loans within the Commercial Real Estate and Commercial and Industrial methodologies, each evaluated on a collective basis. Our ACL amounts are largely driven by portfolio characteristics, including loss history, internal risk grading, various risk attributes, and the economic outlook for certain macroeconomic variables. Risk attributes for commercial real estate loans include original loan to value ratios, origination year, loan seasoning, and macroeconomic variables 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The Company’s ACL estimate incorporates a reasonable and supportable forecast of various macroeconomic variables over the remaining average life of our loans. This forecast incorporates an assumption that each macroeconomic variable will revert to a long-term expectation, starting in years two through three, of the reasonable and supportable forecast period, with the reversion largely completed within the first five years of the forecast. The economic forecast is based on probability weighted scenarios to address macroeconomic uncertainty. Our methodology for assessing the appropriateness of the allowance is reviewed on a regular basis and considers overall risks in the Bank’s loan portfolio. Refer to Note 3 – </w:t>
      </w:r>
      <w:r>
        <w:rPr>
          <w:rFonts w:ascii="Times New Roman" w:hAnsi="Times New Roman"/>
          <w:i/>
          <w:color w:val="000000"/>
          <w:sz w:val="20"/>
        </w:rPr>
        <w:t>Summary of significant Accounting Policies</w:t>
      </w:r>
      <w:r>
        <w:rPr>
          <w:rFonts w:ascii="Times New Roman" w:hAnsi="Times New Roman"/>
          <w:color w:val="000000"/>
          <w:sz w:val="20"/>
        </w:rPr>
        <w:t xml:space="preserve"> included in the 2025 Form 10-K for a more detailed discussion concerning the allowance for credit losses.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ACL totaled $126.7 million at June 30, 2026, compared to $77.2 million at December 31, 2025. The $49.5 million increase in the ACL from December 31, 2025 to June 30, 2026 was primarily driven by the ACL recorded for loans acquired in the Heritage acquisition. At June 30, 2026, the ACL as a percentage of total loans and leases, at amortized cost, was 1.05%, compared to 0.89% at December 31, 2025. Our economic forecast continues to be a blend of multiple forecasts produced by Moody’s. These U.S. economic forecasts include a baseline forecast as well as multiple forecasts weighted for both upside and downside risks to the baseline forecast. The baseline forecast continues to represent the largest weighting in our multi-weighted forecast scenario, with upside and downside risks weighted among multiple forecasts. As of June 30, 2026, the resulting weighted forecast reflects Real GDP growth declining throughout 2026 and staying below 2% through 2027. The unemployment rate is forecasted to increase, with unemployment rate reaching 5% by the beginning of 2027 and remaining above 5% through 2028. Commercial real estate values are forecasted to continue their decline through the end of 2027, before experiencing growth in 2028.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believes that the ACL was appropriate at June 30, 2026 and December 31, 2025. Due to inflationary pressures, changing interest rates, lower commercial real estate values, international tariffs, and geopolitical events, no assurance can be given that economic conditions that adversely affect the Company’s service areas or other circumstances will not be reflected in increased provisions for credit losses in the future.</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tables present the balance and activity related to the allowance for credit losses for held-for-investment loans by type for the periods presented.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7"/>
        <w:gridCol w:w="279"/>
        <w:gridCol w:w="857"/>
        <w:gridCol w:w="146"/>
        <w:gridCol w:w="146"/>
        <w:gridCol w:w="302"/>
        <w:gridCol w:w="674"/>
        <w:gridCol w:w="166"/>
        <w:gridCol w:w="146"/>
        <w:gridCol w:w="320"/>
        <w:gridCol w:w="566"/>
        <w:gridCol w:w="146"/>
        <w:gridCol w:w="146"/>
        <w:gridCol w:w="362"/>
        <w:gridCol w:w="1113"/>
        <w:gridCol w:w="146"/>
        <w:gridCol w:w="146"/>
        <w:gridCol w:w="409"/>
        <w:gridCol w:w="911"/>
        <w:gridCol w:w="166"/>
        <w:gridCol w:w="146"/>
        <w:gridCol w:w="260"/>
        <w:gridCol w:w="919"/>
        <w:gridCol w:w="396"/>
      </w:tblGrid>
      <w:tr>
        <w:trPr/>
        <w:tc>
          <w:tcPr>
            <w:tcW w:w="13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Recoveries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ACL on PCD &amp; PSL Loans at Acquisition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Provision for (recapture of)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 June 30, 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real estate</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76,065</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and industrial</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36,588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Dairy &amp; livestock and agribusiness</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3,082</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Municipal lease finance </w:t>
              <w:br/>
              <w:t>   receivables</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SFR mortgage</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and other loans</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allowance for credit losses</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126,661</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8"/>
        <w:gridCol w:w="387"/>
        <w:gridCol w:w="1190"/>
        <w:gridCol w:w="146"/>
        <w:gridCol w:w="146"/>
        <w:gridCol w:w="302"/>
        <w:gridCol w:w="674"/>
        <w:gridCol w:w="166"/>
        <w:gridCol w:w="146"/>
        <w:gridCol w:w="303"/>
        <w:gridCol w:w="583"/>
        <w:gridCol w:w="146"/>
        <w:gridCol w:w="146"/>
        <w:gridCol w:w="590"/>
        <w:gridCol w:w="1313"/>
        <w:gridCol w:w="166"/>
        <w:gridCol w:w="146"/>
        <w:gridCol w:w="372"/>
        <w:gridCol w:w="1141"/>
        <w:gridCol w:w="394"/>
      </w:tblGrid>
      <w:tr>
        <w:trPr/>
        <w:tc>
          <w:tcPr>
            <w:tcW w:w="174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Recoveries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Provision for (recapture of)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 June 30,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real estate</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64,542</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and industrial</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Dairy &amp; livestock and agribusiness</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Municipal lease finance </w:t>
              <w:br/>
              <w:t>   receivables</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SFR mortgage</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and other loans</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allowance for credit losses</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78,003</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22"/>
        <w:gridCol w:w="292"/>
        <w:gridCol w:w="899"/>
        <w:gridCol w:w="146"/>
        <w:gridCol w:w="146"/>
        <w:gridCol w:w="302"/>
        <w:gridCol w:w="674"/>
        <w:gridCol w:w="166"/>
        <w:gridCol w:w="146"/>
        <w:gridCol w:w="303"/>
        <w:gridCol w:w="583"/>
        <w:gridCol w:w="146"/>
        <w:gridCol w:w="146"/>
        <w:gridCol w:w="355"/>
        <w:gridCol w:w="1093"/>
        <w:gridCol w:w="146"/>
        <w:gridCol w:w="146"/>
        <w:gridCol w:w="336"/>
        <w:gridCol w:w="984"/>
        <w:gridCol w:w="166"/>
        <w:gridCol w:w="146"/>
        <w:gridCol w:w="257"/>
        <w:gridCol w:w="908"/>
        <w:gridCol w:w="397"/>
      </w:tblGrid>
      <w:tr>
        <w:trPr/>
        <w:tc>
          <w:tcPr>
            <w:tcW w:w="132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Recoveries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ACL on PCD &amp; PSL Loans at Acquisition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Provision for (recapture of)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 June 30, 2026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real estate</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76,065</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3,056</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4,568</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and industrial</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36,588</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Dairy &amp; livestock and agribusiness</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3,082</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Municipal lease finance </w:t>
              <w:br/>
              <w:t>   receivables</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SFR mortgage</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and other loans</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allowance for credit losses</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126,661</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0"/>
        <w:gridCol w:w="405"/>
        <w:gridCol w:w="1244"/>
        <w:gridCol w:w="146"/>
        <w:gridCol w:w="146"/>
        <w:gridCol w:w="302"/>
        <w:gridCol w:w="674"/>
        <w:gridCol w:w="166"/>
        <w:gridCol w:w="146"/>
        <w:gridCol w:w="303"/>
        <w:gridCol w:w="583"/>
        <w:gridCol w:w="146"/>
        <w:gridCol w:w="146"/>
        <w:gridCol w:w="492"/>
        <w:gridCol w:w="1435"/>
        <w:gridCol w:w="166"/>
        <w:gridCol w:w="146"/>
        <w:gridCol w:w="360"/>
        <w:gridCol w:w="1105"/>
        <w:gridCol w:w="394"/>
      </w:tblGrid>
      <w:tr>
        <w:trPr/>
        <w:tc>
          <w:tcPr>
            <w:tcW w:w="17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Recoveries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(Recapture of) Provision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 June 30,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1"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real estate</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64,542</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and industrial</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Dairy &amp; livestock and agribusiness</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Municipal lease finance </w:t>
              <w:br/>
              <w:t>   receivables</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SFR mortgage</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and other loans</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allowance for credit losses</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78,003</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Past Due and Nonperforming Loans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We seek to manage asset quality and control credit risk through diversification of the loan portfolio and the application of policies designed to promote sound underwriting and loan monitoring practices. The Bank’s Credit Management Division is responsible for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 regular and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Times New Roman" w:hAnsi="Times New Roman"/>
          <w:i/>
          <w:color w:val="000000"/>
          <w:sz w:val="20"/>
        </w:rPr>
        <w:t>Summary of Significant Accounting Policies</w:t>
      </w:r>
      <w:r>
        <w:rPr>
          <w:rFonts w:ascii="Times New Roman" w:hAnsi="Times New Roman"/>
          <w:color w:val="000000"/>
          <w:sz w:val="20"/>
        </w:rPr>
        <w:t>, included in the 2025 Form 10-K, for additional discussion concerning the Bank’s policy for past due and nonperforming loans.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recorded investment in, and the aging of, past due loans (including nonaccrual loans), by type of loans as of the dates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0"/>
        <w:gridCol w:w="263"/>
        <w:gridCol w:w="686"/>
        <w:gridCol w:w="146"/>
        <w:gridCol w:w="146"/>
        <w:gridCol w:w="263"/>
        <w:gridCol w:w="686"/>
        <w:gridCol w:w="146"/>
        <w:gridCol w:w="146"/>
        <w:gridCol w:w="272"/>
        <w:gridCol w:w="709"/>
        <w:gridCol w:w="146"/>
        <w:gridCol w:w="146"/>
        <w:gridCol w:w="221"/>
        <w:gridCol w:w="679"/>
        <w:gridCol w:w="146"/>
        <w:gridCol w:w="146"/>
        <w:gridCol w:w="196"/>
        <w:gridCol w:w="916"/>
        <w:gridCol w:w="146"/>
        <w:gridCol w:w="146"/>
        <w:gridCol w:w="281"/>
        <w:gridCol w:w="1317"/>
        <w:gridCol w:w="496"/>
      </w:tblGrid>
      <w:tr>
        <w:trPr/>
        <w:tc>
          <w:tcPr>
            <w:tcW w:w="17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30-59 Days 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60-89 Days 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Greater than 89 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Loans and Financing Receivables</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49"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real estate</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Owner occupied</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2,843,703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2,850,570</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Non-owner occupied</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6,132,564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6,133,364</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 xml:space="preserve">Speculative </w:t>
            </w:r>
            <w:r>
              <w:rPr>
                <w:rFonts w:ascii="Times New Roman" w:hAnsi="Times New Roman"/>
                <w:color w:val="000000"/>
                <w:sz w:val="11"/>
              </w:rPr>
              <w:t>(1)</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117,646</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Non-speculative</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92,347</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SBA</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441,571</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Commercial and industrial</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1,478,885</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Dairy &amp; livestock and agribusiness</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280,994</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Municipal lease finance receivables</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56,086</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SFR mortgage</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341,340</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Consumer and other loans</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224,252</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loans at amortized cost</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12,003,381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12,017,055</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821"/>
        <w:gridCol w:w="276"/>
        <w:gridCol w:w="721"/>
        <w:gridCol w:w="146"/>
        <w:gridCol w:w="146"/>
        <w:gridCol w:w="320"/>
        <w:gridCol w:w="565"/>
        <w:gridCol w:w="146"/>
        <w:gridCol w:w="146"/>
        <w:gridCol w:w="287"/>
        <w:gridCol w:w="748"/>
        <w:gridCol w:w="146"/>
        <w:gridCol w:w="146"/>
        <w:gridCol w:w="238"/>
        <w:gridCol w:w="621"/>
        <w:gridCol w:w="146"/>
        <w:gridCol w:w="146"/>
        <w:gridCol w:w="196"/>
        <w:gridCol w:w="826"/>
        <w:gridCol w:w="146"/>
        <w:gridCol w:w="146"/>
        <w:gridCol w:w="313"/>
        <w:gridCol w:w="1319"/>
        <w:gridCol w:w="494"/>
      </w:tblGrid>
      <w:tr>
        <w:trPr/>
        <w:tc>
          <w:tcPr>
            <w:tcW w:w="18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30-59 Days 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60-89 Days 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Greater than 89 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Loans and Financing Receivables</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0"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real estate</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Owner occupied</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2,330,311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2,333,241</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Non-owner occupied</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4,237,011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4,241,154</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 xml:space="preserve">Speculative </w:t>
            </w:r>
            <w:r>
              <w:rPr>
                <w:rFonts w:ascii="Times New Roman" w:hAnsi="Times New Roman"/>
                <w:color w:val="000000"/>
                <w:sz w:val="11"/>
              </w:rPr>
              <w:t>(1)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12,151</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Non-speculative</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25,661</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SBA</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282,401</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Commercial and industrial</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973,631</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Dairy &amp; livestock and agribusiness</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431,577</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Municipal lease finance receivables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59,542</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SFR mortgage</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281,766</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Consumer and other loans</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58,069</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loans at amortized cost</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8,691,330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8,699,193</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Speculative construction loans are generally for properties where there is no identified buyer or renter.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It is the Company's policy to discontinue accruing interest when principal or interest payments are 90 days or more past due, unless the loan is both well secured and in the process of collection, or when full collection of principal and interest is not expected. The following table presents nonaccrual loans, including loans with no related allowance for credit losses, by loan type as of June 30, 2026 and December 31,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6"/>
        <w:gridCol w:w="835"/>
        <w:gridCol w:w="2184"/>
        <w:gridCol w:w="146"/>
        <w:gridCol w:w="146"/>
        <w:gridCol w:w="328"/>
        <w:gridCol w:w="1012"/>
        <w:gridCol w:w="146"/>
        <w:gridCol w:w="146"/>
        <w:gridCol w:w="980"/>
        <w:gridCol w:w="1732"/>
        <w:gridCol w:w="494"/>
      </w:tblGrid>
      <w:tr>
        <w:trPr/>
        <w:tc>
          <w:tcPr>
            <w:tcW w:w="205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Nonaccrual with No 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Nonaccrual </w:t>
              <w:br/>
              <w:t>(1)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Loans Past Due Over 89 Days Still Accruing</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w:t>
            </w:r>
          </w:p>
        </w:tc>
        <w:tc>
          <w:tcPr>
            <w:tcW w:w="3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Owner occupied</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Non-owner occupied</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w:t>
            </w:r>
          </w:p>
        </w:tc>
        <w:tc>
          <w:tcPr>
            <w:tcW w:w="30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Speculative </w:t>
            </w:r>
            <w:r>
              <w:rPr>
                <w:rFonts w:ascii="Times New Roman" w:hAnsi="Times New Roman"/>
                <w:color w:val="000000"/>
                <w:sz w:val="12"/>
              </w:rPr>
              <w:t>(2)</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SBA</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Commercial and industrial</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Consumer and other loans</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loans at amortized cost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left"/>
        <w:rPr>
          <w:rFonts w:ascii="Times New Roman" w:hAnsi="Times New Roman"/>
          <w:sz w:val="20"/>
          <w:bdr w:val="single" w:sz="6" w:space="1" w:color="000000"/>
        </w:rPr>
      </w:pPr>
      <w:r>
        <w:rPr>
          <w:rFonts w:ascii="Times New Roman" w:hAnsi="Times New Roman"/>
          <w:color w:val="000000"/>
          <w:sz w:val="16"/>
          <w:bdr w:val="single" w:sz="6" w:space="1" w:color="000000"/>
        </w:rPr>
        <w:t>As of June 30, 2026, $6.7</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million of nonaccruing loans were current, $670,000</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were 30-59 days past due, $1.4</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million were 60-89 days past due, and $7.8</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million were 90+ days past due.</w:t>
      </w:r>
      <w:r>
        <w:rPr>
          <w:rFonts w:ascii="Times New Roman" w:hAnsi="Times New Roman"/>
          <w:color w:val="000000"/>
          <w:sz w:val="20"/>
          <w:bdr w:val="single" w:sz="6" w:space="1" w:color="00000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Speculative construction loans are generally for properties where there is no identified buyer or renter.</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sz w:val="20"/>
        </w:rPr>
      </w:pPr>
      <w:r>
        <w:rPr>
          <w:rFonts w:ascii="Times New Roman" w:hAnsi="Times New Roman"/>
          <w:color w:val="000000"/>
          <w:sz w:val="16"/>
        </w:rPr>
        <w:t>Excludes $3,000</w:t>
      </w:r>
      <w:r>
        <w:rPr>
          <w:rFonts w:ascii="Times New Roman" w:hAnsi="Times New Roman"/>
          <w:color w:val="000000"/>
          <w:sz w:val="20"/>
        </w:rPr>
        <w:t xml:space="preserve"> </w:t>
      </w:r>
      <w:r>
        <w:rPr>
          <w:rFonts w:ascii="Times New Roman" w:hAnsi="Times New Roman"/>
          <w:color w:val="000000"/>
          <w:sz w:val="16"/>
        </w:rPr>
        <w:t>of guaranteed portion of nonaccrual SBA loans that are in process of collection.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6"/>
        <w:gridCol w:w="835"/>
        <w:gridCol w:w="2184"/>
        <w:gridCol w:w="146"/>
        <w:gridCol w:w="146"/>
        <w:gridCol w:w="370"/>
        <w:gridCol w:w="970"/>
        <w:gridCol w:w="146"/>
        <w:gridCol w:w="146"/>
        <w:gridCol w:w="980"/>
        <w:gridCol w:w="1732"/>
        <w:gridCol w:w="494"/>
      </w:tblGrid>
      <w:tr>
        <w:trPr/>
        <w:tc>
          <w:tcPr>
            <w:tcW w:w="205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Nonaccrual with No 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Nonaccrual </w:t>
              <w:br/>
              <w:t>(1)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Loans Past Due Over 89 Days Still Accruing</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w:t>
            </w:r>
          </w:p>
        </w:tc>
        <w:tc>
          <w:tcPr>
            <w:tcW w:w="3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Owner occupied</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Non-owner occupied</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SBA</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Commercial and industrial</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loans at amortized cost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left"/>
        <w:rPr>
          <w:rFonts w:ascii="Times New Roman" w:hAnsi="Times New Roman"/>
          <w:sz w:val="20"/>
          <w:bdr w:val="single" w:sz="6" w:space="1" w:color="000000"/>
        </w:rPr>
      </w:pPr>
      <w:r>
        <w:rPr>
          <w:rFonts w:ascii="Times New Roman" w:hAnsi="Times New Roman"/>
          <w:color w:val="000000"/>
          <w:sz w:val="16"/>
          <w:bdr w:val="single" w:sz="6" w:space="1" w:color="000000"/>
        </w:rPr>
        <w:t>As of December 31, 2025, $4.7</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million were 90+ days past due.</w:t>
      </w:r>
      <w:r>
        <w:rPr>
          <w:rFonts w:ascii="Times New Roman" w:hAnsi="Times New Roman"/>
          <w:color w:val="000000"/>
          <w:sz w:val="20"/>
          <w:bdr w:val="single" w:sz="6" w:space="1" w:color="00000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Excludes $3,000 of guaranteed portion of nonaccrual SBA loans that are in process of collection.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Collateral Dependent Loans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dates presented. </w:t>
      </w:r>
    </w:p>
    <w:p>
      <w:pPr>
        <w:pStyle w:val="TextBody"/>
        <w:bidi w:val="0"/>
        <w:jc w:val="left"/>
        <w:rPr/>
      </w:pPr>
      <w:r>
        <w:rPr/>
        <w:t> </w:t>
      </w:r>
    </w:p>
    <w:tbl>
      <w:tblPr>
        <w:tblW w:w="8295" w:type="dxa"/>
        <w:jc w:val="left"/>
        <w:tblInd w:w="0" w:type="dxa"/>
        <w:tblLayout w:type="fixed"/>
        <w:tblCellMar>
          <w:top w:w="28" w:type="dxa"/>
          <w:left w:w="28" w:type="dxa"/>
          <w:bottom w:w="28" w:type="dxa"/>
          <w:right w:w="28" w:type="dxa"/>
        </w:tblCellMar>
      </w:tblPr>
      <w:tblGrid>
        <w:gridCol w:w="2556"/>
        <w:gridCol w:w="270"/>
        <w:gridCol w:w="705"/>
        <w:gridCol w:w="146"/>
        <w:gridCol w:w="146"/>
        <w:gridCol w:w="365"/>
        <w:gridCol w:w="955"/>
        <w:gridCol w:w="146"/>
        <w:gridCol w:w="146"/>
        <w:gridCol w:w="196"/>
        <w:gridCol w:w="511"/>
        <w:gridCol w:w="146"/>
        <w:gridCol w:w="146"/>
        <w:gridCol w:w="495"/>
        <w:gridCol w:w="975"/>
        <w:gridCol w:w="391"/>
      </w:tblGrid>
      <w:tr>
        <w:trPr/>
        <w:tc>
          <w:tcPr>
            <w:tcW w:w="25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Loans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Real Estate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Business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Dependent on </w:t>
              <w:br/>
              <w:t>Collateral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8"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SBA</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and other loans</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collateral-dependent loans</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144" w:type="dxa"/>
        <w:jc w:val="left"/>
        <w:tblInd w:w="0" w:type="dxa"/>
        <w:tblLayout w:type="fixed"/>
        <w:tblCellMar>
          <w:top w:w="28" w:type="dxa"/>
          <w:left w:w="28" w:type="dxa"/>
          <w:bottom w:w="28" w:type="dxa"/>
          <w:right w:w="28" w:type="dxa"/>
        </w:tblCellMar>
      </w:tblPr>
      <w:tblGrid>
        <w:gridCol w:w="2556"/>
        <w:gridCol w:w="270"/>
        <w:gridCol w:w="705"/>
        <w:gridCol w:w="146"/>
        <w:gridCol w:w="146"/>
        <w:gridCol w:w="451"/>
        <w:gridCol w:w="869"/>
        <w:gridCol w:w="146"/>
        <w:gridCol w:w="146"/>
        <w:gridCol w:w="201"/>
        <w:gridCol w:w="355"/>
        <w:gridCol w:w="146"/>
        <w:gridCol w:w="146"/>
        <w:gridCol w:w="626"/>
        <w:gridCol w:w="844"/>
        <w:gridCol w:w="391"/>
      </w:tblGrid>
      <w:tr>
        <w:trPr/>
        <w:tc>
          <w:tcPr>
            <w:tcW w:w="25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Loans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Real Estate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Business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Dependent on </w:t>
              <w:br/>
              <w:t>Collateral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7"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SBA</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collateral-dependent loans</w:t>
            </w:r>
          </w:p>
        </w:tc>
        <w:tc>
          <w:tcPr>
            <w:tcW w:w="2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Reserve for Unfunded Loan Commitments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allowance for off-balance sheet credit exposure relates to unfunded loan commitments, letters of credit, and undisbursed funds on lines of credit and is recorded in other liabilities on the consolidated balance sheets, with the related expense in other noninterest expense. The Company estimates expected credit losses associated with off-balance-sheet credit exposures using a methodology consistent with that used for the loan portfolio. As of June 30, 2026 and December 31, 2025, the reserve for unfunded loan commitments was $13.0 million and $8.3 million, respectively. The increase was primarily attributable to the initial reserve established for the unfunded commitments acquired in the Heritage acquisition though the provision for unfunded loan commitments. The provision for unfunded loan commitments was $4.3 million and $4.8 million, respectively, for the three and six months ended June 30, 2026, compared to no provision and a $500,000 provision for the three and six months ended June 30, 2025, respectively. </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Modifications of Loans to Borrowers Experiencing Financial Difficulty</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two loans to borrowers experiencing financial difficulty that were modified during the three months ended June 30, 2026 with an amortized cost totaling $2.7 million as of June 30, 2026, including one commercial real estate loan for $1.7 million and one dairy &amp; livestock loan for $1.0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tables below reflect the amortized cost of loans by type made to borrowers experiencing financial difficulty that were modified during the three and six months ended June 30, 2026 by loan class and modification type.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76"/>
        <w:gridCol w:w="146"/>
        <w:gridCol w:w="353"/>
        <w:gridCol w:w="927"/>
        <w:gridCol w:w="146"/>
        <w:gridCol w:w="146"/>
        <w:gridCol w:w="512"/>
        <w:gridCol w:w="1479"/>
        <w:gridCol w:w="256"/>
        <w:gridCol w:w="146"/>
        <w:gridCol w:w="4318"/>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8"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Total Class of Financing Receivables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Financial Effect</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1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 Extension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1 year to the life of loans, which reduced monthly payment amounts for the borrowers.</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Dairy &amp; livestock and agribusiness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1 year to the life of loans, which reduced monthly payment amounts for the borrowers.</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Total Modified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04"/>
        <w:gridCol w:w="146"/>
        <w:gridCol w:w="316"/>
        <w:gridCol w:w="971"/>
        <w:gridCol w:w="146"/>
        <w:gridCol w:w="146"/>
        <w:gridCol w:w="516"/>
        <w:gridCol w:w="1491"/>
        <w:gridCol w:w="256"/>
        <w:gridCol w:w="146"/>
        <w:gridCol w:w="4367"/>
      </w:tblGrid>
      <w:tr>
        <w:trPr/>
        <w:tc>
          <w:tcPr>
            <w:tcW w:w="1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r>
      <w:tr>
        <w:trPr/>
        <w:tc>
          <w:tcPr>
            <w:tcW w:w="17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Total Class of Financing Receivables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Financial Effect</w:t>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 Extension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1 year to the life of loans, which reduced monthly payment amounts for the borrowers.</w:t>
            </w:r>
          </w:p>
        </w:tc>
      </w:tr>
      <w:tr>
        <w:trPr/>
        <w:tc>
          <w:tcPr>
            <w:tcW w:w="1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Dairy &amp; livestock and agribusiness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1 year to the life of loans, which reduced monthly payment amounts for the borrowers.</w:t>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1 year to the life of loans, which reduced monthly payment amounts for the borrowers.</w:t>
            </w:r>
          </w:p>
        </w:tc>
      </w:tr>
      <w:tr>
        <w:trPr/>
        <w:tc>
          <w:tcPr>
            <w:tcW w:w="170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Total Modified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The tables below reflect the amortized cost of loans by type made to borrowers experiencing financial difficulty that were modified as of June 30, 2025 by loan class and modification type.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7"/>
        <w:gridCol w:w="146"/>
        <w:gridCol w:w="318"/>
        <w:gridCol w:w="835"/>
        <w:gridCol w:w="146"/>
        <w:gridCol w:w="146"/>
        <w:gridCol w:w="423"/>
        <w:gridCol w:w="1221"/>
        <w:gridCol w:w="256"/>
        <w:gridCol w:w="146"/>
        <w:gridCol w:w="4841"/>
      </w:tblGrid>
      <w:tr>
        <w:trPr/>
        <w:tc>
          <w:tcPr>
            <w:tcW w:w="1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1" w:type="dxa"/>
            <w:tcBorders/>
            <w:vAlign w:val="center"/>
          </w:tcPr>
          <w:p>
            <w:pPr>
              <w:pStyle w:val="TableContents"/>
              <w:bidi w:val="0"/>
              <w:spacing w:before="0" w:after="283"/>
              <w:jc w:val="left"/>
              <w:rPr>
                <w:sz w:val="4"/>
                <w:szCs w:val="4"/>
              </w:rPr>
            </w:pPr>
            <w:r>
              <w:rPr>
                <w:sz w:val="4"/>
                <w:szCs w:val="4"/>
              </w:rPr>
            </w:r>
          </w:p>
        </w:tc>
      </w:tr>
      <w:tr>
        <w:trPr/>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Total Class of Financing Receivables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Financial Effect</w:t>
            </w:r>
          </w:p>
        </w:tc>
      </w:tr>
      <w:tr>
        <w:trPr/>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 Extension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1.9 years to the life of loans, which reduced monthly payment amounts for the borrowers.</w:t>
            </w:r>
          </w:p>
        </w:tc>
      </w:tr>
      <w:tr>
        <w:trPr/>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1.2 years to the life of loans, which reduced monthly payment amounts for the borrowers.</w:t>
            </w:r>
          </w:p>
        </w:tc>
      </w:tr>
      <w:tr>
        <w:trPr/>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Dairy &amp; livestock and agribusiness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1.6 years to the life of loans, which reduced monthly payment amounts for the borrowers.</w:t>
            </w:r>
          </w:p>
        </w:tc>
      </w:tr>
      <w:tr>
        <w:trPr/>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Term Extension and Interest Rate Reduction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7.6 years to the life of loans, which reduced monthly payment amounts for the borrowers; reduced weighted-average contractual interest rate from 10.00% to 7.25%.</w:t>
            </w:r>
          </w:p>
        </w:tc>
      </w:tr>
      <w:tr>
        <w:trPr/>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Added a weighted-average 1.1 years to the life of loans, which reduced monthly payment amounts for the borrowers; reduced weighted-average contractual interest rate from 8.50% to 7.75%.</w:t>
            </w:r>
          </w:p>
        </w:tc>
      </w:tr>
      <w:tr>
        <w:trPr/>
        <w:tc>
          <w:tcPr>
            <w:tcW w:w="172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Total Modified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months ended June 30, 2026 and 2025, there was no modified loans that subsequently defaulted within twelve months of the modification date. Payment default is defined as movement to nonaccrual (nonperforming) status, foreclosure or charge-off, whichever occurs first.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recorded investment in, and the aging of, past due loans at amortized cost (including nonaccrual loans), by type of loans, made to borrowers experiencing financial difficulty as of June 30, 2026 and June 30, 2025.</w:t>
      </w:r>
    </w:p>
    <w:p>
      <w:pPr>
        <w:pStyle w:val="TextBody"/>
        <w:bidi w:val="0"/>
        <w:jc w:val="left"/>
        <w:rPr/>
      </w:pPr>
      <w:r>
        <w:rPr/>
        <w:t> </w:t>
      </w:r>
    </w:p>
    <w:tbl>
      <w:tblPr>
        <w:tblW w:w="6518" w:type="dxa"/>
        <w:jc w:val="left"/>
        <w:tblInd w:w="0" w:type="dxa"/>
        <w:tblLayout w:type="fixed"/>
        <w:tblCellMar>
          <w:top w:w="28" w:type="dxa"/>
          <w:left w:w="28" w:type="dxa"/>
          <w:bottom w:w="28" w:type="dxa"/>
          <w:right w:w="28" w:type="dxa"/>
        </w:tblCellMar>
      </w:tblPr>
      <w:tblGrid>
        <w:gridCol w:w="2611"/>
        <w:gridCol w:w="146"/>
        <w:gridCol w:w="241"/>
        <w:gridCol w:w="738"/>
        <w:gridCol w:w="179"/>
        <w:gridCol w:w="179"/>
        <w:gridCol w:w="364"/>
        <w:gridCol w:w="641"/>
        <w:gridCol w:w="179"/>
        <w:gridCol w:w="179"/>
        <w:gridCol w:w="315"/>
        <w:gridCol w:w="555"/>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Payment Status (amortized cost basis)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Current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30-89 Days </w:t>
              <w:br/>
              <w:t>Past Due</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90+ Days </w:t>
              <w:br/>
              <w:t>Past Due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Dairy &amp; livestock and agribusiness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6,034</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24,461</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pPr>
      <w:r>
        <w:rPr/>
        <w:t> </w:t>
      </w:r>
    </w:p>
    <w:tbl>
      <w:tblPr>
        <w:tblW w:w="6143" w:type="dxa"/>
        <w:jc w:val="left"/>
        <w:tblInd w:w="0" w:type="dxa"/>
        <w:tblLayout w:type="fixed"/>
        <w:tblCellMar>
          <w:top w:w="28" w:type="dxa"/>
          <w:left w:w="28" w:type="dxa"/>
          <w:bottom w:w="28" w:type="dxa"/>
          <w:right w:w="28" w:type="dxa"/>
        </w:tblCellMar>
      </w:tblPr>
      <w:tblGrid>
        <w:gridCol w:w="2611"/>
        <w:gridCol w:w="146"/>
        <w:gridCol w:w="204"/>
        <w:gridCol w:w="532"/>
        <w:gridCol w:w="146"/>
        <w:gridCol w:w="146"/>
        <w:gridCol w:w="363"/>
        <w:gridCol w:w="642"/>
        <w:gridCol w:w="146"/>
        <w:gridCol w:w="146"/>
        <w:gridCol w:w="314"/>
        <w:gridCol w:w="556"/>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30-89 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90+ Days </w:t>
              <w:br/>
              <w:t>Past Due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Dairy &amp; livestock and agribusiness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GOODWILL AND OTHER INTANGIBLES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connection with the Heritage acquisition, the Company recorded core deposit intangible assets of $116.6 million and goodwill of $334.1 million. For additional information on the acquisition of Heritage, see Note 4 - </w:t>
      </w:r>
      <w:r>
        <w:rPr>
          <w:rFonts w:ascii="Times New Roman" w:hAnsi="Times New Roman"/>
          <w:i/>
          <w:color w:val="000000"/>
          <w:sz w:val="20"/>
        </w:rPr>
        <w:t>Business Combination</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the changes in the carrying value of goodwill as of the periods presented.</w:t>
      </w:r>
    </w:p>
    <w:p>
      <w:pPr>
        <w:pStyle w:val="TextBody"/>
        <w:bidi w:val="0"/>
        <w:jc w:val="left"/>
        <w:rPr/>
      </w:pPr>
      <w:r>
        <w:rPr/>
        <w:t> </w:t>
      </w:r>
    </w:p>
    <w:tbl>
      <w:tblPr>
        <w:tblW w:w="5086" w:type="dxa"/>
        <w:jc w:val="left"/>
        <w:tblInd w:w="0" w:type="dxa"/>
        <w:tblLayout w:type="fixed"/>
        <w:tblCellMar>
          <w:top w:w="28" w:type="dxa"/>
          <w:left w:w="28" w:type="dxa"/>
          <w:bottom w:w="28" w:type="dxa"/>
          <w:right w:w="28" w:type="dxa"/>
        </w:tblCellMar>
      </w:tblPr>
      <w:tblGrid>
        <w:gridCol w:w="2241"/>
        <w:gridCol w:w="196"/>
        <w:gridCol w:w="826"/>
        <w:gridCol w:w="146"/>
        <w:gridCol w:w="146"/>
        <w:gridCol w:w="252"/>
        <w:gridCol w:w="888"/>
        <w:gridCol w:w="391"/>
      </w:tblGrid>
      <w:tr>
        <w:trPr/>
        <w:tc>
          <w:tcPr>
            <w:tcW w:w="2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beginning of period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 due to acquisition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334,114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end of period</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1,099,936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changes in core deposit intangible assets and the related accumulated amortization for the periods presented.</w:t>
      </w:r>
    </w:p>
    <w:p>
      <w:pPr>
        <w:pStyle w:val="TextBody"/>
        <w:bidi w:val="0"/>
        <w:jc w:val="left"/>
        <w:rPr/>
      </w:pPr>
      <w:r>
        <w:rPr/>
        <w:t> </w:t>
      </w:r>
    </w:p>
    <w:tbl>
      <w:tblPr>
        <w:tblW w:w="7296" w:type="dxa"/>
        <w:jc w:val="left"/>
        <w:tblInd w:w="0" w:type="dxa"/>
        <w:tblLayout w:type="fixed"/>
        <w:tblCellMar>
          <w:top w:w="28" w:type="dxa"/>
          <w:left w:w="28" w:type="dxa"/>
          <w:bottom w:w="28" w:type="dxa"/>
          <w:right w:w="28" w:type="dxa"/>
        </w:tblCellMar>
      </w:tblPr>
      <w:tblGrid>
        <w:gridCol w:w="2361"/>
        <w:gridCol w:w="196"/>
        <w:gridCol w:w="691"/>
        <w:gridCol w:w="166"/>
        <w:gridCol w:w="146"/>
        <w:gridCol w:w="196"/>
        <w:gridCol w:w="661"/>
        <w:gridCol w:w="166"/>
        <w:gridCol w:w="146"/>
        <w:gridCol w:w="196"/>
        <w:gridCol w:w="691"/>
        <w:gridCol w:w="166"/>
        <w:gridCol w:w="146"/>
        <w:gridCol w:w="196"/>
        <w:gridCol w:w="661"/>
        <w:gridCol w:w="511"/>
      </w:tblGrid>
      <w:tr>
        <w:trPr/>
        <w:tc>
          <w:tcPr>
            <w:tcW w:w="2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CDI Amount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beginning of period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97,213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Addition due to acquisition</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end of period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97,213</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Accumulated Amortization</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beginning of period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(87,246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Amortization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end of period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(89,556</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CDI, end of period</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7,657</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reflects the estimated amortization expense for other intangible assets as of the date indicated.</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951"/>
        <w:gridCol w:w="146"/>
        <w:gridCol w:w="384"/>
        <w:gridCol w:w="1356"/>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 (remainder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BORROWINGS</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Customer Repurchase Agreements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Bank offers a repurchase agreement product to its customers, known as Citizens Sweep Manager. Under this program, the Bank sells investment securities overnight to customers under an agreement to repurchase (“repurchase agreement”) the securities the next business day at a price reflecting the market value of the use of funds for the period. These repurchase agreements are entered into with customers whose demand deposit account balances exceed a pre-determined threshold. Excess funds above this threshold are invested in overnight repurchase agreements, which earn interest for the customer. As of June 30, 2026, total funds borrowed under these agreements were $563.4 million, with a weighted average interest rate of 1.95%, compared to $490.6 million at December 31, 2025, with a weighted average interest rate of 1.72%.</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Federal Home Loan Bank Advances and Other Borrowings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FHLB advances and other borrowings totaled $500 million, consisting entirely of FHLB advances. During the three months ended June 30, 2026, $300 million of FHLB advances bearing a fixed interest rate of 4.73% matured and were not renewed. During the second quarter of 2026, the Company replaced $300 million of three-month term brokered certificates of deposit designated in a cash flow hedge relationships with two $150 million three-month FHLB advances bearing a weighted average fixed interest rate of 3.99% and maturing in August and September 2026. At June 30, 2026, FHLB advances consisted of $300 million of three-month FHLB advances and a $200 million FHLB advance bearing a fixed interest rate of 4.27% and maturing in May 2027.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$7.56 billion of loans and $5.10 billion of investment securities, at carrying value, were pledged to secure public deposits, repurchase agreements, borrowing lines, and for other purposes as required or permitted by law. At December 31, 2025, $6.47 billion of loans and $3.35 billion of investment securities, at carrying value, were pledged to secure public deposits, repurchase agreements, borrowing lines, and for other purposes as required or permitted by law.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June 30, 2026, the Bank's secured borrowing capacity with the FHLB and FRB totaled $6.48 billion, of which $6.17 billion was available as of June 30, 2026. The Bank also has $305.0 million in unsecured Fed Funds lines of credit with other major U.S. banks. These lines of credit are available for overnight borrowings. At December 31, 2025, the Bank's secured borrowing capacity with the FHLB and FRB totaled $5.78 billion, of which $5.28 billion was available as of December 31, 2025. The Bank also has $305.0 million in unsecured Fed Funds lines of credit with other major U.S. banks. These lines of credit are available for overnight borrowings.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Subordinated Debentures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acquisition of Heritage, the Company assumed $40.0 million of fixed-to-floating rate subordinated notes due May 15, 2032. The notes bear interest at a fixed rate of 5.0% per year until May 15, 2027. From and including May 15, 2027, interest will accrue at a variable rate of three-month Secured Overnight Financing Rate (“SOFR”) plus 227 basis points. The Company may redeem the subordinated notes, in whole or in part, on or after May 15, 2027. At June 30, 2026, the carrying value of the subordinated notes was $39.0 million, net of purchase accounting fair value adjustments of $1.0 million, and qualified as Tier 2 capital for the Company.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EARNINGS PER SHARE RECONCILIATION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and six months ended June 30, 2026, shares deemed to be antidilutive, and thus excluded from the computation of earnings per common share, were 297,000 and 390,000, respectively. For the three and six months ended June 30, 2025, shares deemed to be antidilutive, and thus excluded from the computation of earnings per common share, were 762,000 and 746,000, respectively.</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shows earnings per common share and diluted earnings per common share and reconciles the numerator and denominator of both earnings per common share calculations.</w:t>
      </w:r>
    </w:p>
    <w:p>
      <w:pPr>
        <w:pStyle w:val="TextBody"/>
        <w:bidi w:val="0"/>
        <w:jc w:val="left"/>
        <w:rPr/>
      </w:pPr>
      <w:r>
        <w:rPr/>
        <w:t> </w:t>
      </w:r>
    </w:p>
    <w:tbl>
      <w:tblPr>
        <w:tblW w:w="9107" w:type="dxa"/>
        <w:jc w:val="left"/>
        <w:tblInd w:w="0" w:type="dxa"/>
        <w:tblLayout w:type="fixed"/>
        <w:tblCellMar>
          <w:top w:w="28" w:type="dxa"/>
          <w:left w:w="28" w:type="dxa"/>
          <w:bottom w:w="28" w:type="dxa"/>
          <w:right w:w="28" w:type="dxa"/>
        </w:tblCellMar>
      </w:tblPr>
      <w:tblGrid>
        <w:gridCol w:w="3646"/>
        <w:gridCol w:w="446"/>
        <w:gridCol w:w="196"/>
        <w:gridCol w:w="691"/>
        <w:gridCol w:w="146"/>
        <w:gridCol w:w="146"/>
        <w:gridCol w:w="196"/>
        <w:gridCol w:w="691"/>
        <w:gridCol w:w="146"/>
        <w:gridCol w:w="146"/>
        <w:gridCol w:w="196"/>
        <w:gridCol w:w="691"/>
        <w:gridCol w:w="146"/>
        <w:gridCol w:w="146"/>
        <w:gridCol w:w="196"/>
        <w:gridCol w:w="691"/>
        <w:gridCol w:w="591"/>
      </w:tblGrid>
      <w:tr>
        <w:trPr/>
        <w:tc>
          <w:tcPr>
            <w:tcW w:w="36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 except per share amounts)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Earnings per common share: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earnings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Less: net earnings allocated to restricted stock</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earnings allocated to common shareholders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100,993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Weighted average shares outstanding</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Basic earnings per common share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Diluted earnings per common share: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 allocated to common shareholders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100,993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Weighted average shares outstanding</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Incremental shares from assumed exercise of</w:t>
              <w:br/>
              <w:t>   outstanding options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Diluted weighted average shares outstanding</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Diluted earnings per common share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FAIR VALUE INFORMATION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Fair Value Hierarchy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valuation methodologies for financial assets and liabilities measured at fair value on a recurring and non-recurring basis are described in Note 17 — </w:t>
      </w:r>
      <w:r>
        <w:rPr>
          <w:rFonts w:ascii="Times New Roman" w:hAnsi="Times New Roman"/>
          <w:i/>
          <w:color w:val="000000"/>
          <w:sz w:val="20"/>
        </w:rPr>
        <w:t>Fair Value Information,</w:t>
      </w:r>
      <w:r>
        <w:rPr>
          <w:rFonts w:ascii="Times New Roman" w:hAnsi="Times New Roman"/>
          <w:color w:val="000000"/>
          <w:sz w:val="20"/>
        </w:rPr>
        <w:t xml:space="preserve"> included in the 2025 Form 10-K.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Assets and Liabilities Measured at Fair Value on a Recurring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tables below present the balances of assets and liabilities measured at fair value on a recurring basis as of the dates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9"/>
        <w:gridCol w:w="146"/>
        <w:gridCol w:w="220"/>
        <w:gridCol w:w="931"/>
        <w:gridCol w:w="146"/>
        <w:gridCol w:w="146"/>
        <w:gridCol w:w="254"/>
        <w:gridCol w:w="782"/>
        <w:gridCol w:w="146"/>
        <w:gridCol w:w="146"/>
        <w:gridCol w:w="362"/>
        <w:gridCol w:w="1527"/>
        <w:gridCol w:w="146"/>
        <w:gridCol w:w="146"/>
        <w:gridCol w:w="662"/>
        <w:gridCol w:w="1170"/>
        <w:gridCol w:w="696"/>
      </w:tblGrid>
      <w:tr>
        <w:trPr/>
        <w:tc>
          <w:tcPr>
            <w:tcW w:w="2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w:t>
              <w:br/>
              <w:t xml:space="preserve">in Active </w:t>
              <w:br/>
              <w:t>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Other 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Unobservable Inputs</w:t>
              <w:br/>
              <w:t>(Level 3)</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securities - AFS: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Government agency/GSE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Mortgage-backed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CMO/REMIC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Municipal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Other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investment securities - AFS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w:t>
              <w:br/>
              <w:t>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8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Fair value hedges: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3,502,045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3,486,905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w:t>
              <w:br/>
              <w:t>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8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8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Cash flow hedges: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8"/>
        <w:gridCol w:w="146"/>
        <w:gridCol w:w="220"/>
        <w:gridCol w:w="929"/>
        <w:gridCol w:w="146"/>
        <w:gridCol w:w="146"/>
        <w:gridCol w:w="369"/>
        <w:gridCol w:w="655"/>
        <w:gridCol w:w="146"/>
        <w:gridCol w:w="146"/>
        <w:gridCol w:w="359"/>
        <w:gridCol w:w="1516"/>
        <w:gridCol w:w="146"/>
        <w:gridCol w:w="146"/>
        <w:gridCol w:w="658"/>
        <w:gridCol w:w="1163"/>
        <w:gridCol w:w="696"/>
      </w:tblGrid>
      <w:tr>
        <w:trPr/>
        <w:tc>
          <w:tcPr>
            <w:tcW w:w="2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w:t>
              <w:br/>
              <w:t xml:space="preserve">in Active </w:t>
              <w:br/>
              <w:t>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Other 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Unobservable Inputs</w:t>
              <w:br/>
              <w:t>(Level 3)</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securities - AFS: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2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Government agency/GSE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Mortgage-backed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CMO/REMIC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Municipal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Collateralized loan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61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investment securities - AFS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w:t>
              <w:br/>
              <w:t>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2,683,231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2,683,231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6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61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w:t>
              <w:br/>
              <w:t>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61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Fair value hedges: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Cash flow hedges: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61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 xml:space="preserve">AFS investment securities - </w:t>
      </w:r>
      <w:r>
        <w:rPr>
          <w:rFonts w:ascii="Times New Roman" w:hAnsi="Times New Roman"/>
          <w:color w:val="000000"/>
          <w:sz w:val="20"/>
        </w:rPr>
        <w:t>AFS investment securities are generally valued using quotes obtained from independent third-party pricing services for identical or similar assets. Observable market inputs, including benchmark yields, reported trades, broker/dealer quotes, issuer spreads, two-sided markets, benchmark securities, bids, offers, and reference data are considered as part of the evaluation. These inputs are related directly to the security being evaluated, or indirectly to a similarly situated security. Market assumptions and market data are utilized in the valuation models. The Company reviews the market prices provided by the third-party pricing service for reasonableness. The fair value of these securities are classified as Level 2 within the fair value hierarchy.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Equity Securities</w:t>
      </w:r>
      <w:r>
        <w:rPr>
          <w:rFonts w:ascii="Times New Roman" w:hAnsi="Times New Roman"/>
          <w:color w:val="000000"/>
          <w:sz w:val="20"/>
        </w:rPr>
        <w:t xml:space="preserve"> - The Company’s equity securities consist of investments in publicly traded mutual funds that qualify for CRA purposes. The fair value is based on publicly available net asset value per share and is classified as Level 1 within the fair value hierarchy.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Derivative assets and liabilitie</w:t>
      </w:r>
      <w:r>
        <w:rPr>
          <w:rFonts w:ascii="Times New Roman" w:hAnsi="Times New Roman"/>
          <w:color w:val="000000"/>
          <w:sz w:val="20"/>
        </w:rPr>
        <w:t>s - Derivatives consists of interest rate contracts, which are valued using a discounted cash flow method that incorporates observable market inputs, including current market interest rates. These derivatives are classified as level 2.</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Assets and Liabilities Measured at Fair Value on a Non-Recurring Basis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may be required to measure certain assets at fair value on a non-recurring basis in accordance with GAAP. These adjustments to fair value usually result from application of lower of cost or fair value accounting or impairment write-downs of individual assets.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assets measured at fair value on a non-recurring basis that were held on the balance sheet at June 30, 2026 and December 31, 2025, the following tables provide the level of valuation assumptions used to determine each adjustment and the carrying value of the related assets that had losses during the period.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5"/>
        <w:gridCol w:w="146"/>
        <w:gridCol w:w="246"/>
        <w:gridCol w:w="645"/>
        <w:gridCol w:w="146"/>
        <w:gridCol w:w="146"/>
        <w:gridCol w:w="542"/>
        <w:gridCol w:w="959"/>
        <w:gridCol w:w="146"/>
        <w:gridCol w:w="146"/>
        <w:gridCol w:w="522"/>
        <w:gridCol w:w="925"/>
        <w:gridCol w:w="146"/>
        <w:gridCol w:w="146"/>
        <w:gridCol w:w="429"/>
        <w:gridCol w:w="1124"/>
        <w:gridCol w:w="146"/>
        <w:gridCol w:w="146"/>
        <w:gridCol w:w="460"/>
        <w:gridCol w:w="888"/>
        <w:gridCol w:w="796"/>
      </w:tblGrid>
      <w:tr>
        <w:trPr/>
        <w:tc>
          <w:tcPr>
            <w:tcW w:w="1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35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Unobservable Inputs (Level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Losses For The Six Months Ended June 30, 2026</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5"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real estate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135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47"/>
        <w:gridCol w:w="146"/>
        <w:gridCol w:w="217"/>
        <w:gridCol w:w="669"/>
        <w:gridCol w:w="146"/>
        <w:gridCol w:w="146"/>
        <w:gridCol w:w="530"/>
        <w:gridCol w:w="938"/>
        <w:gridCol w:w="146"/>
        <w:gridCol w:w="146"/>
        <w:gridCol w:w="514"/>
        <w:gridCol w:w="911"/>
        <w:gridCol w:w="146"/>
        <w:gridCol w:w="146"/>
        <w:gridCol w:w="376"/>
        <w:gridCol w:w="1159"/>
        <w:gridCol w:w="146"/>
        <w:gridCol w:w="146"/>
        <w:gridCol w:w="491"/>
        <w:gridCol w:w="944"/>
        <w:gridCol w:w="795"/>
      </w:tblGrid>
      <w:tr>
        <w:trPr/>
        <w:tc>
          <w:tcPr>
            <w:tcW w:w="1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134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Unobservable Inputs (Level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Losses For The Year Ended December 31, 2025</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7"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47"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real estate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134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disclosure presents the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June 30, 2026 and December 31, 2025, respectively. The use of different market assumptions and/or estimation methodologies may have a material effect on the estimated fair value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66"/>
        <w:gridCol w:w="196"/>
        <w:gridCol w:w="916"/>
        <w:gridCol w:w="146"/>
        <w:gridCol w:w="146"/>
        <w:gridCol w:w="196"/>
        <w:gridCol w:w="826"/>
        <w:gridCol w:w="146"/>
        <w:gridCol w:w="146"/>
        <w:gridCol w:w="196"/>
        <w:gridCol w:w="826"/>
        <w:gridCol w:w="146"/>
        <w:gridCol w:w="146"/>
        <w:gridCol w:w="196"/>
        <w:gridCol w:w="916"/>
        <w:gridCol w:w="146"/>
        <w:gridCol w:w="146"/>
        <w:gridCol w:w="196"/>
        <w:gridCol w:w="916"/>
        <w:gridCol w:w="491"/>
      </w:tblGrid>
      <w:tr>
        <w:trPr/>
        <w:tc>
          <w:tcPr>
            <w:tcW w:w="3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 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assets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1,104,359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balances due from</w:t>
              <w:br/>
              <w:t>   depository institutions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securities available-for-sale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3,457,764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securities held-to-maturity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1,867,394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1,867,394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loans and lease finance receivables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11,890,394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11,762,758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11,762,758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securities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15,140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 instruments: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Interest rate swaps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designated as hedging instruments: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Fair value hedges: interest rate swaps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Interest-bearing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7,681,777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7,677,037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7,677,037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1,002,939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38,973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 instruments: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Interest rate swaps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designated as hedging instruments: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Cash flow hedges: interest rate swaps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71"/>
        <w:gridCol w:w="196"/>
        <w:gridCol w:w="826"/>
        <w:gridCol w:w="146"/>
        <w:gridCol w:w="146"/>
        <w:gridCol w:w="196"/>
        <w:gridCol w:w="691"/>
        <w:gridCol w:w="146"/>
        <w:gridCol w:w="146"/>
        <w:gridCol w:w="196"/>
        <w:gridCol w:w="826"/>
        <w:gridCol w:w="146"/>
        <w:gridCol w:w="146"/>
        <w:gridCol w:w="196"/>
        <w:gridCol w:w="826"/>
        <w:gridCol w:w="146"/>
        <w:gridCol w:w="146"/>
        <w:gridCol w:w="196"/>
        <w:gridCol w:w="826"/>
        <w:gridCol w:w="491"/>
      </w:tblGrid>
      <w:tr>
        <w:trPr/>
        <w:tc>
          <w:tcPr>
            <w:tcW w:w="35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 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assets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376,389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balances due from</w:t>
              <w:br/>
              <w:t>   depository institutions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securities available-for-sale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2,683,070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securities held-to-maturity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1,925,492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loans and lease finance receivables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8,514,750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8,514,750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 instruments: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Interest rate swaps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Interest-bearing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5,268,983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5,268,983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941,735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not designated as hedging instruments: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Interest rate swaps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designated as hedging instruments: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Fair value hedges: interest rate swaps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Cash flow hedges: interest rate swaps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fair value estimates presented herein are based on pertinent information available to management as of June 30, 2026 and December 31, 2025, respectively.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DERIVATIVE FINANCIAL INSTRUMENTS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Derivatives Not Designated as Hedging Instruments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part of its ongoing asset/liability management strategy, the Company utilizes interest rate swap agreements (“swaps”) to manage exposure to interest rate risk. As of June 30, 2026, the Company has entered into 97 interest-rate swap agreements with customers with an aggregate notional amount totaling $277.6 million. Under the terms of the interest rate swap agreements with customers, the Company pays a variable rate and receives a fixed rate. Concurrently, the Company entered into a corresponding offsetting swap with a third-party financial institution to mitigate the Company's interest rate risk exposure arising from the customer swap. The net effect of these arrangements allows the Company to retain a variable rate loan exposure, while providing the customer with economic equivalent of a fixed rate loan. The variable rate received by the Company is based on Secured Overnight Financing Rate (“SOFR”) plus a contractual spread.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swaps do not qualify for hedge accounting and are accounted for as freestanding derivatives. Accordingly, these instruments are recorded at fair value as components of other assets and other liabilities on the Company’s consolidated balance sheet. Changes in the fair value of these swaps are recognized in the Company’s statement of earnings as a component of noninterest income. The changes in the fair value of the customer swaps and the corresponding counterparty swaps generally offset each other; therefore, these derivative instruments are not expected to have a material impact on the Company’s results of operations. However, the Company is exposed to credit risk related to both customer and counterparty’s performance under these agreements. The swaps are subject to a master netting arrangement with its counterparties and include provisions that require the posting of collateral when the fair value of the derivative exceeds certain agreed upon threshold limits.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Management believes that the potential credit risk associated with customer interest rate swaps is mitigated through the loan underwriting process that consider the additional exposure arising from the related derivative, as well as through ongoing monitoring of counterparty creditworthiness. Nevertheless, these derivatives are subject to market and counterparty credit risk, and there can be no assurance that mitigation efforts will be fully effective.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Derivatives Designated as Hedging Instruments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Fair Value Hedges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To manage interest rate risk associated with our AFS MBS securities portfolio, the Company entered into pay-fixed, receive-floating interest rate swap contracts to hedge exposure to changes in the fair value of the hedged portfolio attributable to changes in interest rates. These interest rate swap contracts are designated as fair value hedges that qualify for hedge accounting under ASC 815, </w:t>
      </w:r>
      <w:r>
        <w:rPr>
          <w:rFonts w:ascii="Times New Roman" w:hAnsi="Times New Roman"/>
          <w:i/>
          <w:color w:val="000000"/>
          <w:sz w:val="20"/>
        </w:rPr>
        <w:t>Derivatives and Hedging</w:t>
      </w:r>
      <w:r>
        <w:rPr>
          <w:rFonts w:ascii="Times New Roman" w:hAnsi="Times New Roman"/>
          <w:color w:val="000000"/>
          <w:sz w:val="20"/>
        </w:rPr>
        <w:t>. The Company has elected to apply the portfolio layer method for these fair value hedges in accordance with ASU 2022-01. Under this method, the hedged item is defined as a stated amount of the closed AFS portfolio. Basis adjustments resulting from hedge accounting are recorded at the portfolio level and are not allocated to individual securities. These basis adjustments impact the unrealized gains and losses of the AFS securities within the closed portfolio and are reflected in accumulated other comprehensive income (“AOCI”). The related interest rate swaps are recorded within other assets and other liabilities on our consolidated balance sheet. For qualifying fair value hedges, changes in the fair value of the derivative instruments are recorded through earnings and offset against changes in the fair value of the hedged portfolio layer attributable to the hedged risk. Amounts recognized in earnings are recorded in “investment securities available-for-sale” as part of interest income in the consolidated statements of earnings, consistent with the classification of the hedged AFS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May 2025, the Company terminated $700 million notional of pay-fixed interest rate swaps with a weighted average fixed rate of approximately 3.7%, which were originally scheduled to mature in June of 2028. These swaps were replaced with new pay-fixed interest rate swaps with maturity dates in May of 2029, 2030 and 2031, with a weighted pay-fixed rate of 3.68%. At June 30, 2026 and December 31, 2025, interest rate swaps with an aggregate notional amount of $700 million were designated as fair value hedges.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Flow Hedges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manage our interest rate risk associated with brokered certificates of deposit (“CDs”), FHLB advances or other fixed rate advances, the Company enters into interest rate derivative contracts designated as qualifying cash flow hedges to mitigate the exposure to variability in expected future cash flows attributable to changes in a contractually specified interest rate. In 2024, the Company issued $300 million of three-month term brokered CDs and entered into three-year pay-fixed, receive-floating interest rate swaps with a notional amount of $300 million maturing in the first quarter of 2027. The swaps carry a weighted average fixed rate of approximately 4.10%, with the Company receiving daily SOFR. During the second quarter of 2026, upon the maturity of the brokered CDs, the Company replaced the funding with two $150 million, three-month FHLB advances and redesignated the related interest rate swaps as cash flow hedges of the variable cash flows associated with those advances.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qualify for hedge accounting, the Company performs a formal effectiveness assessment at inception using statistical regression analysis, and continues to monitor effectiveness each reporting period through quantitative or qualitative methods. If a hedge is determined to be ineffective, hedge accounting is discontinued and any gain or loss in AOCI is recognized in earnings immediately. The cash flow hedges are recorded at fair value in other assets or other liabilities on the consolidated balance sheets with changes in fair value recorded in AOCI, net of tax. All related cash flows are reported in the operating activities section of the consolidated statement of cash flows. Amounts recorded to AOCI are reclassified into earnings in the same period in which the hedged asset or liability affects earnings and are presented in the same income statement line item as the hedged item. As of June 30, 2026, the Company estimates that a net loss of approximately $293,000 reported in AOCI will be reclassified into earnings within the next 12 months.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Balance Sheet Classification of Derivative Financial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the notional amount, the location of the asset and liability, and their respective fair values, are summarized in the tables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4"/>
        <w:gridCol w:w="146"/>
        <w:gridCol w:w="196"/>
        <w:gridCol w:w="691"/>
        <w:gridCol w:w="146"/>
        <w:gridCol w:w="146"/>
        <w:gridCol w:w="1289"/>
        <w:gridCol w:w="146"/>
        <w:gridCol w:w="209"/>
        <w:gridCol w:w="641"/>
        <w:gridCol w:w="146"/>
        <w:gridCol w:w="146"/>
        <w:gridCol w:w="196"/>
        <w:gridCol w:w="691"/>
        <w:gridCol w:w="146"/>
        <w:gridCol w:w="146"/>
        <w:gridCol w:w="1289"/>
        <w:gridCol w:w="146"/>
        <w:gridCol w:w="209"/>
        <w:gridCol w:w="641"/>
        <w:gridCol w:w="395"/>
      </w:tblGrid>
      <w:tr>
        <w:trPr/>
        <w:tc>
          <w:tcPr>
            <w:tcW w:w="2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444"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4"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Liability Derivatives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220"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not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Fair value hedges: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flow hedges: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8"/>
        <w:gridCol w:w="146"/>
        <w:gridCol w:w="196"/>
        <w:gridCol w:w="691"/>
        <w:gridCol w:w="146"/>
        <w:gridCol w:w="146"/>
        <w:gridCol w:w="1313"/>
        <w:gridCol w:w="146"/>
        <w:gridCol w:w="252"/>
        <w:gridCol w:w="484"/>
        <w:gridCol w:w="146"/>
        <w:gridCol w:w="146"/>
        <w:gridCol w:w="196"/>
        <w:gridCol w:w="691"/>
        <w:gridCol w:w="146"/>
        <w:gridCol w:w="146"/>
        <w:gridCol w:w="1313"/>
        <w:gridCol w:w="146"/>
        <w:gridCol w:w="209"/>
        <w:gridCol w:w="643"/>
        <w:gridCol w:w="395"/>
      </w:tblGrid>
      <w:tr>
        <w:trPr/>
        <w:tc>
          <w:tcPr>
            <w:tcW w:w="2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Liability Derivatives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15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not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Fair value hedges: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flow hedges: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11,269</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amounts recorded on our condensed consolidated balance sheet related to cumulative basis adjustments for fair value hedges as of the dates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0"/>
        <w:gridCol w:w="146"/>
        <w:gridCol w:w="216"/>
        <w:gridCol w:w="913"/>
        <w:gridCol w:w="161"/>
        <w:gridCol w:w="161"/>
        <w:gridCol w:w="235"/>
        <w:gridCol w:w="991"/>
        <w:gridCol w:w="146"/>
        <w:gridCol w:w="146"/>
        <w:gridCol w:w="476"/>
        <w:gridCol w:w="1388"/>
        <w:gridCol w:w="403"/>
        <w:gridCol w:w="354"/>
        <w:gridCol w:w="521"/>
        <w:gridCol w:w="1461"/>
        <w:gridCol w:w="297"/>
      </w:tblGrid>
      <w:tr>
        <w:trPr/>
        <w:tc>
          <w:tcPr>
            <w:tcW w:w="2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7"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 of the Hedged Assets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03"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Cumulative Amount of Fair Value Hedging Adjustments included in the Carrying Amount of the Hedged Assets</w:t>
            </w:r>
          </w:p>
        </w:tc>
        <w:tc>
          <w:tcPr>
            <w:tcW w:w="2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Line Item in the Consolidated Balance Sheet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Investment securities available-for-sale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1,634,283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(2,038</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10,866</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1,634,283</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1,719,962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(2,038</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10,866</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left"/>
        <w:rPr>
          <w:rFonts w:ascii="Times New Roman" w:hAnsi="Times New Roman"/>
          <w:sz w:val="20"/>
          <w:bdr w:val="single" w:sz="6" w:space="1" w:color="000000"/>
        </w:rPr>
      </w:pPr>
      <w:r>
        <w:rPr>
          <w:rFonts w:ascii="Times New Roman" w:hAnsi="Times New Roman"/>
          <w:color w:val="000000"/>
          <w:sz w:val="16"/>
          <w:bdr w:val="single" w:sz="6" w:space="1" w:color="000000"/>
        </w:rPr>
        <w:t>These amounts were included in the amortized cost basis of closed portfolios of available-for-sale securities designated in hedging relationships in which the hedged item is the stated amount of assets in the closed portfolios anticipated to be outstanding for the designated hedge period. At June 30, 2026 and December 31, 2025, the amortized cost basis of the closed portfolios used in these hedging relationships was $1.6</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billion and $1.7</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billion, respectively. The cumulative basis adjustments associated with these hedging relationships were ($2.0) million and $10.9</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million, respectively, of which $1.5</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million and $1.5</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million, respectively, related to discontinued hedging relationships. At June 30, 2026 and December 31, 2025, the notional amount of the designated hedged items was $700.0</w:t>
      </w:r>
      <w:r>
        <w:rPr>
          <w:rFonts w:ascii="Times New Roman" w:hAnsi="Times New Roman"/>
          <w:color w:val="000000"/>
          <w:sz w:val="20"/>
          <w:bdr w:val="single" w:sz="6" w:space="1" w:color="000000"/>
        </w:rPr>
        <w:t xml:space="preserve"> </w:t>
      </w:r>
      <w:r>
        <w:rPr>
          <w:rFonts w:ascii="Times New Roman" w:hAnsi="Times New Roman"/>
          <w:color w:val="000000"/>
          <w:sz w:val="16"/>
          <w:bdr w:val="single" w:sz="6" w:space="1" w:color="000000"/>
        </w:rPr>
        <w:t>million.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Effect of Derivatives Financial Instruments on the Condensed Consolidated Statements of Earnings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summarizes the effect of derivatives not designated as hedging instruments on the condensed consolidated statements of earnings for the periods presented.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68"/>
        <w:gridCol w:w="146"/>
        <w:gridCol w:w="2627"/>
        <w:gridCol w:w="146"/>
        <w:gridCol w:w="352"/>
        <w:gridCol w:w="513"/>
        <w:gridCol w:w="262"/>
        <w:gridCol w:w="262"/>
        <w:gridCol w:w="352"/>
        <w:gridCol w:w="622"/>
        <w:gridCol w:w="146"/>
        <w:gridCol w:w="146"/>
        <w:gridCol w:w="323"/>
        <w:gridCol w:w="470"/>
        <w:gridCol w:w="240"/>
        <w:gridCol w:w="240"/>
        <w:gridCol w:w="323"/>
        <w:gridCol w:w="570"/>
        <w:gridCol w:w="297"/>
      </w:tblGrid>
      <w:tr>
        <w:trPr/>
        <w:tc>
          <w:tcPr>
            <w:tcW w:w="2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Location of Gain Recognized in </w:t>
              <w:br/>
              <w:t>Income on Derivative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2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Amount of Gain Recognized in </w:t>
              <w:br/>
              <w:t>Income on Derivative Instruments</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3"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2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2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82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 xml:space="preserve">Derivatives Not Designated </w:t>
              <w:br/>
              <w:t>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8"/>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effect of fair value and cash flow hedge on the condensed consolidated statements of earnings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16"/>
        <w:gridCol w:w="146"/>
        <w:gridCol w:w="2183"/>
        <w:gridCol w:w="146"/>
        <w:gridCol w:w="258"/>
        <w:gridCol w:w="574"/>
        <w:gridCol w:w="218"/>
        <w:gridCol w:w="192"/>
        <w:gridCol w:w="258"/>
        <w:gridCol w:w="674"/>
        <w:gridCol w:w="153"/>
        <w:gridCol w:w="153"/>
        <w:gridCol w:w="241"/>
        <w:gridCol w:w="538"/>
        <w:gridCol w:w="204"/>
        <w:gridCol w:w="179"/>
        <w:gridCol w:w="241"/>
        <w:gridCol w:w="631"/>
        <w:gridCol w:w="300"/>
      </w:tblGrid>
      <w:tr>
        <w:trPr/>
        <w:tc>
          <w:tcPr>
            <w:tcW w:w="2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Location of Gain Recognized in </w:t>
              <w:br/>
              <w:t>Income on Derivative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 of (Losses) Gains Recognized in Interest</w:t>
              <w:br/>
              <w:t>Income on Derivative Instruments</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 xml:space="preserve">Fair value hedges: </w:t>
              <w:br/>
              <w:t>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2,309</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 xml:space="preserve">Cash flow hedges: </w:t>
              <w:br/>
              <w:t>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2,639</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BALANCE SHEET OFFSETTING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Assets and liabilities relating to certain financial instruments, including, derivative instruments and securities sold under repurchase agreements, may be eligible for offset in the condensed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The Company offers a repurchase agreement product to our customers, which include master netting agreements that allow for the netting of collateral positions. This product, known as Citizens Sweep Manager, involves the sale of certain securities overnight to customers under agreements to repurchase the securities the next business day. The repurchase agreements are not offset in the Company’s condensed consolidated balances.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summarize gross and net information about financial instruments and derivative instruments that are offset in the consolidated balance sheets that are subject to enforceable master netting arrangement at June 30, 2026 and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194"/>
        <w:gridCol w:w="390"/>
        <w:gridCol w:w="880"/>
        <w:gridCol w:w="146"/>
        <w:gridCol w:w="146"/>
        <w:gridCol w:w="394"/>
        <w:gridCol w:w="853"/>
        <w:gridCol w:w="166"/>
        <w:gridCol w:w="146"/>
        <w:gridCol w:w="386"/>
        <w:gridCol w:w="867"/>
        <w:gridCol w:w="146"/>
        <w:gridCol w:w="146"/>
        <w:gridCol w:w="316"/>
        <w:gridCol w:w="792"/>
        <w:gridCol w:w="171"/>
        <w:gridCol w:w="222"/>
        <w:gridCol w:w="202"/>
        <w:gridCol w:w="777"/>
        <w:gridCol w:w="166"/>
        <w:gridCol w:w="213"/>
        <w:gridCol w:w="198"/>
        <w:gridCol w:w="670"/>
        <w:gridCol w:w="618"/>
      </w:tblGrid>
      <w:tr>
        <w:trPr/>
        <w:tc>
          <w:tcPr>
            <w:tcW w:w="119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Amounts Recognized in the Condensed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Amounts Offset in the Condensed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Amounts Presented in the Condensed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Amounts Not Offset</w:t>
              <w:br/>
              <w:t>in the Condensed Consolidated Balance Sheets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Balance 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Balance Sheets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Balance 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Financial Instruments</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Collateral Pledged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Amount</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June 30, 2026</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Financial assets:</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assets</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3,852</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3,852</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Financial liabilities:</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liabilities</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agreements</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563,405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563,405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(563,405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(563,819</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25,321</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Financial assets:</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assets</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Financial liabilities:</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Derivatives liabilities</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52,925</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agreements</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(31,277</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529,150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502,031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27,119</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(507,502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21,648</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Represents the fair value of securities pledged with counterparty bank.</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Represents cash collateral received from or pledged with counterparty bank. Amounts are limited to the derivative asset or liability balance and, accordingly, do not include excess collateral, if any, received or pledged.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OTHER COMPREHENSIVE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provides a summary of the components of OCI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42"/>
        <w:gridCol w:w="146"/>
        <w:gridCol w:w="202"/>
        <w:gridCol w:w="684"/>
        <w:gridCol w:w="166"/>
        <w:gridCol w:w="146"/>
        <w:gridCol w:w="201"/>
        <w:gridCol w:w="588"/>
        <w:gridCol w:w="166"/>
        <w:gridCol w:w="146"/>
        <w:gridCol w:w="203"/>
        <w:gridCol w:w="593"/>
        <w:gridCol w:w="166"/>
        <w:gridCol w:w="146"/>
        <w:gridCol w:w="217"/>
        <w:gridCol w:w="669"/>
        <w:gridCol w:w="166"/>
        <w:gridCol w:w="146"/>
        <w:gridCol w:w="201"/>
        <w:gridCol w:w="588"/>
        <w:gridCol w:w="166"/>
        <w:gridCol w:w="146"/>
        <w:gridCol w:w="196"/>
        <w:gridCol w:w="601"/>
        <w:gridCol w:w="814"/>
      </w:tblGrid>
      <w:tr>
        <w:trPr/>
        <w:tc>
          <w:tcPr>
            <w:tcW w:w="2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Before-tax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Before-tax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After-tax</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fair value recorded in AOCI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net unrealized losses on securities transferred from AFS to HTM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fair value recorded in AOCI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7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7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fair value recorded in AOCI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27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9,168</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57"/>
        <w:gridCol w:w="146"/>
        <w:gridCol w:w="202"/>
        <w:gridCol w:w="684"/>
        <w:gridCol w:w="166"/>
        <w:gridCol w:w="146"/>
        <w:gridCol w:w="201"/>
        <w:gridCol w:w="586"/>
        <w:gridCol w:w="166"/>
        <w:gridCol w:w="146"/>
        <w:gridCol w:w="196"/>
        <w:gridCol w:w="661"/>
        <w:gridCol w:w="166"/>
        <w:gridCol w:w="146"/>
        <w:gridCol w:w="202"/>
        <w:gridCol w:w="684"/>
        <w:gridCol w:w="166"/>
        <w:gridCol w:w="146"/>
        <w:gridCol w:w="196"/>
        <w:gridCol w:w="661"/>
        <w:gridCol w:w="166"/>
        <w:gridCol w:w="146"/>
        <w:gridCol w:w="196"/>
        <w:gridCol w:w="661"/>
        <w:gridCol w:w="812"/>
      </w:tblGrid>
      <w:tr>
        <w:trPr/>
        <w:tc>
          <w:tcPr>
            <w:tcW w:w="2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2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Before-tax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Before-tax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After-tax</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0"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fair value recorded in AOCI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57,359</w:t>
            </w:r>
          </w:p>
        </w:tc>
        <w:tc>
          <w:tcPr>
            <w:tcW w:w="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net unrealized losses on securities transferred from AFS to HTM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5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fair value recorded in AOCI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(11,985</w:t>
            </w:r>
          </w:p>
        </w:tc>
        <w:tc>
          <w:tcPr>
            <w:tcW w:w="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5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fair value recorded in AOCI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(1,651</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255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43,932</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LEASES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While the Company has, as a lessor, certain equipment finance leases, such leases are not material to the Company’s consolidated financial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Heritage acquisition, the Company assumed Heritage's $28.0 million ROU assets and $28.0 million lease liabilities at the acquisition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tables below present the components of lease costs and supplemental information related to leases as of and for the periods presented.</w:t>
      </w:r>
    </w:p>
    <w:p>
      <w:pPr>
        <w:pStyle w:val="TextBody"/>
        <w:bidi w:val="0"/>
        <w:jc w:val="left"/>
        <w:rPr/>
      </w:pPr>
      <w:r>
        <w:rPr/>
        <w:t> </w:t>
      </w:r>
    </w:p>
    <w:tbl>
      <w:tblPr>
        <w:tblW w:w="4902" w:type="dxa"/>
        <w:jc w:val="left"/>
        <w:tblInd w:w="0" w:type="dxa"/>
        <w:tblLayout w:type="fixed"/>
        <w:tblCellMar>
          <w:top w:w="28" w:type="dxa"/>
          <w:left w:w="28" w:type="dxa"/>
          <w:bottom w:w="28" w:type="dxa"/>
          <w:right w:w="28" w:type="dxa"/>
        </w:tblCellMar>
      </w:tblPr>
      <w:tblGrid>
        <w:gridCol w:w="2236"/>
        <w:gridCol w:w="146"/>
        <w:gridCol w:w="196"/>
        <w:gridCol w:w="601"/>
        <w:gridCol w:w="146"/>
        <w:gridCol w:w="146"/>
        <w:gridCol w:w="280"/>
        <w:gridCol w:w="860"/>
        <w:gridCol w:w="2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Lease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43,786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46,537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6513" w:type="dxa"/>
        <w:jc w:val="left"/>
        <w:tblInd w:w="0" w:type="dxa"/>
        <w:tblLayout w:type="fixed"/>
        <w:tblCellMar>
          <w:top w:w="28" w:type="dxa"/>
          <w:left w:w="28" w:type="dxa"/>
          <w:bottom w:w="28" w:type="dxa"/>
          <w:right w:w="28" w:type="dxa"/>
        </w:tblCellMar>
      </w:tblPr>
      <w:tblGrid>
        <w:gridCol w:w="2126"/>
        <w:gridCol w:w="146"/>
        <w:gridCol w:w="201"/>
        <w:gridCol w:w="525"/>
        <w:gridCol w:w="150"/>
        <w:gridCol w:w="150"/>
        <w:gridCol w:w="201"/>
        <w:gridCol w:w="525"/>
        <w:gridCol w:w="146"/>
        <w:gridCol w:w="146"/>
        <w:gridCol w:w="196"/>
        <w:gridCol w:w="511"/>
        <w:gridCol w:w="146"/>
        <w:gridCol w:w="146"/>
        <w:gridCol w:w="196"/>
        <w:gridCol w:w="511"/>
        <w:gridCol w:w="491"/>
      </w:tblGrid>
      <w:tr>
        <w:trPr/>
        <w:tc>
          <w:tcPr>
            <w:tcW w:w="2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Operating lease expense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4,049</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597" w:type="dxa"/>
        <w:jc w:val="left"/>
        <w:tblInd w:w="0" w:type="dxa"/>
        <w:tblLayout w:type="fixed"/>
        <w:tblCellMar>
          <w:top w:w="28" w:type="dxa"/>
          <w:left w:w="28" w:type="dxa"/>
          <w:bottom w:w="28" w:type="dxa"/>
          <w:right w:w="28" w:type="dxa"/>
        </w:tblCellMar>
      </w:tblPr>
      <w:tblGrid>
        <w:gridCol w:w="3256"/>
        <w:gridCol w:w="146"/>
        <w:gridCol w:w="196"/>
        <w:gridCol w:w="511"/>
        <w:gridCol w:w="146"/>
        <w:gridCol w:w="146"/>
        <w:gridCol w:w="196"/>
        <w:gridCol w:w="511"/>
        <w:gridCol w:w="146"/>
        <w:gridCol w:w="146"/>
        <w:gridCol w:w="196"/>
        <w:gridCol w:w="511"/>
        <w:gridCol w:w="146"/>
        <w:gridCol w:w="146"/>
        <w:gridCol w:w="196"/>
        <w:gridCol w:w="511"/>
        <w:gridCol w:w="4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paid for amounts included in the</w:t>
              <w:br/>
              <w:t>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Operating cash outflows from operating</w:t>
              <w:br/>
              <w:t>   leases,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Includes short-term leases and variable lease costs, which are immaterial.</w:t>
      </w:r>
    </w:p>
    <w:p>
      <w:pPr>
        <w:pStyle w:val="TextBody"/>
        <w:bidi w:val="0"/>
        <w:jc w:val="left"/>
        <w:rPr/>
      </w:pPr>
      <w:r>
        <w:rPr/>
        <w:t> </w:t>
      </w:r>
    </w:p>
    <w:p>
      <w:pPr>
        <w:pStyle w:val="TextBody"/>
        <w:bidi w:val="0"/>
        <w:jc w:val="left"/>
        <w:rPr/>
      </w:pPr>
      <w:r>
        <w:rPr/>
        <w:t> </w:t>
      </w:r>
    </w:p>
    <w:tbl>
      <w:tblPr>
        <w:tblW w:w="6160" w:type="dxa"/>
        <w:jc w:val="left"/>
        <w:tblInd w:w="0" w:type="dxa"/>
        <w:tblLayout w:type="fixed"/>
        <w:tblCellMar>
          <w:top w:w="28" w:type="dxa"/>
          <w:left w:w="28" w:type="dxa"/>
          <w:bottom w:w="28" w:type="dxa"/>
          <w:right w:w="28" w:type="dxa"/>
        </w:tblCellMar>
      </w:tblPr>
      <w:tblGrid>
        <w:gridCol w:w="3421"/>
        <w:gridCol w:w="146"/>
        <w:gridCol w:w="193"/>
        <w:gridCol w:w="557"/>
        <w:gridCol w:w="256"/>
        <w:gridCol w:w="146"/>
        <w:gridCol w:w="293"/>
        <w:gridCol w:w="847"/>
        <w:gridCol w:w="30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Lease Term and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lease arrangements that have not yet commenced as of June 30, 2026 and the Company’s short-term lease costs and variable lease costs, for the six months ended June 30, 2026 and 2025 are not material to the consolidated financial statements. The future lease payments required for leases that have initial or remaining non-cancelable lease terms in excess of one year as of June 30, 2026, excluding property taxes and insurance, are as follows:</w:t>
      </w:r>
    </w:p>
    <w:p>
      <w:pPr>
        <w:pStyle w:val="TextBody"/>
        <w:bidi w:val="0"/>
        <w:jc w:val="left"/>
        <w:rPr/>
      </w:pPr>
      <w:r>
        <w:rPr/>
        <w:t> </w:t>
      </w:r>
    </w:p>
    <w:tbl>
      <w:tblPr>
        <w:tblW w:w="4503" w:type="dxa"/>
        <w:jc w:val="left"/>
        <w:tblInd w:w="0" w:type="dxa"/>
        <w:tblLayout w:type="fixed"/>
        <w:tblCellMar>
          <w:top w:w="28" w:type="dxa"/>
          <w:left w:w="28" w:type="dxa"/>
          <w:bottom w:w="28" w:type="dxa"/>
          <w:right w:w="28" w:type="dxa"/>
        </w:tblCellMar>
      </w:tblPr>
      <w:tblGrid>
        <w:gridCol w:w="2326"/>
        <w:gridCol w:w="146"/>
        <w:gridCol w:w="397"/>
        <w:gridCol w:w="1343"/>
        <w:gridCol w:w="2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 (remainder of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17,176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14,890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27,133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future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96,281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75,996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15. REVENUE RECOGNITION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presents noninterest income, segregated by revenue streams in-scope and out-of-scope of Topic 606, for the periods indicated. </w:t>
      </w:r>
    </w:p>
    <w:p>
      <w:pPr>
        <w:pStyle w:val="TextBody"/>
        <w:bidi w:val="0"/>
        <w:jc w:val="left"/>
        <w:rPr/>
      </w:pPr>
      <w:r>
        <w:rPr/>
        <w:t> </w:t>
      </w:r>
    </w:p>
    <w:tbl>
      <w:tblPr>
        <w:tblW w:w="8542" w:type="dxa"/>
        <w:jc w:val="left"/>
        <w:tblInd w:w="0" w:type="dxa"/>
        <w:tblLayout w:type="fixed"/>
        <w:tblCellMar>
          <w:top w:w="28" w:type="dxa"/>
          <w:left w:w="28" w:type="dxa"/>
          <w:bottom w:w="28" w:type="dxa"/>
          <w:right w:w="28" w:type="dxa"/>
        </w:tblCellMar>
      </w:tblPr>
      <w:tblGrid>
        <w:gridCol w:w="3641"/>
        <w:gridCol w:w="146"/>
        <w:gridCol w:w="196"/>
        <w:gridCol w:w="601"/>
        <w:gridCol w:w="146"/>
        <w:gridCol w:w="146"/>
        <w:gridCol w:w="196"/>
        <w:gridCol w:w="601"/>
        <w:gridCol w:w="146"/>
        <w:gridCol w:w="146"/>
        <w:gridCol w:w="196"/>
        <w:gridCol w:w="601"/>
        <w:gridCol w:w="146"/>
        <w:gridCol w:w="146"/>
        <w:gridCol w:w="196"/>
        <w:gridCol w:w="601"/>
        <w:gridCol w:w="691"/>
      </w:tblGrid>
      <w:tr>
        <w:trPr/>
        <w:tc>
          <w:tcPr>
            <w:tcW w:w="3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8"/>
              </w:rPr>
            </w:pPr>
            <w:r>
              <w:rPr>
                <w:rFonts w:ascii="Times New Roman" w:hAnsi="Times New Roman"/>
                <w:i/>
                <w:color w:val="000000"/>
                <w:sz w:val="18"/>
              </w:rPr>
              <w:t>In-scope of Topic 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Service charges on deposit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Trust and investment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Bankcard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Gain on OREO,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Noninterest Income (in-scope of Topic 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24,914</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Noninterest Income (out-of-scope of Topic 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6,059</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30,973</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Note 3 – </w:t>
      </w:r>
      <w:r>
        <w:rPr>
          <w:rFonts w:ascii="Times New Roman" w:hAnsi="Times New Roman"/>
          <w:i/>
          <w:color w:val="000000"/>
          <w:sz w:val="20"/>
        </w:rPr>
        <w:t>Summary of Significant Accounting Policies</w:t>
      </w:r>
      <w:r>
        <w:rPr>
          <w:rFonts w:ascii="Times New Roman" w:hAnsi="Times New Roman"/>
          <w:color w:val="000000"/>
          <w:sz w:val="20"/>
        </w:rPr>
        <w:t xml:space="preserve"> and Note 22 – </w:t>
      </w:r>
      <w:r>
        <w:rPr>
          <w:rFonts w:ascii="Times New Roman" w:hAnsi="Times New Roman"/>
          <w:i/>
          <w:color w:val="000000"/>
          <w:sz w:val="20"/>
        </w:rPr>
        <w:t>Revenue Recognition,</w:t>
      </w:r>
      <w:r>
        <w:rPr>
          <w:rFonts w:ascii="Times New Roman" w:hAnsi="Times New Roman"/>
          <w:color w:val="000000"/>
          <w:sz w:val="20"/>
        </w:rPr>
        <w:t xml:space="preserve"> included in our Annual Report on Form 10-K for the year ended December 31, 2025 for a more detailed discussion about noninterest revenue streams that are in-scope of Topic 606.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16. INCOME TAXES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invests in low-income housing tax credit and solar tax funds that are designed to generate a return primarily through the realization of federal tax credits. The Company accounts for these investments using the proportional amortization method, under which the cost of the investments is amortized over the life of the investment in proportion to the tax credits and other tax benefits received. The amortization of tax credit investments is included as a component of the provision for income taxes in the consolidated statements of earnings and comprehensive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balances of the Company's tax credit investments recorded in other assets and related unfunded commitments recorded in other liabilities on the consolidated balance sheets at June 30, 2026 and December 31, 2025:</w:t>
      </w:r>
    </w:p>
    <w:p>
      <w:pPr>
        <w:pStyle w:val="TextBody"/>
        <w:bidi w:val="0"/>
        <w:jc w:val="left"/>
        <w:rPr/>
      </w:pPr>
      <w:r>
        <w:rPr/>
        <w:t> </w:t>
      </w:r>
    </w:p>
    <w:tbl>
      <w:tblPr>
        <w:tblW w:w="6840" w:type="dxa"/>
        <w:jc w:val="left"/>
        <w:tblInd w:w="0" w:type="dxa"/>
        <w:tblLayout w:type="fixed"/>
        <w:tblCellMar>
          <w:top w:w="28" w:type="dxa"/>
          <w:left w:w="28" w:type="dxa"/>
          <w:bottom w:w="28" w:type="dxa"/>
          <w:right w:w="28" w:type="dxa"/>
        </w:tblCellMar>
      </w:tblPr>
      <w:tblGrid>
        <w:gridCol w:w="3511"/>
        <w:gridCol w:w="146"/>
        <w:gridCol w:w="255"/>
        <w:gridCol w:w="900"/>
        <w:gridCol w:w="146"/>
        <w:gridCol w:w="146"/>
        <w:gridCol w:w="341"/>
        <w:gridCol w:w="1204"/>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Unfunded commitments - tax credit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income tax credits and other tax benefits, as well as amortization expense, associated with the Company's tax credit investments for the periods indicated:</w:t>
      </w:r>
    </w:p>
    <w:p>
      <w:pPr>
        <w:pStyle w:val="TextBody"/>
        <w:bidi w:val="0"/>
        <w:jc w:val="left"/>
        <w:rPr/>
      </w:pPr>
      <w:r>
        <w:rPr/>
        <w:t> </w:t>
      </w:r>
    </w:p>
    <w:tbl>
      <w:tblPr>
        <w:tblW w:w="9847" w:type="dxa"/>
        <w:jc w:val="left"/>
        <w:tblInd w:w="0" w:type="dxa"/>
        <w:tblLayout w:type="fixed"/>
        <w:tblCellMar>
          <w:top w:w="28" w:type="dxa"/>
          <w:left w:w="28" w:type="dxa"/>
          <w:bottom w:w="28" w:type="dxa"/>
          <w:right w:w="28" w:type="dxa"/>
        </w:tblCellMar>
      </w:tblPr>
      <w:tblGrid>
        <w:gridCol w:w="5116"/>
        <w:gridCol w:w="146"/>
        <w:gridCol w:w="196"/>
        <w:gridCol w:w="661"/>
        <w:gridCol w:w="166"/>
        <w:gridCol w:w="146"/>
        <w:gridCol w:w="196"/>
        <w:gridCol w:w="571"/>
        <w:gridCol w:w="166"/>
        <w:gridCol w:w="146"/>
        <w:gridCol w:w="196"/>
        <w:gridCol w:w="661"/>
        <w:gridCol w:w="166"/>
        <w:gridCol w:w="146"/>
        <w:gridCol w:w="196"/>
        <w:gridCol w:w="661"/>
        <w:gridCol w:w="31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credits and other tax benefits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credit amortization expense included in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(16,907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bookmarkStart w:id="10" w:name="i_item2_mda"/>
      <w:bookmarkEnd w:id="10"/>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National Association (the “Bank” or “CBB”).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2025 (the “2025 Form 10-K”) and the unaudited condensed consolidated financial statements and accompanying notes presented elsewhere in this report.</w:t>
      </w:r>
    </w:p>
    <w:p>
      <w:pPr>
        <w:pStyle w:val="TextBody"/>
        <w:bidi w:val="0"/>
        <w:jc w:val="left"/>
        <w:rPr/>
      </w:pPr>
      <w:r>
        <w:rPr/>
        <w:t> </w:t>
      </w:r>
    </w:p>
    <w:p>
      <w:pPr>
        <w:pStyle w:val="TextBody"/>
        <w:bidi w:val="0"/>
        <w:jc w:val="center"/>
        <w:rPr>
          <w:rFonts w:ascii="Times New Roman" w:hAnsi="Times New Roman"/>
          <w:b/>
          <w:color w:val="000000"/>
          <w:sz w:val="20"/>
        </w:rPr>
      </w:pPr>
      <w:bookmarkStart w:id="11" w:name="critical_accounting_policies"/>
      <w:bookmarkEnd w:id="11"/>
      <w:r>
        <w:rPr>
          <w:rFonts w:ascii="Times New Roman" w:hAnsi="Times New Roman"/>
          <w:b/>
          <w:color w:val="000000"/>
          <w:sz w:val="20"/>
        </w:rPr>
        <w:t>CRITICAL ACCOUNTING POLICIES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Allowance for Credit Losses (“ACL”)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Business Combinations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Valuation and Recoverability of Goodwill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Our significant accounting policies are described in greater detail in our 2025 Form 10-K in the “Critical Accounting Policies” section of Management’s Discussion and Analysis of Financial Condition and Results of Operations and in </w:t>
      </w:r>
      <w:r>
        <w:rPr>
          <w:rFonts w:ascii="Times New Roman" w:hAnsi="Times New Roman"/>
          <w:i/>
          <w:color w:val="000000"/>
          <w:sz w:val="20"/>
        </w:rPr>
        <w:t>Note 3 – Summary of Significant Accounting Policies</w:t>
      </w:r>
      <w:r>
        <w:rPr>
          <w:rFonts w:ascii="Times New Roman" w:hAnsi="Times New Roman"/>
          <w:color w:val="000000"/>
          <w:sz w:val="20"/>
        </w:rPr>
        <w:t xml:space="preserve"> included in the 2025 Form 10-K.</w:t>
      </w:r>
    </w:p>
    <w:p>
      <w:pPr>
        <w:pStyle w:val="TextBody"/>
        <w:bidi w:val="0"/>
        <w:jc w:val="both"/>
        <w:rPr/>
      </w:pPr>
      <w:r>
        <w:rPr/>
        <w:t> </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Acquisition of Heritage Commerce Corp.</w:t>
      </w:r>
    </w:p>
    <w:p>
      <w:pPr>
        <w:pStyle w:val="TextBody"/>
        <w:bidi w:val="0"/>
        <w:spacing w:before="0" w:after="16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17, 2026, the Company completed its previously announced acquisition of Heritage Commerce Corp and its wholly-owned banking subsidiary, Heritage Bank of Commerce (collectively, “Heritage”). The systems conversion was also completed during the second quarter of 2026. The acquisition was an all-stock transaction accounted for under the acquisition method of accounting as a business combination pursuant to the Agreement and Plan of Reorganization and Merger, dated December 17, 2025 (the “Merger Agreement”), by and between CVB and Heritage. Under the terms of the Merger Agreement, Heritage shareholders received 0.65 shares of the Company’s common stock for each share of Heritage common stock owned. Total merger consideration was $845.5 million. Upon closing, the Company acquired loans with a fair value of $3.4 billion and investment securities with a fair value of $1.0 billion, and assumed $1.2 billion of noninterest-bearing deposits, $3.5 billion of interest-bearing deposits, and $38.7 million of subordinated debt. The preliminary purchase price allocation resulted in $450.7 million of intangible assets, consisting of a core deposit intangible asset of $116.6 million and goodwill of $334.1 million.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additional information on the acquisition of Heritage, see Note 4 - </w:t>
      </w:r>
      <w:r>
        <w:rPr>
          <w:rFonts w:ascii="Times New Roman" w:hAnsi="Times New Roman"/>
          <w:i/>
          <w:color w:val="000000"/>
          <w:sz w:val="20"/>
        </w:rPr>
        <w:t>Business Combination</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bookmarkStart w:id="12" w:name="overview"/>
      <w:bookmarkEnd w:id="12"/>
      <w:r>
        <w:rPr>
          <w:rFonts w:ascii="Times New Roman" w:hAnsi="Times New Roman"/>
          <w:b/>
          <w:color w:val="000000"/>
          <w:sz w:val="20"/>
        </w:rPr>
        <w:t>OVERVIEW</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financial results for the three and six months ended June 30, 2026 reflect the impact of the acquisition of Heritage completed on April 17, 2026.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the second quarter of 2026, we reported net earnings of $48.3 million, or diluted earnings per share of $0.29, compared with $50.6 million, or diluted earnings per share of $0.37 for the second quarter of 2025. Net earnings for the second quarter of 2026 generated an annualized return on average equity (“ROAE”) of 6.41%, an annualized return on average tangible common equity (“ROATCE”) of 10.85%, and an annualized return on average assets (“ROAA”) of 0.97%, compared with 9.06%, 14.08%, and 1.34%, respectively, for the second quarter of 2025. Our net interest margin (“NIM”), on a tax equivalent basis, was 3.72% for the second quarter of 2026, while our efficiency ratio was 63.75%. Excluding acquisition expense and provision for unfunded commitments, our adjusted efficiency ratio was 43.88% for the second quarter of 2026, compared with 45.55% for the second quarter of 2025. ROATCE and the adjusted efficiency ratio are non-GAAP financial measures. For additional details, refer to Item 2. </w:t>
      </w:r>
      <w:r>
        <w:rPr>
          <w:rFonts w:ascii="Times New Roman" w:hAnsi="Times New Roman"/>
          <w:i/>
          <w:color w:val="000000"/>
          <w:sz w:val="20"/>
        </w:rPr>
        <w:t>Management’s Discussion and Analysis of Financial Condition and Results of Operations (“MD&amp;A”) — GAAP to Non-GAAP Reconciliations</w:t>
      </w:r>
      <w:r>
        <w:rPr>
          <w:rFonts w:ascii="Times New Roman" w:hAnsi="Times New Roman"/>
          <w:color w:val="000000"/>
          <w:sz w:val="20"/>
        </w:rPr>
        <w:t xml:space="preserve"> in this Form 10-Q.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six months ended June 30, 2026, net earnings was $99.3 million, or diluted earnings per share of $0.65, compared with $101.7 million, or diluted earnings per share of $0.73 for the six months ended June 30, 2025. Net earnings for the six months ended June 30, 2026 produced an annualized ROAE of 7.47%, ROATCE of 11.99%, and ROAA of 1.13% compared with 9.18%, 14.29%, and 1.35%, respectively, for the same period last year. Our NIM, on a tax equivalent basis, was 3.60% for six months ended June 30, 2026, while our efficiency ratio was 56.15%, compared with a NIM of 3.31% and an efficiency ratio of 46.12% for the same period last year. Excluding acquisition expense and the provision for unfunded commitments, our adjusted efficiency ratio was 44.19% for the six months ended June 30, 2026, compared with 45.92% for the same period last year.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second quarter of 2026, net interest income was $162.4 million, an increase of $50.8 million, or 45.5%, from the second quarter of 2025. The increase was primarily attributable to a $57.9 million increase in interest income driven by a $4.01 billion increase in average interest-earning assets and a 34 basis point increase in the yield on earning assets. The increase in interest income was offset by a $7.1 million increase in interest expense attributable to a $2.83 billion increase in average interest-bearing deposits and customer repurchase agreements. For the six months ended June 30, 2026, net interest income was $280.3 million, an increase of $58.2 million, or 26.2%, compared with the same period last year.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Noninterest income for the second quarter of 2026 was $17.0 million, an increase of $2.3 million, or 15.4%, from $14.7 million for the second quarter of 2025, reflecting the impact of the Heritage acquisition. The increase included $468,000 in trust and investment services, $377,000 in service charges on deposit accounts, $264,000 in Bank-owned life insurance (“BOLI”) income, and $1.2 million in other income. For the six months ended June 30, 2026, noninterest income was $31.3 million, an increase of $316,000, or 1.0%, from $31.0 million from the same period last year.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Noninterest expense for the second quarter of 2026 was $114.4 million, an increase of $56.8 million, or 98.7%, from $57.6 million for the second quarter of 2025. The increase was primarily attributable to the Heritage acquisition and the related addition of operations, personnel, and banking centers. During the second quarter of 2026, the Company incurred $31.4 million of acquisition expenses and recorded an initial provision of $4.3 million for unfunded loan commitments acquired in the transaction. Excluding acquisition expense and the provision for unfunded loan commitments, the increase in noninterest expense compared with the second quarter of 2025 was $21.2 million. For the six months ended June 30, 2026, noninterest expense was $174.9 million, an increase of $58.2 million, or 49.9% from the same period last year.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June 30, 2026, total assets were $21.18 billion, an increase of $5.55 billion, or 35.52%, from total assets of $15.63 billion at December 31, 2025. Interest-earning assets were $18.69 billion at June 30, 2026, an increase of $4.69 billion, or 33.56%, compared with $13.99 billion at December 31, 2025. The increase in interest-earning assets was primarily due to a $3.32 billion increase in total loans, a $728.0 million increase in cash and cash equivalents, and a $722.8 million increase in investment securities. The increase in total assets primarily reflected the impact of the Heritage acquisition completed on April 17, 2026, which added approximately $5.41 billion of assets, partially offset by balance sheet optimization activities during the quarter.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investment securities were $5.68 billion at June 30, 2026, an increase of $722.8 million, or 14.6%, from $4.95 billion at December 31, 2025. The increase was primarily attributable to $1.02 billion of investment securities acquired in the Heritage acquisition, of which $519.0 million was retained and $488.2 million were sold upon completion of the merger as part of the Company's balance sheet optimization strategy, as well as approximately $511.5 million of purchases of AFS securities during the second quarter of 2026. At June 30, 2026, investment securities held-to-maturity (“HTM”) totaled $2.22 billion, a decrease of $51.9 million, or 2.3%, from $2.27 billion at December 31, 2025. At June 30, 2026, available-for-sale (“AFS”) investment securities totaled $3.46 billion, inclusive of a pre-tax net unrealized loss of $323.5 million. AFS securities increased by $774.7 million, or 28.87%, from $2.68 billion at December 31, 2025. The pre-tax unrealized loss increased by $15.7 million from December 31, 2025. Our average tax equivalent yield on investments was 2.74% for the second quarter of 2026, compared to 2.62% for the second quarter of 2025.</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Fair value hedging transactions with $700 million notional pay-fixed interest rate swaps, had a fair value which totaled $3.8 million and was reflected as an asset at June 30, 2026. The fair value of these instruments totaled $8.6 million and were reflected as a liability at December 31, 2025. These instruments generated negative interest income of $100,000 for the second quarter of 2026, compared to interest income of $1.2 million for the second quarter of 2025. Refer to Note 11 – </w:t>
      </w:r>
      <w:r>
        <w:rPr>
          <w:rFonts w:ascii="Times New Roman" w:hAnsi="Times New Roman"/>
          <w:i/>
          <w:color w:val="000000"/>
          <w:sz w:val="20"/>
        </w:rPr>
        <w:t>Derivative Financial Instruments</w:t>
      </w:r>
      <w:r>
        <w:rPr>
          <w:rFonts w:ascii="Times New Roman" w:hAnsi="Times New Roman"/>
          <w:color w:val="000000"/>
          <w:sz w:val="20"/>
        </w:rPr>
        <w:t xml:space="preserve"> of the notes to the consolidated financial statements of this report for additional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loans and leases, at amortized cost, of $12.02 billion at June 30, 2026, increased by $3.32 billion, or 38.1%, from December 31, 2025. The increase was primarily attributable to the Heritage acquisition, which added $3.10 billion of loans held for investment recorded at fair value as of the acquisition date, as well as organic loan growth. To further optimize the balance sheet, the Company sold SFR mortgage pools acquired from Heritage at their fair value of $327.5 million during the second quarter of 2026. The increase in total loans and leases included increases of $2.41 billion in commercial real estate loans, $505.3 million in commercial and industrial loans, $172.2 million in construction loans, $166.2 million in consumer loans, $159.2 million in SBA loans, and $59.6 million in SFR mortgage loans. Our average loan yields were 5.53% for the quarter ended June 30, 2026, compared with 5.22% for the second quarter of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allowance for credit losses totaled $126.7 million at June 30, 2026, compared with $77.2 million at December 31, 2025. There was no provision for credit losses for either the second quarter of 2026 or 2025. The $49.5 million increase was primarily the result of the $46.9 million allowance for credit losses established for the loans acquired from Heritage and a $3 million provision for credit losses incurred in the first quarter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Noninterest-bearing deposits were $8.61 billion at June 30, 2026, an increase of $1.81 billion, or 26.6%, compared with $6.80 billion at December 31, 2025. The increase was primarily the result of $1.2 billion of noninterest-bearing deposits assumed in the Heritage merger. At June 30, 2026, noninterest-bearing deposits were 52.8% of total deposits, compared with 56.33% at December 31, 2025. The decline in the proportion of noninterest-bearing deposits reflected the mix of deposits assumed in the Heritage acquisition.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Interest-bearing deposits were $7.68 billion at June 30, 2026, an increase of $2.41 billion, or 45.7%, when compared with $5.27 billion at December 31, 2025. The increase in interest-bearing deposits primarily reflected $3.5 billion of interest-bearing deposits assumed in connection with the Heritage acquisition, partially offset by the maturity of $300.0 million of brokered CDs that were not renewed during the second quarter of 2026. Customer repurchase agreements totaled $563.4 million at June 30, 2026, compared with $490.6 million at December 31,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deposits and customer repurchase agreements totaled $16.85 billion at June 30, 2026, an increase from December 31, 2025 of $4.29 billion, including $4.75 billion of total deposits assumed in the Heritage acquisition. Our average cost of total deposits including customer repurchase agreements was 0.86% for the quarter ended June 30, 2026, compared to 0.87% for the quarter ended June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June 30, 2026, total borrowings were $539.0 million, consisting of $500.0 million of FHLB advances and $39.0 million of subordinated debt assumed in the Heritage acquisition, compared with $500.0 million of FHLB advances at December 31, 2025. At June 30, 2026, FHLB advances consisted of $300.0 million of three-month advances that replaced maturing brokered CDs and were designated in related pay-fixed, receive-floating interest rate swaps accounted for as cash flow hedges, under which the Company pays a fixed rate of 4.10% and receives SOFR and a $200.0 million advance bearing interest at 4.27% maturing in May 2027.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0"/>
        </w:rPr>
        <w:t xml:space="preserve">Total stockholders' equity was $3.17 billion at June 30, 2026, an increase of $874.5 million compared with $2.30 billion at December 31, 2025. The increase was primarily attributable to $840.2 million of common shares issued and exchanged as a result of the Heritage acquisition and $99.3 million in net earnings, partially offset by $62.5 million in cash dividends declared and $5.1 million of common stock repurchases. During the second quarter of 2026, the Company repurchased 241,034 shares under the 2026 Repurchase Program at an average price of $21.06 per share for an aggregate purchase price of $5.1 million. Our tangible book value per share at June 30, 2026 was $11.07, which compares to $11.24 at December 31, 2025. Tangible book value per share is a non-GAAP financial measure. For additional details, refer to Item 2. – </w:t>
      </w:r>
      <w:r>
        <w:rPr>
          <w:rFonts w:ascii="Times New Roman" w:hAnsi="Times New Roman"/>
          <w:i/>
          <w:color w:val="000000"/>
          <w:sz w:val="20"/>
        </w:rPr>
        <w:t>MD&amp;A — GAAP to Non-GAAP Reconciliation.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Our capital ratios under the revised capital framework referred to as Basel III remain well-above regulatory requirements. As of June 30, 2026, the Company’s Tier 1 leverage capital ratio was 11.7%, Common Equity Tier 1 (“CET1”) ratio was 14.7%, Tier 1 risk-based capital ratio was 14.7%, and total risk-based capital ratio was 15.6%. Refer to Item 2. – </w:t>
      </w:r>
      <w:r>
        <w:rPr>
          <w:rFonts w:ascii="Times New Roman" w:hAnsi="Times New Roman"/>
          <w:i/>
          <w:color w:val="000000"/>
          <w:sz w:val="20"/>
        </w:rPr>
        <w:t>MD&amp;A —Analysis of Financial Condition – Capital Resources</w:t>
      </w:r>
      <w:r>
        <w:rPr>
          <w:rFonts w:ascii="Times New Roman" w:hAnsi="Times New Roman"/>
          <w:color w:val="000000"/>
          <w:sz w:val="20"/>
        </w:rPr>
        <w: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bookmarkStart w:id="13" w:name="analysis_results_operations"/>
      <w:bookmarkEnd w:id="13"/>
      <w:r>
        <w:rPr>
          <w:rFonts w:ascii="Times New Roman" w:hAnsi="Times New Roman"/>
          <w:b/>
          <w:color w:val="000000"/>
          <w:sz w:val="20"/>
        </w:rPr>
        <w:t>ANALYSIS OF THE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Financial Performance</w:t>
      </w:r>
      <w:r>
        <w:rPr>
          <w:rFonts w:ascii="Times New Roman" w:hAnsi="Times New Roman"/>
          <w:color w:val="000000"/>
          <w:sz w:val="20"/>
        </w:rPr>
        <w:t xml:space="preserve"> </w:t>
      </w:r>
    </w:p>
    <w:p>
      <w:pPr>
        <w:pStyle w:val="TextBody"/>
        <w:bidi w:val="0"/>
        <w:jc w:val="left"/>
        <w:rPr/>
      </w:pPr>
      <w:r>
        <w:rPr/>
        <w:t> </w:t>
      </w:r>
    </w:p>
    <w:tbl>
      <w:tblPr>
        <w:tblW w:w="8011" w:type="dxa"/>
        <w:jc w:val="left"/>
        <w:tblInd w:w="0" w:type="dxa"/>
        <w:tblLayout w:type="fixed"/>
        <w:tblCellMar>
          <w:top w:w="28" w:type="dxa"/>
          <w:left w:w="28" w:type="dxa"/>
          <w:bottom w:w="28" w:type="dxa"/>
          <w:right w:w="28" w:type="dxa"/>
        </w:tblCellMar>
      </w:tblPr>
      <w:tblGrid>
        <w:gridCol w:w="2866"/>
        <w:gridCol w:w="196"/>
        <w:gridCol w:w="751"/>
        <w:gridCol w:w="256"/>
        <w:gridCol w:w="146"/>
        <w:gridCol w:w="196"/>
        <w:gridCol w:w="691"/>
        <w:gridCol w:w="256"/>
        <w:gridCol w:w="146"/>
        <w:gridCol w:w="196"/>
        <w:gridCol w:w="661"/>
        <w:gridCol w:w="256"/>
        <w:gridCol w:w="146"/>
        <w:gridCol w:w="146"/>
        <w:gridCol w:w="601"/>
        <w:gridCol w:w="501"/>
      </w:tblGrid>
      <w:tr>
        <w:trPr/>
        <w:tc>
          <w:tcPr>
            <w:tcW w:w="28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Variance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 except per share amounts)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credit losses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-88.84</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(16,786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(17,549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earnings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48,261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per common share: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Return on average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Return on average shareholders' equity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Efficiency ratio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expense to average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981" w:type="dxa"/>
        <w:jc w:val="left"/>
        <w:tblInd w:w="0" w:type="dxa"/>
        <w:tblLayout w:type="fixed"/>
        <w:tblCellMar>
          <w:top w:w="28" w:type="dxa"/>
          <w:left w:w="28" w:type="dxa"/>
          <w:bottom w:w="28" w:type="dxa"/>
          <w:right w:w="28" w:type="dxa"/>
        </w:tblCellMar>
      </w:tblPr>
      <w:tblGrid>
        <w:gridCol w:w="2866"/>
        <w:gridCol w:w="196"/>
        <w:gridCol w:w="751"/>
        <w:gridCol w:w="256"/>
        <w:gridCol w:w="146"/>
        <w:gridCol w:w="196"/>
        <w:gridCol w:w="691"/>
        <w:gridCol w:w="256"/>
        <w:gridCol w:w="146"/>
        <w:gridCol w:w="196"/>
        <w:gridCol w:w="661"/>
        <w:gridCol w:w="256"/>
        <w:gridCol w:w="146"/>
        <w:gridCol w:w="146"/>
        <w:gridCol w:w="571"/>
        <w:gridCol w:w="501"/>
      </w:tblGrid>
      <w:tr>
        <w:trPr/>
        <w:tc>
          <w:tcPr>
            <w:tcW w:w="28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Variance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 except per share amounts)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15.37</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(16,786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earnings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48,261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50,564</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per common share:</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Return on average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Return on average shareholders' equity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Efficiency ratio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expense to average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251" w:type="dxa"/>
        <w:jc w:val="left"/>
        <w:tblInd w:w="0" w:type="dxa"/>
        <w:tblLayout w:type="fixed"/>
        <w:tblCellMar>
          <w:top w:w="28" w:type="dxa"/>
          <w:left w:w="28" w:type="dxa"/>
          <w:bottom w:w="28" w:type="dxa"/>
          <w:right w:w="28" w:type="dxa"/>
        </w:tblCellMar>
      </w:tblPr>
      <w:tblGrid>
        <w:gridCol w:w="2986"/>
        <w:gridCol w:w="196"/>
        <w:gridCol w:w="751"/>
        <w:gridCol w:w="256"/>
        <w:gridCol w:w="146"/>
        <w:gridCol w:w="196"/>
        <w:gridCol w:w="751"/>
        <w:gridCol w:w="256"/>
        <w:gridCol w:w="146"/>
        <w:gridCol w:w="196"/>
        <w:gridCol w:w="661"/>
        <w:gridCol w:w="256"/>
        <w:gridCol w:w="146"/>
        <w:gridCol w:w="146"/>
        <w:gridCol w:w="661"/>
        <w:gridCol w:w="501"/>
      </w:tblGrid>
      <w:tr>
        <w:trPr/>
        <w:tc>
          <w:tcPr>
            <w:tcW w:w="29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Variance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 except per share amounts)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280,255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recapture of credit losses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-49.91</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(34,335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(36,656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earnings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99,263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101,668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per common share:</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Return on average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Return on average shareholders' equity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Efficiency ratio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expense to average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GAAP to Non-GAAP Reconciliation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uses certain non-GAAP financial measures to provide supplemental information regarding the Company's operational performance and to enhance investors’ overall understanding of such financial performance. However, these non-GAAP financial measures are supplemental and are not a substitute for an analysis based on GAAP measures. As other companies may use different calculations for these adjusted measures, this presentation may not be comparable to other similarly titled adjusted measures reported by other companies.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Return on Average Tangible Common Equity Reconciliation (Non-GAAP)</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70"/>
        <w:gridCol w:w="146"/>
        <w:gridCol w:w="196"/>
        <w:gridCol w:w="886"/>
        <w:gridCol w:w="256"/>
        <w:gridCol w:w="146"/>
        <w:gridCol w:w="196"/>
        <w:gridCol w:w="826"/>
        <w:gridCol w:w="256"/>
        <w:gridCol w:w="146"/>
        <w:gridCol w:w="196"/>
        <w:gridCol w:w="826"/>
        <w:gridCol w:w="256"/>
        <w:gridCol w:w="146"/>
        <w:gridCol w:w="196"/>
        <w:gridCol w:w="826"/>
        <w:gridCol w:w="256"/>
        <w:gridCol w:w="146"/>
        <w:gridCol w:w="196"/>
        <w:gridCol w:w="826"/>
        <w:gridCol w:w="611"/>
      </w:tblGrid>
      <w:tr>
        <w:trPr/>
        <w:tc>
          <w:tcPr>
            <w:tcW w:w="2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 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Less: Tax effect of amortization of intangible assets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Tangible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50,798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51,605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51,378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102,403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103,295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3,019,704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2,335,673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2,237,948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2,679,578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2,232,478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Average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(1,041,190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(904,267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Average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(100,373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(53,119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Average tangible common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1,878,141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1,564,510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1,463,894</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1,722,192</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1,457,784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Return on average equity, annualized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Return on average tangible common equity, annualized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Tax effected at respective statutory rates.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Annualized where applicable.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Tangible Book Value (Non-GAAP)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tangible book value per share is a non-GAAP financial measure derived from GAAP-based amounts. The following is a reconciliation of tangible book value to the Company stockholders' equity computed in accordance with GAAP, as well as a calculation of tangible book value per share.</w:t>
      </w:r>
    </w:p>
    <w:p>
      <w:pPr>
        <w:pStyle w:val="TextBody"/>
        <w:bidi w:val="0"/>
        <w:jc w:val="left"/>
        <w:rPr/>
      </w:pPr>
      <w:r>
        <w:rPr/>
        <w:t> </w:t>
      </w:r>
    </w:p>
    <w:tbl>
      <w:tblPr>
        <w:tblW w:w="7928" w:type="dxa"/>
        <w:jc w:val="left"/>
        <w:tblInd w:w="0" w:type="dxa"/>
        <w:tblLayout w:type="fixed"/>
        <w:tblCellMar>
          <w:top w:w="28" w:type="dxa"/>
          <w:left w:w="28" w:type="dxa"/>
          <w:bottom w:w="28" w:type="dxa"/>
          <w:right w:w="28" w:type="dxa"/>
        </w:tblCellMar>
      </w:tblPr>
      <w:tblGrid>
        <w:gridCol w:w="2941"/>
        <w:gridCol w:w="146"/>
        <w:gridCol w:w="196"/>
        <w:gridCol w:w="1006"/>
        <w:gridCol w:w="166"/>
        <w:gridCol w:w="146"/>
        <w:gridCol w:w="196"/>
        <w:gridCol w:w="1006"/>
        <w:gridCol w:w="166"/>
        <w:gridCol w:w="146"/>
        <w:gridCol w:w="196"/>
        <w:gridCol w:w="1006"/>
        <w:gridCol w:w="6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 except per share amounts)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2,321,281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2,240,322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Tangible book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1,951,826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1,466,843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21,182,781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15,507,580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15,414,130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19,964,918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14,736,834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14,640,651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176,247,135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135,791,180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137,825,465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Tangible book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Adjusted Efficiency Ratio (Non-GAAP)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efficiency ratio is a non-GAAP financial measure derived from GAAP-based amounts. This figure represents the ratio of noninterest expense, less acquisition-related expense and the provision for unfunded loan commitments, where applicable, to the sum of net interest income before provision for credit losses and total noninterest income. Management believes that the exclusion of such items from this financial measure provides useful information to gain an understanding of the operating results of our core business.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25"/>
        <w:gridCol w:w="146"/>
        <w:gridCol w:w="196"/>
        <w:gridCol w:w="691"/>
        <w:gridCol w:w="256"/>
        <w:gridCol w:w="146"/>
        <w:gridCol w:w="196"/>
        <w:gridCol w:w="691"/>
        <w:gridCol w:w="256"/>
        <w:gridCol w:w="146"/>
        <w:gridCol w:w="196"/>
        <w:gridCol w:w="691"/>
        <w:gridCol w:w="256"/>
        <w:gridCol w:w="146"/>
        <w:gridCol w:w="196"/>
        <w:gridCol w:w="691"/>
        <w:gridCol w:w="256"/>
        <w:gridCol w:w="146"/>
        <w:gridCol w:w="196"/>
        <w:gridCol w:w="691"/>
        <w:gridCol w:w="591"/>
      </w:tblGrid>
      <w:tr>
        <w:trPr/>
        <w:tc>
          <w:tcPr>
            <w:tcW w:w="3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b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June 30, </w:t>
              <w:b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June 30, </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Provision for unfunded loan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Acquisition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32,529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Adjusted noninterest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78,728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58,939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57,557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137,667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income before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280,255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 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179,425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132,119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126,352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311,544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253,025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Efficiency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efficiency ratio, excluding provision for unfunded loan commitments and acquisition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Net Interest Income</w:t>
      </w:r>
    </w:p>
    <w:p>
      <w:pPr>
        <w:pStyle w:val="TextBody"/>
        <w:bidi w:val="0"/>
        <w:jc w:val="both"/>
        <w:rPr>
          <w:rFonts w:ascii="Times New Roman" w:hAnsi="Times New Roman"/>
          <w:sz w:val="20"/>
        </w:rPr>
      </w:pPr>
      <w:r>
        <w:rPr>
          <w:rFonts w:ascii="Times New Roman" w:hAnsi="Times New Roman"/>
          <w:color w:val="000000"/>
          <w:sz w:val="20"/>
        </w:rPr>
        <w:t xml:space="preserve">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corporate tax rates of 21% in effect for the three and six months ended June 30, 2026 and 2025.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We manage interest rate risk within policy limits approved by the Board of Directors, which guides and limits the interest rate risk over short-term and long-term horizons. Sources of interest rate risk include differences in maturity and re-pricing characteristics of assets and liabilities, changes in the shape of the yield curve, and embedded options in assets or liabilities. The mix of interest-earning assets as well as the mix of noninterest-bearing deposits and interest-bearing liabilities impacts our ability to manage net interest income during changing interest rate conditions. We also utilize certain derivative instruments to partially hedge interest rate risk. See Item 2 – </w:t>
      </w:r>
      <w:r>
        <w:rPr>
          <w:rFonts w:ascii="Times New Roman" w:hAnsi="Times New Roman"/>
          <w:i/>
          <w:color w:val="000000"/>
          <w:sz w:val="20"/>
        </w:rPr>
        <w:t>MD&amp;A – Asset/Liability and Market Risk Management – Interest Rate Sensitivity Management</w:t>
      </w:r>
      <w:r>
        <w:rPr>
          <w:rFonts w:ascii="Times New Roman" w:hAnsi="Times New Roman"/>
          <w:color w:val="000000"/>
          <w:sz w:val="20"/>
        </w:rPr>
        <w:t xml:space="preserve"> included herein.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2"/>
        <w:gridCol w:w="196"/>
        <w:gridCol w:w="916"/>
        <w:gridCol w:w="146"/>
        <w:gridCol w:w="146"/>
        <w:gridCol w:w="196"/>
        <w:gridCol w:w="691"/>
        <w:gridCol w:w="146"/>
        <w:gridCol w:w="146"/>
        <w:gridCol w:w="146"/>
        <w:gridCol w:w="421"/>
        <w:gridCol w:w="256"/>
        <w:gridCol w:w="146"/>
        <w:gridCol w:w="196"/>
        <w:gridCol w:w="916"/>
        <w:gridCol w:w="146"/>
        <w:gridCol w:w="146"/>
        <w:gridCol w:w="196"/>
        <w:gridCol w:w="691"/>
        <w:gridCol w:w="146"/>
        <w:gridCol w:w="146"/>
        <w:gridCol w:w="146"/>
        <w:gridCol w:w="421"/>
        <w:gridCol w:w="901"/>
      </w:tblGrid>
      <w:tr>
        <w:trPr/>
        <w:tc>
          <w:tcPr>
            <w:tcW w:w="26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Yield/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Yield/</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Rate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Rate</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INTEREST-EARNING ASSETS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Investment securities </w:t>
            </w:r>
            <w:r>
              <w:rPr>
                <w:rFonts w:ascii="Times New Roman" w:hAnsi="Times New Roman"/>
                <w:color w:val="000000"/>
                <w:sz w:val="12"/>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Available-for-sale securities: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Taxable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3,014,225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2,485,298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Tax-advantaged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Held-to-maturity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Taxable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1,977,744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Tax-advantaged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in FHLB, FRB, and other stock</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deposits with other institutions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Loans </w:t>
            </w:r>
            <w:r>
              <w:rPr>
                <w:rFonts w:ascii="Times New Roman" w:hAnsi="Times New Roman"/>
                <w:color w:val="000000"/>
                <w:sz w:val="12"/>
              </w:rPr>
              <w:t>(2)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11,548,138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8,354,898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interest-earning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17,566,089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13,558,254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noninterest-earning assets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2,315,339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1,624,920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assets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19,881,428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15,183,174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INTEREST-BEARING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Savings deposits </w:t>
            </w:r>
            <w:r>
              <w:rPr>
                <w:rFonts w:ascii="Times New Roman" w:hAnsi="Times New Roman"/>
                <w:color w:val="000000"/>
                <w:sz w:val="12"/>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6,511,383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4,183,585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deposits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interest-bearing deposits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7,400,171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4,755,828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Customer repurchase agreements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FHLB advances and other borrowings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debentures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 Other interest-bearing liabilities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Interest-bearing liabilities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8,408,157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5,674,507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Noninterest-bearing deposits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8,123,844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7,051,702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Stockholders' equity</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3,019,704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2,237,948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19,881,428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15,183,174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interest spread - tax equivalent</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interest margin</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interest margin - tax equivalent</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 xml:space="preserve">Includes TE adjustments utilizing federal statutory corporate rates of 21% in effect for the three months ended June 30, 2026 and June 30, 2025. The non-TE rates for total investment securities were 2.70% and 2.57% for the three months ended June 30, 2026 and June 30, 2025, respectively.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Includes loan fees of $1.2 million and $615,000 for the three months ended June 30, 2026 and 2025, respectively. Prepayment penalty fees of $527,000 and $680,000 are included in interest income for the three months ended June 30, 2026 and 2025, respectively. Average balances include nonperforming loans.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6"/>
        </w:rPr>
      </w:pPr>
      <w:r>
        <w:rPr>
          <w:rFonts w:ascii="Times New Roman" w:hAnsi="Times New Roman"/>
          <w:color w:val="000000"/>
          <w:sz w:val="16"/>
        </w:rPr>
        <w:t>Includes interest-bearing demand and money market accounts.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2"/>
        <w:gridCol w:w="196"/>
        <w:gridCol w:w="916"/>
        <w:gridCol w:w="146"/>
        <w:gridCol w:w="146"/>
        <w:gridCol w:w="196"/>
        <w:gridCol w:w="691"/>
        <w:gridCol w:w="146"/>
        <w:gridCol w:w="146"/>
        <w:gridCol w:w="146"/>
        <w:gridCol w:w="421"/>
        <w:gridCol w:w="256"/>
        <w:gridCol w:w="146"/>
        <w:gridCol w:w="196"/>
        <w:gridCol w:w="916"/>
        <w:gridCol w:w="146"/>
        <w:gridCol w:w="146"/>
        <w:gridCol w:w="196"/>
        <w:gridCol w:w="691"/>
        <w:gridCol w:w="146"/>
        <w:gridCol w:w="146"/>
        <w:gridCol w:w="146"/>
        <w:gridCol w:w="421"/>
        <w:gridCol w:w="901"/>
      </w:tblGrid>
      <w:tr>
        <w:trPr/>
        <w:tc>
          <w:tcPr>
            <w:tcW w:w="26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Yield/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Yield/</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Rate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Rate</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INTEREST-EARNING ASSETS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Investment securities </w:t>
            </w:r>
            <w:r>
              <w:rPr>
                <w:rFonts w:ascii="Times New Roman" w:hAnsi="Times New Roman"/>
                <w:color w:val="000000"/>
                <w:sz w:val="12"/>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Available-for-sale securities: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Taxable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2,828,044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2,501,885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Tax-advantaged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Held-to-maturity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Taxable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1,990,404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Tax-advantaged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in FHLB stock</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deposits with other institutions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Loans </w:t>
            </w:r>
            <w:r>
              <w:rPr>
                <w:rFonts w:ascii="Times New Roman" w:hAnsi="Times New Roman"/>
                <w:color w:val="000000"/>
                <w:sz w:val="12"/>
              </w:rPr>
              <w:t>(2)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10,094,447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8,410,871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interest-earning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15,739,344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13,557,424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noninterest-earning assets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1,618,854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assets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17,731,624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15,176,278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INTEREST-BEARING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Savings deposits </w:t>
            </w:r>
            <w:r>
              <w:rPr>
                <w:rFonts w:ascii="Times New Roman" w:hAnsi="Times New Roman"/>
                <w:color w:val="000000"/>
                <w:sz w:val="12"/>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5,498,933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4,243,015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deposits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interest-bearing deposits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6,227,549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4,810,767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Customer repurchase agreements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FHLB advances and other borrowings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debentures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 Other interest-bearing liabilities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Interest-bearing liabilities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7,265,681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5,705,582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Noninterest-bearing deposits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7,512,532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7,029,156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Stockholders' equity</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2,679,578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2,232,478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17,731,624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15,176,278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interest spread - tax equivalent</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interest margin</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0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interest margin - tax equivalent</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pBdr>
          <w:top w:val="single" w:sz="6" w:space="1" w:color="000000"/>
        </w:pBdr>
        <w:bidi w:val="0"/>
        <w:jc w:val="both"/>
        <w:rPr/>
      </w:pPr>
      <w:r>
        <w:rPr/>
        <w:t> </w:t>
      </w:r>
    </w:p>
    <w:p>
      <w:pPr>
        <w:pStyle w:val="TextBody"/>
        <w:bidi w:val="0"/>
        <w:spacing w:before="0" w:after="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 xml:space="preserve">Includes TE adjustments utilizing federal statutory corporate rates of 21% in effect for the six months ended June 30, 2026 and June 30, 2025. The non-TE rates for total investment securities were 2.65% and 2.59% for the three months ended June 30, 2026 and June 30, 2025, respectively.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Includes loan fees of $2.4million and $1.3 million for the six months ended June 30, 2026 and 2025, respectively. Prepayment penalty fees of $1.0 million and $1.6 million were included in interest income for the six months ended June 30, 2026 and 2025, respectively. Average balances include nonperforming loans.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6"/>
        </w:rPr>
      </w:pPr>
      <w:r>
        <w:rPr>
          <w:rFonts w:ascii="Times New Roman" w:hAnsi="Times New Roman"/>
          <w:color w:val="000000"/>
          <w:sz w:val="16"/>
        </w:rPr>
        <w:t>Includes interest-bearing demand and money market accounts.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net change resulting from the combined impact of volume and interest rates changes has been allocated proportionately between changes attributable to volume and changes attributable to rates.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Rate and Volume Analysis for Changes in Interest Income, Interest Expense and Net Interest Income</w:t>
      </w:r>
    </w:p>
    <w:p>
      <w:pPr>
        <w:pStyle w:val="TextBody"/>
        <w:bidi w:val="0"/>
        <w:jc w:val="center"/>
        <w:rPr/>
      </w:pPr>
      <w:r>
        <w:rPr/>
        <w:t> </w:t>
      </w:r>
    </w:p>
    <w:tbl>
      <w:tblPr>
        <w:tblW w:w="8263" w:type="dxa"/>
        <w:jc w:val="left"/>
        <w:tblInd w:w="0" w:type="dxa"/>
        <w:tblLayout w:type="fixed"/>
        <w:tblCellMar>
          <w:top w:w="28" w:type="dxa"/>
          <w:left w:w="28" w:type="dxa"/>
          <w:bottom w:w="28" w:type="dxa"/>
          <w:right w:w="28" w:type="dxa"/>
        </w:tblCellMar>
      </w:tblPr>
      <w:tblGrid>
        <w:gridCol w:w="3831"/>
        <w:gridCol w:w="237"/>
        <w:gridCol w:w="726"/>
        <w:gridCol w:w="200"/>
        <w:gridCol w:w="176"/>
        <w:gridCol w:w="237"/>
        <w:gridCol w:w="726"/>
        <w:gridCol w:w="200"/>
        <w:gridCol w:w="176"/>
        <w:gridCol w:w="237"/>
        <w:gridCol w:w="726"/>
        <w:gridCol w:w="791"/>
      </w:tblGrid>
      <w:tr>
        <w:trPr/>
        <w:tc>
          <w:tcPr>
            <w:tcW w:w="38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Comparison of Three Months Ended June 30,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 Compared to 2025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Increase (Decrease) Due to</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Rate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Available-for-sale securities:</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Taxable investment securities</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Tax-advantaged investment securities</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Held-to-maturity securities:</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Taxable investment securities</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Tax-advantaged investment securities</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in FHLB, FRB, and other stock</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deposits with other institutions</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43,739</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6,628</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50,367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interest income</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51,312</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6,607</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57,919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Savings deposits</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deposits</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agreements</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FHLB advances and other borrowings</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debentures</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 Other interest-bearing liabilities</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interest expense</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interest income</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39,166</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11,641</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50,807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8055" w:type="dxa"/>
        <w:jc w:val="left"/>
        <w:tblInd w:w="0" w:type="dxa"/>
        <w:tblLayout w:type="fixed"/>
        <w:tblCellMar>
          <w:top w:w="28" w:type="dxa"/>
          <w:left w:w="28" w:type="dxa"/>
          <w:bottom w:w="28" w:type="dxa"/>
          <w:right w:w="28" w:type="dxa"/>
        </w:tblCellMar>
      </w:tblPr>
      <w:tblGrid>
        <w:gridCol w:w="3831"/>
        <w:gridCol w:w="219"/>
        <w:gridCol w:w="671"/>
        <w:gridCol w:w="185"/>
        <w:gridCol w:w="163"/>
        <w:gridCol w:w="219"/>
        <w:gridCol w:w="738"/>
        <w:gridCol w:w="185"/>
        <w:gridCol w:w="163"/>
        <w:gridCol w:w="219"/>
        <w:gridCol w:w="671"/>
        <w:gridCol w:w="791"/>
      </w:tblGrid>
      <w:tr>
        <w:trPr/>
        <w:tc>
          <w:tcPr>
            <w:tcW w:w="38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Comparison of Six Months Ended June 30,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 Compared to 2025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Increase (Decrease) Due to</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Rate</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Available-for-sale securities:</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Taxable investment securities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Tax-advantaged investment securities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Held-to-maturity securities:</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Taxable investment securities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Tax-advantaged investment securities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in FHLB stock</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Interest-earning deposits with other institutions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45,170</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9,398</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54,568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interest income</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56,906</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7,121</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64,027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Savings deposits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(18,360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deposits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agreements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FHLB advances and other borrowings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debentures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 Other interest-bearing liabilities</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interest expense</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24,751</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interest income</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32,155</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26,048</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58,203</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Second Quarter of 2026 Compared to the Second Quarter of 2025</w:t>
      </w:r>
    </w:p>
    <w:p>
      <w:pPr>
        <w:pStyle w:val="TextBody"/>
        <w:bidi w:val="0"/>
        <w:jc w:val="both"/>
        <w:rPr>
          <w:rFonts w:ascii="Times New Roman" w:hAnsi="Times New Roman"/>
          <w:color w:val="000000"/>
          <w:sz w:val="20"/>
        </w:rPr>
      </w:pPr>
      <w:r>
        <w:rPr>
          <w:rFonts w:ascii="Times New Roman" w:hAnsi="Times New Roman"/>
          <w:color w:val="000000"/>
          <w:sz w:val="20"/>
        </w:rPr>
        <w:t>Net interest income, before provision for credit losses, of $162.4 million for the second quarter of 2026 increased by $50.8 million, or 45.5%, from the second quarter of 2025. The increase was driven by a $57.9 million increase in interest income, partially offset by a $7.1 million increase in interest expense. The year-over-year increase in net interest income largely reflected the impact of operating as a combined company for approximately two and a half months following the Heritage acquisition.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tax-equivalent net interest margin increased 41 basis points to 3.72% for the second quarter of 2026, compared with the second quarter of 2025. The expansion in net interest margin was primarily due to a 34 basis point increase in the yield on average interest-earning assets, as well as a seven basis point decrease in the cost of funds.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interest income of $202.1 million increased by $57.9 million, or 40.2%, compared with the second quarter of 2025. This increase was primarily due to a $4.00 billion increase in average interest-earning assets and a 34 basis point increase in the yield on interest-earning assets. Average loan balances increased by $3.19 billion, average interest-earning deposits with other institutions increased by $331.2 million, and the average balance of investment securities increased by $423.5 million from the second quarter of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interest income and fees on loans for the second quarter of 2026 were $159.2 million, an increase of $50.4 million, or 46.3%, from the second quarter of 2025. This increase in income was due to the $3.19 billion increase in average loan balances and a 31 basis point increase in average loan yields from 5.22% for the second quarter of 2025 to 5.53% for the second quarter of 2026. In addition to the impact of originating new loans at higher yields than the existing loan portfolio, the increase in average loan yields reflected the Heritage acquisition and the addition of higher-yielding acquired assets, including factored receivables that averaged approximately $86.1 million during the second quarter of 2026. Through the Heritage acquisition, the Company acquired CSNK Working Capital Finance Corp., doing business as Bay View Funding, a wholly owned subsidiary of the Bank that provides working capital factoring financing to businesses throughout the United States. During the second quarter of 2026, the average yield on factored receivables was 18.04%.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 income from investment securities was $35.6 million for the second quarter of 2026, an increase of $4.4 million, or 14.0%, from the second quarter of 2025. A nine basis point increase in yields on investment securities was partially offset by a decrease in the interest income derived from the pay-fixed swaps designated as fair value hedges on AFS securities. The spread between daily SOFR and the fixed rate paid on these swaps decreased from 0.50% in the second quarter of 2025 to negative 0.09% in the second quarter of 2026, resulting in a $1.4 million decrease in interest income. Excluding the impact of the pay-fixed swaps, the average yield on investment securities increased by 25 basis points, due to the higher yield on investment securities purchased and acquired during the first six months of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 expense was $39.7 million for the second quarter of 2026, an increase of $7.1 million, compared with the second quarter of 2025. Total interest bearing deposits increased on average by $2.64 billion, while customer repurchase agreements and borrowings increased on average by $96.3 million. Cost of funds was 0.96% for the second quarter of 2026, which decreased from 1.03% for the second quarter of 2025. Although average noninterest-bearing deposits declined as a percentage of average total deposits to 52.3% from 59.7%, resulting in a less favorable deposit mix, the cost of total interest-bearing deposits decreased by 35 basis points, more than offsetting the impact of the lower proportion of noninterest-bearing deposits. The cost of customer repurchase agreements increased from 1.66% in the second quarter of 2025 to 1.79% in the second quarter of 2026, while the average cost of borrowings declined by 29 basis points. </w:t>
      </w:r>
    </w:p>
    <w:p>
      <w:pPr>
        <w:pStyle w:val="TextBody"/>
        <w:bidi w:val="0"/>
        <w:jc w:val="both"/>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jc w:val="both"/>
        <w:rPr>
          <w:rFonts w:ascii="Times New Roman" w:hAnsi="Times New Roman"/>
          <w:color w:val="000000"/>
          <w:sz w:val="20"/>
        </w:rPr>
      </w:pPr>
      <w:r>
        <w:rPr>
          <w:rFonts w:ascii="Times New Roman" w:hAnsi="Times New Roman"/>
          <w:color w:val="000000"/>
          <w:sz w:val="20"/>
        </w:rPr>
        <w:t xml:space="preserve">Net interest income, before provision for credit losses, was $280.3 million for the six months ended June 30, 2026, an increase of $58.2 million, or 26.21%, compared with $222.1 million for the same period last year. The increase was attributable to higher balance and yields on average interest-earning assets as well as lower cost of funds, partially offset by an increase in the balance of interest-bearing liabilities. The increases in average interest-earning assets and interest-bearing liabilities reflected the impact of interest-earning assets and interest-bearing liabilities acquired in connection with the Heritage acquisition, as well as organic growth.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net interest margin (TE) was 3.60% for the six months ended June 30, 2026, compared with 3.31% for the same period last year. The expansion in net interest margin was primarily due to a 22 basis point increase in the yield on average interest-earning assets, as well as a two basis point decrease in the cost of funds.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interest income was $351.2 million for the six months ended June 30, 2026, an increase of $64.0 million, or 22.29%, compared with the same period last year. This increase was primarily due to a $2.18 billion increase in average interest-earning assets and a 22 basis point increase in the yield on interest-earning assets. Average loan balances increased by $1.68 billion, average interest-earning deposits with other institutions increased by $230.3 million, and average investment securities increased by $219.1 million from the same period last year.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interest income and fees on loans for the six months ended June 30, 2026 were $272.5 million, an increase of $54.6 million, or 25.04%, from the same period last year. This increase in income was due to the $1.68 billion increase in average loan balances and a 22 basis point increase in average loan yields from 5.22% for the six months ended June 30, 2025, to 5.44% for the six months ended June 30,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income from investment securities was $67.4 million for the six months ended June 30, 2026, an increase of $4.5 million, or 7.0%, from the same period last year. A 12 basis point increase in yields on investment securities was partially offset by a decrease in the interest income derived from the pay-fixed swaps designated as fair value hedges on AFS securities. The spread between daily SOFR and the fixed rate paid on these swaps decreased from 0.47% for the six months ended June 30, 2025 to a negative 0.07% for the six months ended June 30, 2026, resulting in a $2.6 million decrease in interest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expense was $71.0 million for the six months ended June 30, 2026, an increase of $5.8 million, or 8.94%, from the same period last year. Total cost of funds for the six months ended June 30, 2026, was 0.97%, compared with 1.03% for the same period last year. Although average noninterest-bearing deposits declined as a percentage of average total deposits to 54.68% from 59.37%, resulting in a less favorable deposit mix, the cost of total interest-bearing deposits decreased by 31 basis points, more than offsetting the impact of the lower proportion of noninterest-bearing deposits. However, the cost of customer repurchase agreements increased from 1.47% in the six months ended June 30, 2025 to 1.75% in the six months ended June 30, 2026.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Provision for (Recapture of) Credit Losses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provision for (recapture of) credit losses is a charge to earnings to maintain the allowance for credit losses at a level consistent with management’s assessment of expected lifetime losses in the loan portfolio as of the balance sheet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provision for credit losses on loans was zero for both the second quarter of 2026 and 2025. Net charge-offs for the second quarter of 2026 were $137,000, compared with net charge-offs of $249,000 for the second quarter of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six months ended June 30, 2026, the provision for credit losses was $3.0 million, compared with $2.0 million recapture of credit losses for the same period last year. Net charge-offs were $128,000 for the six months ended June 30, 2026, compared with net charge-offs of $119,000 for the same period last year. The provision for credit losses for the six months ended June 30, 2026 was largely attributable to a $3.2 million increase in specific reserves, primarily related to one commercial and industrial credit relationship.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No assurance can be given that economic conditions affecting the Company’s service areas or other circumstances will or will not be reflected in future changes in the level of our allowance for credit losses and the resulting provision for, or recapture of, credit losses. The process to estimate the allowance for credit losses requires considerable judgment and economic forecasts may continue to vary due to the uncertainty of the future impact from geopolitical events, trade barriers, including tariff policies, inflationary pressures, future interest rates, unemployment levels, and overall economic conditions, all of which may impact our customers. Refer to Item 2 – </w:t>
      </w:r>
      <w:r>
        <w:rPr>
          <w:rFonts w:ascii="Times New Roman" w:hAnsi="Times New Roman"/>
          <w:i/>
          <w:color w:val="000000"/>
          <w:sz w:val="20"/>
        </w:rPr>
        <w:t>MD&amp;A - Analysis of Financial Condition - Allowance for Credit Losses</w:t>
      </w:r>
      <w:r>
        <w:rPr>
          <w:rFonts w:ascii="Times New Roman" w:hAnsi="Times New Roman"/>
          <w:color w:val="000000"/>
          <w:sz w:val="20"/>
        </w:rPr>
        <w:t xml:space="preserve"> for a discussion of changes in the credit quality of our loan portfolio as well as refinements to the Company's ACL methodology.</w:t>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Noninterest Income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Noninterest income includes income derived from financial services offered to our customers, such as CitizensTrust, merchant processing and 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various components of noninterest income for the periods presented.</w:t>
      </w:r>
    </w:p>
    <w:p>
      <w:pPr>
        <w:pStyle w:val="TextBody"/>
        <w:bidi w:val="0"/>
        <w:jc w:val="left"/>
        <w:rPr/>
      </w:pPr>
      <w:r>
        <w:rPr/>
        <w:t> </w:t>
      </w:r>
    </w:p>
    <w:tbl>
      <w:tblPr>
        <w:tblW w:w="10322" w:type="dxa"/>
        <w:jc w:val="left"/>
        <w:tblInd w:w="0" w:type="dxa"/>
        <w:tblLayout w:type="fixed"/>
        <w:tblCellMar>
          <w:top w:w="28" w:type="dxa"/>
          <w:left w:w="28" w:type="dxa"/>
          <w:bottom w:w="28" w:type="dxa"/>
          <w:right w:w="28" w:type="dxa"/>
        </w:tblCellMar>
      </w:tblPr>
      <w:tblGrid>
        <w:gridCol w:w="1301"/>
        <w:gridCol w:w="196"/>
        <w:gridCol w:w="601"/>
        <w:gridCol w:w="146"/>
        <w:gridCol w:w="146"/>
        <w:gridCol w:w="196"/>
        <w:gridCol w:w="601"/>
        <w:gridCol w:w="146"/>
        <w:gridCol w:w="146"/>
        <w:gridCol w:w="196"/>
        <w:gridCol w:w="511"/>
        <w:gridCol w:w="166"/>
        <w:gridCol w:w="146"/>
        <w:gridCol w:w="146"/>
        <w:gridCol w:w="511"/>
        <w:gridCol w:w="256"/>
        <w:gridCol w:w="146"/>
        <w:gridCol w:w="196"/>
        <w:gridCol w:w="601"/>
        <w:gridCol w:w="146"/>
        <w:gridCol w:w="146"/>
        <w:gridCol w:w="196"/>
        <w:gridCol w:w="601"/>
        <w:gridCol w:w="146"/>
        <w:gridCol w:w="146"/>
        <w:gridCol w:w="196"/>
        <w:gridCol w:w="571"/>
        <w:gridCol w:w="166"/>
        <w:gridCol w:w="146"/>
        <w:gridCol w:w="146"/>
        <w:gridCol w:w="661"/>
        <w:gridCol w:w="701"/>
      </w:tblGrid>
      <w:tr>
        <w:trPr/>
        <w:tc>
          <w:tcPr>
            <w:tcW w:w="1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Variance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Variance</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0"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income:</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charges on deposit accounts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Trust and investment services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Bankcard services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BOLI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OREO,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18.97</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3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noninterest income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Second Quarter of 2026 Compared to the Second Quarter of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Noninterest income for the second quarter of 2026 increased by $2.3 million, or 15.37%, compared with the second quarter of 2025, primarily reflecting the impact of the Heritage acquisition. The increase was driven by higher fee income across almost all categories and higher BOLI income associated with policies acquired in the merger. The increase was primarily attributable to $468,000 in trust and investment services fees, $377,000 in service charges on deposit accounts, $264,000 in BOLI income, and $1.2 million in other income. International and other banking service fees, which increased by approximately $350,000, are the most significant components of other noninterest income.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Trust and investment services revenue is generated through the Company's CitizensTrust division, which provides wealth management, investment management, financial planning, estate planning, retirement planning, trustee, and probate services. Investment Services offers self-directed brokerage, 401(k) plans, mutual funds, insurance products, and other non-insured investment products. At June 30, 2026, CitizensTrust had approximately $5.18 billion in assets under management and administration, including $3.81 billion in assets under management. CitizensTrust generated fee income of $4.2 million for the second quarter of 2026, compared to $3.7 million for the same period last year.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Noninterest income for the six months ended June 30, 2026 increased by $316,000, or 1.02%, compared with the same period last year. The increase was primarily driven by increases in service charges, trust revenue, and BOLI income, reflecting the combined operations following the acquisition of Heritage, partially offset by a $2.2 million gain on sale of OREO during the six months ended June 30, 2025. Trust and investment fees grew by $781,000 or 10.96% due primarily to increased assets under management. BOLI income increased by $572,000, or 9.44%, including changes in net asset value of policies related to deferred compensation arrangements.</w:t>
      </w:r>
    </w:p>
    <w:p>
      <w:pPr>
        <w:pStyle w:val="TextBody"/>
        <w:bidi w:val="0"/>
        <w:jc w:val="left"/>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Noninterest Expense</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various components of noninterest expense for the periods presented.</w:t>
      </w:r>
    </w:p>
    <w:p>
      <w:pPr>
        <w:pStyle w:val="TextBody"/>
        <w:bidi w:val="0"/>
        <w:jc w:val="left"/>
        <w:rPr/>
      </w:pPr>
      <w:r>
        <w:rPr/>
        <w:t> </w:t>
      </w:r>
    </w:p>
    <w:tbl>
      <w:tblPr>
        <w:tblW w:w="11657" w:type="dxa"/>
        <w:jc w:val="left"/>
        <w:tblInd w:w="0" w:type="dxa"/>
        <w:tblLayout w:type="fixed"/>
        <w:tblCellMar>
          <w:top w:w="28" w:type="dxa"/>
          <w:left w:w="28" w:type="dxa"/>
          <w:bottom w:w="28" w:type="dxa"/>
          <w:right w:w="28" w:type="dxa"/>
        </w:tblCellMar>
      </w:tblPr>
      <w:tblGrid>
        <w:gridCol w:w="1776"/>
        <w:gridCol w:w="196"/>
        <w:gridCol w:w="691"/>
        <w:gridCol w:w="256"/>
        <w:gridCol w:w="146"/>
        <w:gridCol w:w="196"/>
        <w:gridCol w:w="601"/>
        <w:gridCol w:w="256"/>
        <w:gridCol w:w="146"/>
        <w:gridCol w:w="196"/>
        <w:gridCol w:w="601"/>
        <w:gridCol w:w="166"/>
        <w:gridCol w:w="146"/>
        <w:gridCol w:w="146"/>
        <w:gridCol w:w="601"/>
        <w:gridCol w:w="256"/>
        <w:gridCol w:w="146"/>
        <w:gridCol w:w="196"/>
        <w:gridCol w:w="691"/>
        <w:gridCol w:w="256"/>
        <w:gridCol w:w="146"/>
        <w:gridCol w:w="196"/>
        <w:gridCol w:w="691"/>
        <w:gridCol w:w="256"/>
        <w:gridCol w:w="146"/>
        <w:gridCol w:w="196"/>
        <w:gridCol w:w="601"/>
        <w:gridCol w:w="166"/>
        <w:gridCol w:w="146"/>
        <w:gridCol w:w="146"/>
        <w:gridCol w:w="601"/>
        <w:gridCol w:w="701"/>
      </w:tblGrid>
      <w:tr>
        <w:trPr/>
        <w:tc>
          <w:tcPr>
            <w:tcW w:w="17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Variance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Variance</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0"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Salaries and employee benefits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17.56</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18.70</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18.74</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35.02</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Computer software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20.95</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Marketing and promotion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91.65</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Telecommunications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Regulatory assessments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-26.05</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Insurance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unfunded loan commitments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850.00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Directors'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19.77</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related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23.15</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noninterest expense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114,378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57,557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174,946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116,701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49.91</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Noninterest expense to average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Efficiency ratio </w:t>
            </w:r>
            <w:r>
              <w:rPr>
                <w:rFonts w:ascii="Times New Roman" w:hAnsi="Times New Roman"/>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Noninterest expense divided by net interest income before provision for credit losses plus noninterest income.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ability to control noninterest expenses in relation to asset growth can be measured in terms of total noninterest expenses as a percentage of average assets. Noninterest expense as a percentage of average assets was 2.31% for the second quarter of 2026, compared with 1.52% for the second quarter of 2025. Noninterest expense as a percentage of average assets was 1.99% for the six months ended June 30, 2026, compared with 1.55% for the same period last year. The ratio of noninterest expense to average assets was negatively impacted by acquisition-related expense and the provision for unfunded loan commitments.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63.75% for the second quarter of 2026, compared with 45.55% for the second quarter of 2025. For the six months ended June 30, 2026, the efficiency ratio was 56.15%, compared with 46.12% for the same period last year. Our efficiency ratio adjusted for acquisition expense and the provision for unfunded loan commitments declined from 45.55% in the second quarter of 2025 to 43.88% in the second quarter of 2026. Adjusted efficiency ratio is a non-GAAP measure. For additional details, refer to Item 2.–MD&amp;A—GAAP to Non-GAAP Reconciliation.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Second Quarter of 2026 Compared to the Second Quarter of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Noninterest expense for the second quarter of 2026 was $114.4 million, an increase of $56.8 million, or 98.7%, from $57.6 million for the second quarter of 2025. The increase was primarily attributable to the Heritage acquisition and the related addition of operations, personnel, and banking centers. During the second quarter of 2026, the Company incurred $31.4 million of acquisition expenses. Excluding acquisition expense, noninterest expense increased $25.4 million compared with the second quarter of 2025. This increase was primarily driven by an $11.6 million increase in salaries and employee benefits, a $4.3 million increase in provision for unfunded loan commitments attributable to the Heritage acquisition, a $2.4 million increase in amortization of intangible assets related to the core deposit intangibles, a $2.2 million increase in occupancy and equipment and a $1.8 million increase in computer software expense. Excluding acquisition expense and the provision for unfunded loan commitments, the increase in noninterest expense compared to the second quarter of 2025 was $21.2 million. The remaining increases primarily reflect the addition of personnel, facilities, technology platforms, and other operating costs resulting from the Heritage acquisition.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six months ended June 30, 2026, noninterest expense was $174.9 million, an increase of $58.2 million, or 49.9% from the same period last year. The increase was primarily attributable to the Heritage acquisition and the related addition of operations, personnel, and banking centers. During the six months ended June 30, 2026, the Company incurred $32.5 million of acquisition expenses. Excluding acquisition expense, noninterest expense increased $25.7 million compared to the six months ended June 30, 2025. This increase was primarily driven by a $12.6 million increase in salaries and employee benefits, a $4.3 million increase in provision for unfunded loan commitment attributable to the Heritage acquisition, a $2.3 million increase in occupancy and equipment, and a $2.1 million increase in amortization of intangible assets, a $1.8 million increase in computer software expense, and a $1.5 million increase in professional services expense. Excluding acquisition expense and the provision for unfunded loan commitments, the increase in noninterest expense compared to the six months ended June 30, 2025 was $21.5 million. The remaining increases primarily reflect the addition of personnel, facilities, technology platforms, and other operating costs resulting from the Heritage acquisition. </w:t>
      </w:r>
    </w:p>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jc w:val="both"/>
        <w:rPr>
          <w:rFonts w:ascii="Times New Roman" w:hAnsi="Times New Roman"/>
          <w:color w:val="000000"/>
          <w:sz w:val="20"/>
        </w:rPr>
      </w:pPr>
      <w:r>
        <w:rPr>
          <w:rFonts w:ascii="Times New Roman" w:hAnsi="Times New Roman"/>
          <w:color w:val="000000"/>
          <w:sz w:val="20"/>
        </w:rPr>
        <w:t>The Company’s effective tax rate for the three and six months ended June 30, 2026 was 25.81% and $25.7%, respectively, compared with 26.50% for both the three and six months ended June 30, 2025, respectively. Our estimated annual effective tax rate also varies depending upon the level of tax-advantaged income from municipal securities and BOLI, as well as available tax credits. The decrease in the effective tax rate was primarily driven by increased investments in solar tax credits.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pStyle w:val="TextBody"/>
        <w:bidi w:val="0"/>
        <w:jc w:val="left"/>
        <w:rPr/>
      </w:pPr>
      <w:r>
        <w:rPr/>
        <w:t> </w:t>
      </w:r>
    </w:p>
    <w:p>
      <w:pPr>
        <w:pStyle w:val="TextBody"/>
        <w:bidi w:val="0"/>
        <w:jc w:val="center"/>
        <w:rPr>
          <w:rFonts w:ascii="Times New Roman" w:hAnsi="Times New Roman"/>
          <w:b/>
          <w:color w:val="000000"/>
          <w:sz w:val="20"/>
        </w:rPr>
      </w:pPr>
      <w:bookmarkStart w:id="14" w:name="analysis_financial_condition"/>
      <w:bookmarkEnd w:id="14"/>
      <w:r>
        <w:rPr>
          <w:rFonts w:ascii="Times New Roman" w:hAnsi="Times New Roman"/>
          <w:b/>
          <w:color w:val="000000"/>
          <w:sz w:val="20"/>
        </w:rPr>
        <w:t>ANALYSIS OF FINANCIAL CONDITION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assets of $21.18 billion at June 30, 2026 increased by $5.55 billion, or 35.52%, from total assets of $15.63 billion at December 31, 2025. Interest-earning assets of $18.69 billion at June 30, 2026 increased by $4.69 billion, or 33.6%, when compared with $13.99 billion at December 31, 2025. The increase in interest-earning assets was primarily due to a $3.32 billion increase in total loans, a $728.0 million increase in cash and cash equivalents, and a $722.8 million increase in investment securities, partially offset by a decrease of $12.3 million in interest-earning balances due from other depository institutions. The increase in total assets from prior year end primarily reflects the impact of the Heritage acquisition completed on April 17, 2026, partially offset by balance sheet optimization activities during the quarter.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liabilities were $18.01 billion at June 30, 2026, an increase of $4.68 billion, or 35.07%, from total liabilities of $13.34 billion at December 31, 2025. Total deposits increased by $4.22 billion, or 34.93%, with interest-bearing deposits increasing by $2.41 billion, or 45.73%. Noninterest-bearing deposits increased by $1.81 billion, or 26.56%. At June 30, 2026, total borrowings were $539.0 million, consisting of $500.0 million of FHLB advances and $39.0 million of subordinated debt assumed in the Heritage acquisition, compared with $500.0 million of FHLB advances at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stockholders' equity increased by $874.5 million to $3.17 billion at June 30, 2026, compared with total stockholder's equity of $2.30 billion at December 31, 2025. The increase was primarily attributable to $840.2 million of common shares issued and exchanged in connection with the Heritage acquisition and $99.3 million in net earnings, partially offset by $62.5 million in cash dividends declared and $5.1 million of common stock repurchases. During the first six months of 2026, the Company purchased 241,034 shares under the 2026 Repurchase Program, at an average price of $21.06 per share.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Investment Securities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maintains a portfolio of investment securities to provide interest income and to serve as a source of liquidity for its ongoing operations. At June 30, 2026, total investment securities were $5.68 billion, an increase of $722.8 million, or 14.6%, from $4.95 billion at December 31, 2025. The increase was primarily attributable to approximately $519.0 million of AFS investment securities acquired and retained in the Heritage acquisition, as well as approximately $511.5 million of purchases of AFS securities during the second quarter of 2026. As part of the Company's balance sheet strategy to improve portfolio yields and reduce asset duration, approximately $488.2 million of securities acquired from Heritage were sold upon completion of the merger and reinvested in lower duration securities at an average yield of approximately 4.70%. The repositioning enhanced the portfolio's expected yield while reducing duration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AFS investment securities totaled $3.46 billion, inclusive of a pre-tax net unrealized loss of $323.5 million, an increase of $774.7 million, or 28.87%, from $2.68 billion at December 31, 2025. The after-tax unrealized loss on our AFS investment securities reported in accumulated other comprehensive income (“AOCI”) was $229.5 million, compared with $218.3 million at December 31, 2025. The changes in the net unrealized holding loss resulted primarily from fluctuations in market interest rates. At June 30, 2026, HTM investment securities totaled $2.22 billion, a decrease of $51.9 million, or 2.3%, from $2.27 billion at December 31, 2025. Our average tax-equivalent yield on investments was 2.74% for the second quarter of 2026, compared with 2.62% for the second quarter of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investment securities sold from the legacy securities portfolio during the six months ended June 30, 2026 and 2025. During the six months ended June 30, 2026 and 2025, the Company originated $1.1 million and $6.2 million, respectively, of Commercial Property Assessed Clean Energy (“C-PACE”) bonds, which are included in our HTM securities.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tables present the fair value of AFS and the amortized cost of HTM investment securities as well as the weighted average yields on our investment securities portfolio by contractual maturity as of the date indicated. </w:t>
      </w:r>
    </w:p>
    <w:p>
      <w:pPr>
        <w:pStyle w:val="TextBody"/>
        <w:bidi w:val="0"/>
        <w:jc w:val="both"/>
        <w:rPr/>
      </w:pPr>
      <w:r>
        <w:rPr/>
        <w:t> </w:t>
      </w:r>
    </w:p>
    <w:tbl>
      <w:tblPr>
        <w:tblW w:w="12100" w:type="dxa"/>
        <w:jc w:val="left"/>
        <w:tblInd w:w="0" w:type="dxa"/>
        <w:tblLayout w:type="fixed"/>
        <w:tblCellMar>
          <w:top w:w="28" w:type="dxa"/>
          <w:left w:w="28" w:type="dxa"/>
          <w:bottom w:w="28" w:type="dxa"/>
          <w:right w:w="28" w:type="dxa"/>
        </w:tblCellMar>
      </w:tblPr>
      <w:tblGrid>
        <w:gridCol w:w="1286"/>
        <w:gridCol w:w="181"/>
        <w:gridCol w:w="511"/>
        <w:gridCol w:w="146"/>
        <w:gridCol w:w="146"/>
        <w:gridCol w:w="194"/>
        <w:gridCol w:w="482"/>
        <w:gridCol w:w="211"/>
        <w:gridCol w:w="146"/>
        <w:gridCol w:w="181"/>
        <w:gridCol w:w="586"/>
        <w:gridCol w:w="146"/>
        <w:gridCol w:w="146"/>
        <w:gridCol w:w="205"/>
        <w:gridCol w:w="471"/>
        <w:gridCol w:w="211"/>
        <w:gridCol w:w="146"/>
        <w:gridCol w:w="181"/>
        <w:gridCol w:w="586"/>
        <w:gridCol w:w="146"/>
        <w:gridCol w:w="146"/>
        <w:gridCol w:w="209"/>
        <w:gridCol w:w="467"/>
        <w:gridCol w:w="211"/>
        <w:gridCol w:w="146"/>
        <w:gridCol w:w="181"/>
        <w:gridCol w:w="691"/>
        <w:gridCol w:w="146"/>
        <w:gridCol w:w="146"/>
        <w:gridCol w:w="194"/>
        <w:gridCol w:w="482"/>
        <w:gridCol w:w="211"/>
        <w:gridCol w:w="146"/>
        <w:gridCol w:w="181"/>
        <w:gridCol w:w="691"/>
        <w:gridCol w:w="146"/>
        <w:gridCol w:w="146"/>
        <w:gridCol w:w="194"/>
        <w:gridCol w:w="482"/>
        <w:gridCol w:w="576"/>
      </w:tblGrid>
      <w:tr>
        <w:trPr/>
        <w:tc>
          <w:tcPr>
            <w:tcW w:w="12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8"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 2026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One Year or Less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After One Year Through Five 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After Five Years Through Ten 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After Ten 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8" w:type="dxa"/>
            <w:gridSpan w:val="3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(Dollars in thousands)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 Average Yield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 Average Yield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 Average Yield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 Average Yield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 Average Yield</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AFS investment securities</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Government agency/GSE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Mortgage-backed securities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2,385,709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2,425,399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CMO/REMIC</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921,343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921,948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14"/>
              </w:rPr>
            </w:pPr>
            <w:r>
              <w:rPr>
                <w:rFonts w:ascii="Times New Roman" w:hAnsi="Times New Roman"/>
                <w:color w:val="000000"/>
                <w:sz w:val="14"/>
              </w:rPr>
              <w:t>Municipal bonds </w:t>
            </w:r>
            <w:r>
              <w:rPr>
                <w:rFonts w:ascii="Times New Roman" w:hAnsi="Times New Roman"/>
                <w:color w:val="000000"/>
                <w:sz w:val="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Collateralized loan obligations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securities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14"/>
              </w:rPr>
            </w:pPr>
            <w:r>
              <w:rPr>
                <w:rFonts w:ascii="Times New Roman" w:hAnsi="Times New Roman"/>
                <w:color w:val="000000"/>
                <w:sz w:val="14"/>
              </w:rPr>
              <w:t xml:space="preserve">Total AFS investment securities </w:t>
            </w:r>
            <w:r>
              <w:rPr>
                <w:rFonts w:ascii="Times New Roman" w:hAnsi="Times New Roman"/>
                <w:color w:val="000000"/>
                <w:sz w:val="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3,349,081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3,457,764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HTM investment securities</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Government agency/GSE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Mortgage-backed securities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533,852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CMO/REMIC</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736,006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736,006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14"/>
              </w:rPr>
            </w:pPr>
            <w:r>
              <w:rPr>
                <w:rFonts w:ascii="Times New Roman" w:hAnsi="Times New Roman"/>
                <w:color w:val="000000"/>
                <w:sz w:val="14"/>
              </w:rPr>
              <w:t xml:space="preserve">Municipal bonds </w:t>
            </w:r>
            <w:r>
              <w:rPr>
                <w:rFonts w:ascii="Times New Roman" w:hAnsi="Times New Roman"/>
                <w:color w:val="000000"/>
                <w:sz w:val="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439,548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securities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14"/>
              </w:rPr>
            </w:pPr>
            <w:r>
              <w:rPr>
                <w:rFonts w:ascii="Times New Roman" w:hAnsi="Times New Roman"/>
                <w:color w:val="000000"/>
                <w:sz w:val="14"/>
              </w:rPr>
              <w:t xml:space="preserve">Total HTM investment securities </w:t>
            </w:r>
            <w:r>
              <w:rPr>
                <w:rFonts w:ascii="Times New Roman" w:hAnsi="Times New Roman"/>
                <w:color w:val="000000"/>
                <w:sz w:val="9"/>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1,755,568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2,218,529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sz w:val="14"/>
              </w:rPr>
            </w:pPr>
            <w:r>
              <w:rPr>
                <w:rFonts w:ascii="Times New Roman" w:hAnsi="Times New Roman"/>
                <w:color w:val="000000"/>
                <w:sz w:val="14"/>
              </w:rPr>
              <w:t xml:space="preserve">Total securities </w:t>
            </w:r>
            <w:r>
              <w:rPr>
                <w:rFonts w:ascii="Times New Roman" w:hAnsi="Times New Roman"/>
                <w:color w:val="000000"/>
                <w:sz w:val="9"/>
              </w:rPr>
              <w:t>(1)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162,531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5,104,649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5,676,293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120" w:after="283"/>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120" w:after="283"/>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Includes TE adjustments. The non-TE weighted average yields for securities were 2.75% and 2.49% at June 30, 2026 and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maturity of each security category is defined as the contractual maturity except for the categories of mortgage-backed securities and CMO/REMIC whose maturities are defined as the estimated average life. The final maturity of mortgage-backed securities and CMO/REMIC will differ from their contractual maturities because the underlying mortgages have the right to repay such obligations without penalty. The speed at which the underlying mortgages repay is influenced by many factors, one of which is interest rates. Mortgages tend to repay faster as interest rates fall and slower as interest rates rise. This will either shorten or extend the estimated average life. Also, the yields on mortgage-backed securities and CMO/REMIC securities are affected by the speed at which the underlying mortgages repay. This is caused by the change in the amount of amortization of premiums or accretion of discounts of each security as repayments increase or decrease. The Company obtains the estimated average life of each security from independent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tax-equivalent (“TE”) yield on the total investment portfolio at June 30, 2026 was 2.82% with a weighted-average life of 6.3 years. This compares to a weighted-average TE yield of 2.59% at December 31, 2025 with a weighted-average life of 6.4 years. The weighted average life is the average number of years that each dollar of unpaid principal due remains outstanding. Average life is computed as the weighted-average time to the receipt of all future cash flows, using as the weights the dollar amounts of the principal pay-downs.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Approximately 91% of the investment securities portfolio at June 30, 2026 consisted of securities issued or guaranteed by the U.S. government or U.S. government-sponsored enterprises. As of June 30, 2026, $19.9 million in U.S. government agency securities are callable. Agency CMO/REMIC securities are backed by agency-pooled collateral. Municipal bonds represented approximately 9% of the total investment portfolio and were predominately AA or higher.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Note 5 – </w:t>
      </w:r>
      <w:r>
        <w:rPr>
          <w:rFonts w:ascii="Times New Roman" w:hAnsi="Times New Roman"/>
          <w:i/>
          <w:color w:val="000000"/>
          <w:sz w:val="20"/>
        </w:rPr>
        <w:t>Investment Securities</w:t>
      </w:r>
      <w:r>
        <w:rPr>
          <w:rFonts w:ascii="Times New Roman" w:hAnsi="Times New Roman"/>
          <w:color w:val="000000"/>
          <w:sz w:val="20"/>
        </w:rPr>
        <w:t xml:space="preserve"> of the notes to the unaudited condensed consolidated financial statements of this report for additional information on our investment securities portfolio.</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Loans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loans and leases, at amortized cost, were $12.02 billion at June 30, 2026, an increase of $3.32 billion, or 38.14%, from December 31, 2025. The increase in total loans was primarily attributable to the Heritage acquisition, which added $3.10 billion of loans held for investment recorded at fair value as of the acquisition date as well as organic growth. The increase included increases of $2.41 billion in commercial real estate loans, $505.3 million in commercial and industrial loans, $172.2 million in construction loans, $166.7 million in consumer loans, $159.2 million in SBA loans, and $59.6 million in SFR mortgage loans. These increases were partially offset by decreases of $150.6 million in dairy &amp; livestock and agribusiness loans, reflecting the seasonal reduction in line utilization following the year-end peak, and a $3.5 million decrease in municipal lease finance receivables. The decline in dairy &amp; livestock loans primarily reflected the seasonal peak in line utilization at the end of every calendar year, demonstrated by a decline in utilization from 78% at December 31, 2025 to 63% at June 30,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composition of our loan portfolio as of the dates presented.</w:t>
      </w:r>
    </w:p>
    <w:p>
      <w:pPr>
        <w:pStyle w:val="TextBody"/>
        <w:bidi w:val="0"/>
        <w:jc w:val="left"/>
        <w:rPr/>
      </w:pPr>
      <w:r>
        <w:rPr/>
        <w:t> </w:t>
      </w:r>
    </w:p>
    <w:tbl>
      <w:tblPr>
        <w:tblW w:w="10132" w:type="dxa"/>
        <w:jc w:val="left"/>
        <w:tblInd w:w="0" w:type="dxa"/>
        <w:tblLayout w:type="fixed"/>
        <w:tblCellMar>
          <w:top w:w="28" w:type="dxa"/>
          <w:left w:w="28" w:type="dxa"/>
          <w:bottom w:w="28" w:type="dxa"/>
          <w:right w:w="28" w:type="dxa"/>
        </w:tblCellMar>
      </w:tblPr>
      <w:tblGrid>
        <w:gridCol w:w="3731"/>
        <w:gridCol w:w="196"/>
        <w:gridCol w:w="916"/>
        <w:gridCol w:w="166"/>
        <w:gridCol w:w="146"/>
        <w:gridCol w:w="258"/>
        <w:gridCol w:w="1062"/>
        <w:gridCol w:w="256"/>
        <w:gridCol w:w="146"/>
        <w:gridCol w:w="196"/>
        <w:gridCol w:w="826"/>
        <w:gridCol w:w="166"/>
        <w:gridCol w:w="146"/>
        <w:gridCol w:w="258"/>
        <w:gridCol w:w="1062"/>
        <w:gridCol w:w="601"/>
      </w:tblGrid>
      <w:tr>
        <w:trPr/>
        <w:tc>
          <w:tcPr>
            <w:tcW w:w="37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 of Total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 of Total</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8,983,934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6,574,395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75.57</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0.43</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SBA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and industrial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1,478,884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Dairy &amp; livestock and agribusiness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Municipal lease finance receivables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0.68</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SFR mortgage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and other loans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0.67</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loans, at amortized cost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12,017,055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8,699,193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Allowance for credit losses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Total loans and lease finance receivables, net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11,890,394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8,622,032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 Through the Heritage acquisition, the Company acquired CSNK Working Capital Finance Corp., doing business as Bay View Funding (“BVF”), a wholly owned subsidiary of the Bank that provides working capital factoring financing to businesses throughout the United States. The portfolio of factored receivables is included in the Company’s commercial loan portfolio. The average life of factored receivables was 34 days during the six months ended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$418.3 million, or 4.7% of the total commercial real estate loans included loans secured by farmland, compared with $424.5 million, or 6.46%, at December 31, 2025. The loans secured by farmland included $124.4 million for loans secured by dairy &amp; livestock land and $293.8 million for loans secured by agricultural land at June 30, 2026, compared with $119.0 million for loans secured by dairy &amp; livestock land and $305.5 million for loans secured by agricultural land at December 31, 2025. As of June 30, 2026, dairy &amp; livestock and agribusiness loans of $281.0 million were comprised of $239.1 million of dairy &amp; livestock loans and $41.9 million of agribusiness loans, compared to $431.6 million comprised of $386.1 million of dairy &amp; livestock loans and $45.5 million of agribusiness loans at December 31, 2025.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had $355.4 million of SBA 504 loans, an increase of $126.6 million from $228.8 million of SBA 504 loans at December 31, 2025.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June 30, 2026 and December 31, 2025, the Company had $79.2 million and $53.6 million of total SBA 7(a) loans, respectively,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had $210.0 million in construction loans, representing 1.70% of total loans. As of December 31, 2025, the Company had $37.8 million in construction loans, representing 0.40% of total loans. There were no nonperforming construction loans at June 30, 2026 and December 31,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loan portfolio is geographically disbursed throughout our marketplace. The following is the breakdown of our total held-for-investment loans and commercial real estate loans by region as of June 30, 2026 and December 31, 2025. </w:t>
      </w:r>
    </w:p>
    <w:p>
      <w:pPr>
        <w:pStyle w:val="TextBody"/>
        <w:bidi w:val="0"/>
        <w:jc w:val="left"/>
        <w:rPr/>
      </w:pPr>
      <w:r>
        <w:rPr/>
        <w:t> </w:t>
      </w:r>
    </w:p>
    <w:tbl>
      <w:tblPr>
        <w:tblW w:w="8655" w:type="dxa"/>
        <w:jc w:val="left"/>
        <w:tblInd w:w="0" w:type="dxa"/>
        <w:tblLayout w:type="fixed"/>
        <w:tblCellMar>
          <w:top w:w="28" w:type="dxa"/>
          <w:left w:w="28" w:type="dxa"/>
          <w:bottom w:w="28" w:type="dxa"/>
          <w:right w:w="28" w:type="dxa"/>
        </w:tblCellMar>
      </w:tblPr>
      <w:tblGrid>
        <w:gridCol w:w="2191"/>
        <w:gridCol w:w="196"/>
        <w:gridCol w:w="916"/>
        <w:gridCol w:w="146"/>
        <w:gridCol w:w="146"/>
        <w:gridCol w:w="293"/>
        <w:gridCol w:w="1027"/>
        <w:gridCol w:w="256"/>
        <w:gridCol w:w="146"/>
        <w:gridCol w:w="272"/>
        <w:gridCol w:w="1153"/>
        <w:gridCol w:w="146"/>
        <w:gridCol w:w="146"/>
        <w:gridCol w:w="293"/>
        <w:gridCol w:w="1027"/>
        <w:gridCol w:w="301"/>
      </w:tblGrid>
      <w:tr>
        <w:trPr/>
        <w:tc>
          <w:tcPr>
            <w:tcW w:w="2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 of Total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Commercial Real</w:t>
              <w:br/>
              <w:t>Estate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 of Total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 Angeles County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2,327,363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Central Valley &amp; Sacramento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2,030,312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1,675,214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Orange County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Santa Clara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Inland Empire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San Mateo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Central Coast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Alameda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San Diego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California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 of State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12,017,055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8,983,934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tbl>
      <w:tblPr>
        <w:tblW w:w="8685" w:type="dxa"/>
        <w:jc w:val="left"/>
        <w:tblInd w:w="0" w:type="dxa"/>
        <w:tblLayout w:type="fixed"/>
        <w:tblCellMar>
          <w:top w:w="28" w:type="dxa"/>
          <w:left w:w="28" w:type="dxa"/>
          <w:bottom w:w="28" w:type="dxa"/>
          <w:right w:w="28" w:type="dxa"/>
        </w:tblCellMar>
      </w:tblPr>
      <w:tblGrid>
        <w:gridCol w:w="2311"/>
        <w:gridCol w:w="196"/>
        <w:gridCol w:w="826"/>
        <w:gridCol w:w="146"/>
        <w:gridCol w:w="146"/>
        <w:gridCol w:w="293"/>
        <w:gridCol w:w="1027"/>
        <w:gridCol w:w="256"/>
        <w:gridCol w:w="146"/>
        <w:gridCol w:w="272"/>
        <w:gridCol w:w="1153"/>
        <w:gridCol w:w="146"/>
        <w:gridCol w:w="146"/>
        <w:gridCol w:w="293"/>
        <w:gridCol w:w="1027"/>
        <w:gridCol w:w="301"/>
      </w:tblGrid>
      <w:tr>
        <w:trPr/>
        <w:tc>
          <w:tcPr>
            <w:tcW w:w="23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 of Total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Commercial Real</w:t>
              <w:br/>
              <w:t>Estate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 of Total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 Angeles County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3,078,557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2,258,787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Central Valley and Sacramento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2,039,693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1,511,983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Orange County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Inland Empire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Central Coast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San Diego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California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 of State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8,699,193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6,574,395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tables below breaks down our commercial real estate portfolio by collateral type as of June 30, 2026 and December 31, 2025.</w:t>
      </w:r>
    </w:p>
    <w:p>
      <w:pPr>
        <w:pStyle w:val="TextBody"/>
        <w:bidi w:val="0"/>
        <w:jc w:val="left"/>
        <w:rPr/>
      </w:pPr>
      <w:r>
        <w:rPr/>
        <w:t> </w:t>
      </w:r>
    </w:p>
    <w:tbl>
      <w:tblPr>
        <w:tblW w:w="8275" w:type="dxa"/>
        <w:jc w:val="left"/>
        <w:tblInd w:w="0" w:type="dxa"/>
        <w:tblLayout w:type="fixed"/>
        <w:tblCellMar>
          <w:top w:w="28" w:type="dxa"/>
          <w:left w:w="28" w:type="dxa"/>
          <w:bottom w:w="28" w:type="dxa"/>
          <w:right w:w="28" w:type="dxa"/>
        </w:tblCellMar>
      </w:tblPr>
      <w:tblGrid>
        <w:gridCol w:w="2271"/>
        <w:gridCol w:w="196"/>
        <w:gridCol w:w="826"/>
        <w:gridCol w:w="146"/>
        <w:gridCol w:w="146"/>
        <w:gridCol w:w="293"/>
        <w:gridCol w:w="1027"/>
        <w:gridCol w:w="256"/>
        <w:gridCol w:w="146"/>
        <w:gridCol w:w="262"/>
        <w:gridCol w:w="758"/>
        <w:gridCol w:w="256"/>
        <w:gridCol w:w="146"/>
        <w:gridCol w:w="320"/>
        <w:gridCol w:w="835"/>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 of Total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Percent </w:t>
              <w:br/>
              <w:t>Owner-</w:t>
              <w:br/>
              <w:t xml:space="preserve">Occupied </w:t>
            </w:r>
            <w:r>
              <w:rPr>
                <w:rFonts w:ascii="Times New Roman" w:hAnsi="Times New Roman"/>
                <w:b/>
                <w:color w:val="000000"/>
                <w:sz w:val="12"/>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br/>
              <w:t>Loan Balance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Industrial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2,735,391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Office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Retail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Multi-family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Secured by farmland </w:t>
            </w:r>
            <w:r>
              <w:rPr>
                <w:rFonts w:ascii="Times New Roman" w:hAnsi="Times New Roman"/>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Medical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commercial real estate</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8,983,934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Represents percentage of reported owner-occupied at origination in each real estate loan category.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loans secured by farmland included $124.4 million for loans secured by dairy &amp; livestock land and $293.8 million for loans secured by agricultural land at June 30, 2026.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pPr>
      <w:r>
        <w:rPr>
          <w:rFonts w:ascii="Times New Roman" w:hAnsi="Times New Roman"/>
          <w:color w:val="000000"/>
          <w:sz w:val="16"/>
        </w:rPr>
        <w:t>Other loans consist of a variety of loan types, none of which exceeded 2.0% of total commercial real estate loans at June 30, 2026.</w:t>
      </w:r>
      <w:r>
        <w:rPr>
          <w:color w:val="000000"/>
        </w:rPr>
        <w:t xml:space="preserve"> </w:t>
      </w:r>
    </w:p>
    <w:p>
      <w:pPr>
        <w:pStyle w:val="TextBody"/>
        <w:bidi w:val="0"/>
        <w:jc w:val="left"/>
        <w:rPr/>
      </w:pPr>
      <w:r>
        <w:rPr/>
        <w:t> </w:t>
      </w:r>
    </w:p>
    <w:p>
      <w:pPr>
        <w:pStyle w:val="TextBody"/>
        <w:bidi w:val="0"/>
        <w:jc w:val="left"/>
        <w:rPr/>
      </w:pPr>
      <w:r>
        <w:rPr/>
        <w:t> </w:t>
      </w:r>
    </w:p>
    <w:tbl>
      <w:tblPr>
        <w:tblW w:w="8275" w:type="dxa"/>
        <w:jc w:val="left"/>
        <w:tblInd w:w="0" w:type="dxa"/>
        <w:tblLayout w:type="fixed"/>
        <w:tblCellMar>
          <w:top w:w="28" w:type="dxa"/>
          <w:left w:w="28" w:type="dxa"/>
          <w:bottom w:w="28" w:type="dxa"/>
          <w:right w:w="28" w:type="dxa"/>
        </w:tblCellMar>
      </w:tblPr>
      <w:tblGrid>
        <w:gridCol w:w="2271"/>
        <w:gridCol w:w="196"/>
        <w:gridCol w:w="826"/>
        <w:gridCol w:w="146"/>
        <w:gridCol w:w="146"/>
        <w:gridCol w:w="293"/>
        <w:gridCol w:w="1027"/>
        <w:gridCol w:w="256"/>
        <w:gridCol w:w="146"/>
        <w:gridCol w:w="262"/>
        <w:gridCol w:w="758"/>
        <w:gridCol w:w="256"/>
        <w:gridCol w:w="146"/>
        <w:gridCol w:w="320"/>
        <w:gridCol w:w="835"/>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 of Total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Percent </w:t>
              <w:br/>
              <w:t>Owner-</w:t>
              <w:br/>
              <w:t xml:space="preserve">Occupied </w:t>
            </w:r>
            <w:r>
              <w:rPr>
                <w:rFonts w:ascii="Times New Roman" w:hAnsi="Times New Roman"/>
                <w:b/>
                <w:color w:val="000000"/>
                <w:sz w:val="12"/>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br/>
              <w:t>Loan Balance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 real estate:</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Industrial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2,269,433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Office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Retail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Multi-family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Secured by farmland </w:t>
            </w:r>
            <w:r>
              <w:rPr>
                <w:rFonts w:ascii="Times New Roman" w:hAnsi="Times New Roman"/>
                <w:color w:val="000000"/>
                <w:sz w:val="12"/>
              </w:rPr>
              <w:t>(2)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Medical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824,882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commercial real estate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6,574,395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Represents percentage of reported owner-occupied at origination in each real estate loan category.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loans secured by farmland included $119.0 million for loans secured by dairy &amp; livestock land and $305.5 million for loans secured by agricultural land at December 31, 2025.</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pPr>
      <w:r>
        <w:rPr>
          <w:rFonts w:ascii="Times New Roman" w:hAnsi="Times New Roman"/>
          <w:color w:val="000000"/>
          <w:sz w:val="16"/>
        </w:rPr>
        <w:t>Other loans consist of a variety of loan types, none of which exceeded 2.0% of total commercial real estate loans at December 31, 2025.</w:t>
      </w:r>
      <w:r>
        <w:rPr>
          <w:color w:val="00000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b/>
          <w:i/>
          <w:color w:val="000000"/>
          <w:sz w:val="20"/>
        </w:rPr>
        <w:t>Nonperforming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on nonperforming assets as of the dates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67"/>
        <w:gridCol w:w="279"/>
        <w:gridCol w:w="856"/>
        <w:gridCol w:w="256"/>
        <w:gridCol w:w="146"/>
        <w:gridCol w:w="370"/>
        <w:gridCol w:w="1138"/>
        <w:gridCol w:w="393"/>
      </w:tblGrid>
      <w:tr>
        <w:trPr/>
        <w:tc>
          <w:tcPr>
            <w:tcW w:w="676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Nonaccrual loans</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nonperforming loans</w:t>
            </w:r>
          </w:p>
        </w:tc>
        <w:tc>
          <w:tcPr>
            <w:tcW w:w="2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16,642</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3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4,685</w:t>
            </w:r>
          </w:p>
        </w:tc>
        <w:tc>
          <w:tcPr>
            <w:tcW w:w="3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OREO, net</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nonperforming assets</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16,848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Performing modified loans</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21,635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16,859</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nonperforming loans and performing modified loans</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21,544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nonperforming loans and performing modified loans to total loans, at amortized cost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nonperforming assets to total loans and OREO</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nonperforming assets to total assets</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Nonperforming Assets and Delinquencies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provides trends in our nonperforming assets and delinquencies as of the dates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47"/>
        <w:gridCol w:w="146"/>
        <w:gridCol w:w="196"/>
        <w:gridCol w:w="691"/>
        <w:gridCol w:w="286"/>
        <w:gridCol w:w="146"/>
        <w:gridCol w:w="205"/>
        <w:gridCol w:w="629"/>
        <w:gridCol w:w="286"/>
        <w:gridCol w:w="146"/>
        <w:gridCol w:w="242"/>
        <w:gridCol w:w="744"/>
        <w:gridCol w:w="286"/>
        <w:gridCol w:w="146"/>
        <w:gridCol w:w="256"/>
        <w:gridCol w:w="790"/>
        <w:gridCol w:w="286"/>
        <w:gridCol w:w="146"/>
        <w:gridCol w:w="196"/>
        <w:gridCol w:w="601"/>
        <w:gridCol w:w="934"/>
      </w:tblGrid>
      <w:tr>
        <w:trPr/>
        <w:tc>
          <w:tcPr>
            <w:tcW w:w="2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Nonperforming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24,379</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Dairy &amp; livestock and agribusiness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 and other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16,642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6,144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4,685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27,804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25,969</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 of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0.33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0.31</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Past due 30-89 days (accruing):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SFR mortgage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 and other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3,745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6,605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3,178</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3,419</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 of Total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0.04</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OREO: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661</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Total nonperforming, past due, and OREO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20,593</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12,955</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8,026</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28,550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30,049</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 of Total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0.36</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Classified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109,718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83,058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52,701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78,180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73,422</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Nonperforming assets consist of loans whereby we have ceased accruing interest (i.e., nonaccrual loans), OREO, and other repossessed assets owned. Nonperforming loans, defined as nonaccrual loans, including modified loans on nonaccrual, generally consist of loans that are 90 days or more past due and loans where, in the opinion of management, there is reasonable doubt as to the full collection of principal and interest, regardless of the length of past due status.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Nonperforming loans totaled $16.6 million at June 30, 2026, or 0.14% of total loans. This compares to nonperforming loans of $4.7 million, or 0.05% of total loans, at December 31, 2025. The $11.9 million increase in nonperforming loans was primarily due to the addition of 13 nonperforming commercial and industrial loan totaling $9.1 million, seven nonperforming commercial real estate loans totaling $4.6 million, offset by the payoff of $5.6 million commercial real estate nonaccrual loans. Of the total nonperforming loans at June 30, 2026, $3.0 million were acquired from Heritage.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Classified loans are loans that are graded “substandard” or worse. Classified loans increased $57.0 million from December 31, 2025, largely driven by $29.1 million of classified loans acquired in the Heritage merger and changes in loan risk ratings, partially offset by loan payoffs and paydowns.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Despite the increase in nonperforming and classified loans following the Heritage acquisition, asset quality metrics remained favorable, with nonperforming loans representing 0.14% of total loans at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the Company had two OREO properties with a carrying value of $206,000, compared with one OREO property valued at $163,000 at December 31,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Modifications of Loans to Borrowers Experiencing Financial Difficulty</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four loans to borrowers experiencing financial difficulty that were modified during the six months ended June 30, 2026 with an amortized cost totaling $17.4 million at June 30, 2026, including one commercial and industrial loan of $9.7 million, two dairy &amp; livestock and agribusiness loans totaling $6.0 million, and one commercial real estate loan of $1.7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and six months ended June 30, 2026 and 2025, the Company did not have any modified loans that subsequently defaulted within twelve months of the modification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June 30, 2026 and December 31, 2025, there was no ACL allocated to modified loans to borrowers experiencing financial difficulty. Impairment amounts identified are typically charged off against the allowance at the time the loan is considered uncollectible. There were no charge-offs on loans to borrowers experiencing financial difficulty for the six months ended June 30, 2026 and 2025.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 xml:space="preserve">See Note 3 — </w:t>
      </w:r>
      <w:r>
        <w:rPr>
          <w:rFonts w:ascii="Times New Roman" w:hAnsi="Times New Roman"/>
          <w:i/>
          <w:color w:val="000000"/>
          <w:sz w:val="20"/>
        </w:rPr>
        <w:t>Summary of Significant Accounting Policies</w:t>
      </w:r>
      <w:r>
        <w:rPr>
          <w:rFonts w:ascii="Times New Roman" w:hAnsi="Times New Roman"/>
          <w:color w:val="000000"/>
          <w:sz w:val="20"/>
        </w:rPr>
        <w:t xml:space="preserve"> — Modification of Loans to Borrowers Experiencing Financial Difficulty of the 2025 Form 10-K and Note 6 – </w:t>
      </w:r>
      <w:r>
        <w:rPr>
          <w:rFonts w:ascii="Times New Roman" w:hAnsi="Times New Roman"/>
          <w:i/>
          <w:color w:val="000000"/>
          <w:sz w:val="20"/>
        </w:rPr>
        <w:t>Loans and Lease Finance Receivables and Allowance for Credit Losses</w:t>
      </w:r>
      <w:r>
        <w:rPr>
          <w:rFonts w:ascii="Times New Roman" w:hAnsi="Times New Roman"/>
          <w:color w:val="000000"/>
          <w:sz w:val="20"/>
        </w:rPr>
        <w:t xml:space="preserve"> of the notes to this Quarterly Report on Form 10-Q for additional information.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allowance for credit losses totaled $126.7 million as of June 30, 2026, compared to $77.2 million as of December 31, 2025. Our allowance for credit losses at June 30, 2026 was 1.05% of total loans, compared to 0.89% at December 31, 2025. The $49.5 million increase in our allowance for credit losses from December 31, 2025 reflected the initial ACL of $46.6 million on the purchased credit deteriorated (“PCD”) loans and purchased seasoned loans (“PSL”) acquired in the Heritage acquisition as well as a provision for loan losses of $3.0 million during the six months ended June 30, 2026. Net charge-offs were $128,000 for the six months ended June 30, 2026, compared to net charge-offs of $119,000 for the same period last year.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allowance for credit losses as of June 30, 2026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original loan to value ratios, origination year, loan seasoning, and macroeconomic variables 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economic forecast continues to be a blend of multiple forecasts produced by Moody’s. The baseline forecast continues to represent the largest weighting in our multi-weighted forecast scenario, with both upside and downside risks weighted among multiple forecasts. The resulting weighted average forecast as of June 30, 2026 reflects GDP growth declining throughout 2026 and staying below 2% throughout 2027. The unemployment rate is forecasted to increase to 5% by the beginning of 2027 and remain above 5% through 2028. Commercial real estate prices are forecasted to continue their decline through the end of 2027, before experiencing growth in 2028.</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table below presents a summary of charge-offs and recoveries by type, the provision for credit losses on loans, and the resulting allowance for credit losses for the periods presented. </w:t>
      </w:r>
    </w:p>
    <w:p>
      <w:pPr>
        <w:pStyle w:val="TextBody"/>
        <w:bidi w:val="0"/>
        <w:jc w:val="left"/>
        <w:rPr/>
      </w:pPr>
      <w:r>
        <w:rPr/>
        <w:t> </w:t>
      </w:r>
    </w:p>
    <w:tbl>
      <w:tblPr>
        <w:tblW w:w="7883" w:type="dxa"/>
        <w:jc w:val="left"/>
        <w:tblInd w:w="0" w:type="dxa"/>
        <w:tblLayout w:type="fixed"/>
        <w:tblCellMar>
          <w:top w:w="28" w:type="dxa"/>
          <w:left w:w="28" w:type="dxa"/>
          <w:bottom w:w="28" w:type="dxa"/>
          <w:right w:w="28" w:type="dxa"/>
        </w:tblCellMar>
      </w:tblPr>
      <w:tblGrid>
        <w:gridCol w:w="4836"/>
        <w:gridCol w:w="196"/>
        <w:gridCol w:w="916"/>
        <w:gridCol w:w="256"/>
        <w:gridCol w:w="146"/>
        <w:gridCol w:w="196"/>
        <w:gridCol w:w="826"/>
        <w:gridCol w:w="511"/>
      </w:tblGrid>
      <w:tr>
        <w:trPr/>
        <w:tc>
          <w:tcPr>
            <w:tcW w:w="48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and For the</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credit losses at beginning of period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80,122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Charge-offs: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SBA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and industrial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 and other loans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charge-offs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Recoveries: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Construction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SBA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and industrial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recoveries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charge-offs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Initial ACL for PCD &amp; PSL Loans at Acquisition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(recapture of) credit losses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credit losses at end of period</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126,661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78,003</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Summary of reserve for unfunded loan commitments: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Reserve for unfunded loan commitments at beginning of period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Provision for unfunded loan commitments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Reserve for unfunded loan commitments at end of period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6,750</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Reserve for unfunded loan commitments to total unfunded loan </w:t>
              <w:br/>
              <w:t>    commitments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Amount of total loans at end of period </w:t>
            </w:r>
            <w:r>
              <w:rPr>
                <w:rFonts w:ascii="Times New Roman" w:hAnsi="Times New Roman"/>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12,017,055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8,358,501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Average total loans outstanding </w:t>
            </w:r>
            <w:r>
              <w:rPr>
                <w:rFonts w:ascii="Times New Roman" w:hAnsi="Times New Roman"/>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11,548,138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8,410,871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recoveries (charge-offs) to average total loans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recoveries (charge-offs) to total loans at end of period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credit losses to average total loans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credit losses to total loans at end of period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credit losses to nonaccrual loans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charge-offs to allowance for credit losses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recoveries to (recapture of) provision for credit losses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Net of deferred loan origination fees, costs and discounts (amortized cost).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ACL methodology also produced an allowance of $13.0 million for our off-balance sheet credit exposures as of June 30, 2026, compared with $8.3 million as of December 31, 2025. The increase from the prior year end was primarily attributable to the initial reserve established for the unfunded commitments acquired in the Heritage acquisition through the provision for unfunded loan commitments.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While we believe that the allowance at June 30, 2026 was appropriate to absorb losses from known or inherent risks in the portfolio, no assurance can be given that future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 </w:t>
      </w:r>
    </w:p>
    <w:p>
      <w:pPr>
        <w:pStyle w:val="TextBody"/>
        <w:bidi w:val="0"/>
        <w:jc w:val="both"/>
        <w:rPr>
          <w:rFonts w:ascii="Times New Roman" w:hAnsi="Times New Roman"/>
          <w:sz w:val="20"/>
        </w:rPr>
      </w:pPr>
      <w:r>
        <w:rPr>
          <w:rFonts w:ascii="Times New Roman" w:hAnsi="Times New Roman"/>
          <w:color w:val="000000"/>
          <w:sz w:val="20"/>
        </w:rPr>
        <w:t>Changes in economic and business conditions could have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Times New Roman" w:hAnsi="Times New Roman"/>
          <w:i/>
          <w:color w:val="000000"/>
          <w:sz w:val="20"/>
        </w:rPr>
        <w:t>Risk Management – Credit Risk Management</w:t>
      </w:r>
      <w:r>
        <w:rPr>
          <w:rFonts w:ascii="Times New Roman" w:hAnsi="Times New Roman"/>
          <w:color w:val="000000"/>
          <w:sz w:val="20"/>
        </w:rPr>
        <w:t>” contained in the 2025 Form 10-K.</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Deposits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primary source of funds to support earning assets (loans and investments) is the generation of deposits.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deposits were $16.29 billion at June 30, 2026, an increase of $4.22 billion, or 34.93%, compared with total deposits of $12.07 billion at December 31, 2025. The increases primarily reflected $1.2 billion of noninterest-bearing deposits and $3.5 billion of interest-bearing deposits assumed in connection with the Heritage acquisition completed during the second quarter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composition of deposits is summarized as of the dates presented in the table below.</w:t>
      </w:r>
    </w:p>
    <w:p>
      <w:pPr>
        <w:pStyle w:val="TextBody"/>
        <w:bidi w:val="0"/>
        <w:jc w:val="left"/>
        <w:rPr/>
      </w:pPr>
      <w:r>
        <w:rPr/>
        <w:t> </w:t>
      </w:r>
    </w:p>
    <w:tbl>
      <w:tblPr>
        <w:tblW w:w="7366" w:type="dxa"/>
        <w:jc w:val="left"/>
        <w:tblInd w:w="0" w:type="dxa"/>
        <w:tblLayout w:type="fixed"/>
        <w:tblCellMar>
          <w:top w:w="28" w:type="dxa"/>
          <w:left w:w="28" w:type="dxa"/>
          <w:bottom w:w="28" w:type="dxa"/>
          <w:right w:w="28" w:type="dxa"/>
        </w:tblCellMar>
      </w:tblPr>
      <w:tblGrid>
        <w:gridCol w:w="2161"/>
        <w:gridCol w:w="196"/>
        <w:gridCol w:w="916"/>
        <w:gridCol w:w="146"/>
        <w:gridCol w:w="146"/>
        <w:gridCol w:w="146"/>
        <w:gridCol w:w="601"/>
        <w:gridCol w:w="256"/>
        <w:gridCol w:w="146"/>
        <w:gridCol w:w="196"/>
        <w:gridCol w:w="916"/>
        <w:gridCol w:w="146"/>
        <w:gridCol w:w="146"/>
        <w:gridCol w:w="146"/>
        <w:gridCol w:w="601"/>
        <w:gridCol w:w="501"/>
      </w:tblGrid>
      <w:tr>
        <w:trPr/>
        <w:tc>
          <w:tcPr>
            <w:tcW w:w="21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Noninterest-bearing deposits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8,606,924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6,800,691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Interest-bearing deposits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Investment checking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Money market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5,541,197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3,792,427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31.42</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Savings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Time deposits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690,539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576,775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Deposits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16,288,701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12,071,982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amount of noninterest-bearing deposits in relation to total deposits is an integral element in our strategy of seeking to achieve a low cost of funds. Noninterest-bearing deposits totaled $8.61 billion for the second quarter of 2026, an increase of $1.81 billion, or 26.56%, from $6.80 billion at December 31, 2025. Noninterest-bearing deposits were 52.84% of total deposits at June 30, 2026, compared with 56.33% at December 31,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Interest-bearing non-maturity deposits, which include savings, interest-bearing demand checking, and money market accounts, totaled $7.0 billion at June 30, 2026, an increase of $2.30 billion, or 48.92%, compared to $4.69 billion at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Time deposits totaled $690.5 million at June 30, 2026, an increase of $113.8 million, or 19.72%, compared to $576.8 million at December 31,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2024, the Company issued $300 million of three-month term brokered CDs and entered into pay-fixed, receive-floating interest rate swaps with a notional amount of $300 million and maturities of three years. The swaps carry a weighted average fixed rate of approximately 4.10%, with the Company receiving daily SOFR, and mature in the first quarter of 2027. These interest rate derivative contracts are designated as qualifying cash flow hedges of variability in expected future cash flows attributable to changes in a contractually specified interest rate. During the three-months ended June 30, 2026, $300 million of brokered CDs matured and were replaced with $300 million of three-month FHLB advances. Concurrently, the Company re-designated the related pay-fixed, receive-floating interest rate swaps as cash flow hedges of the FHLB advances.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deposits are primarily relationship-based and include deposits and customer repurchase agreements (“repos”). As of June 30, 2026, 83% of our deposits consisted of business deposits and 17% consisted of consumer deposits, with the majority of consumer deposits originating from the owners and employees of our business customers. Analyzed business accounts represented approximately 25% of total deposits and primarily consist of operating accounts that utilize a broad range of treasury management services. Because many of our business customers maintain operating account balances in excess of the FDIC insurance limit of $250,000, a significant portion of our deposits are uninsured. Our estimated uninsured deposits were $8.90 billion and $6.56 billion at June 30, 2026 and December 31, 2025, respectively. As of June 30, 2026, 47% of our total deposits and customer repos were uncollateralized and uninsured.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customer deposit relationships represent a diverse range of industries. Overall, there are 13 different industry classifications that represent 2% or more of total deposits as of June 30, 2026. The industry classification with the largest concentrations was finance &amp; insurance, which represent 12%, followed by construction, which represent 8% of our deposits. Our depositors have typically maintained long-standing banking relationships with us for many years.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Average total deposits and customer repurchase agreements for the second quarter of 2026 increased by $3.90 billion when compared to the second quarter of 2025. Our average noninterest-bearing deposits was 52.33% of our average total deposits for the second quarter of 2026 compared with 59.72% for the second quarter of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cost of deposits was 83 basis points on average for the second quarter of 2026, which compares to 84 basis points for the second quarter of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Borrowings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At June 30, 2026, our total borrowings were $1.10 billion, which consisted of $563.4 million of customer repurchase agreements, $500.0 million of FHLB advances, and $39.0 million of subordinated debt. The average interest rate on the FHLB advances was 4.10%. At June 30, 2026, FHLB advances consisted of $300.0 million of three-month advances that replaced maturing brokered CDs and were designated in the related pay-fixed, receive-floating interest rate swaps as cash flow hedges of the FHLB advances, and a $200.0 million advance with a cost of 4.27% maturing in May 2027. At December 31, 2025, our borrowings were $990.6 million including $490.6 million of customer repurchase agreements and $500.0 million of FHLB advances. Refer to Note 8 - </w:t>
      </w:r>
      <w:r>
        <w:rPr>
          <w:rFonts w:ascii="Times New Roman" w:hAnsi="Times New Roman"/>
          <w:i/>
          <w:color w:val="000000"/>
          <w:sz w:val="20"/>
        </w:rPr>
        <w:t>Borrowings</w:t>
      </w:r>
      <w:r>
        <w:rPr>
          <w:rFonts w:ascii="Times New Roman" w:hAnsi="Times New Roman"/>
          <w:color w:val="000000"/>
          <w:sz w:val="20"/>
        </w:rPr>
        <w:t xml:space="preserve"> of the notes to the consolidated financial statements for a more detailed discussion.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Bank offers a repurchase agreement product to its customers known as Citizens Sweep Manager. Under this program, the Bank sells investment securities overnight to customers under an agreement to repurchase the securities the next business day at a price that reflects the market value of the use of these funds for the period. These repurchase agreements are entered into with customers seeking to invest excess demand deposit balances above a predetermined threshold in order to earn interest. As of June 30, 2026 and December 31, 2025, total funds borrowed under these agreements were $563.4 million and $490.6 million, respectively. The average balance for the second quarter of 2026 was $564.8 million with a weighted average interest rate of 1.79%, compared to an average balance of $376.6 million and a weighted average interest rate of 1.66% for the second quarter of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investment securities with carrying values of $2.74 billion were pledged to secure various types of deposits, including $1.03 billion of public funds. In addition, investment securities with carrying values of $2.36 billion were pledged to secure $708.5 million for repurchase agreements, $1.58 billion for unused borrowing capacity and approximately $71.7 million for other purposes as required or permitted by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loans with a carrying value of $7.56 billion were pledged to secure the borrowings and available lines of credit from the FHLB and the Federal Reserve Bank. At June 30, 2026, the Bank had unused borrowing capacity at the FHLB of $4.52 billion and unused borrowing capacity at the FRB of $1.45 billion.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Aggregate Contractual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aggregate contractual obligations as of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72"/>
        <w:gridCol w:w="196"/>
        <w:gridCol w:w="916"/>
        <w:gridCol w:w="146"/>
        <w:gridCol w:w="146"/>
        <w:gridCol w:w="266"/>
        <w:gridCol w:w="1247"/>
        <w:gridCol w:w="146"/>
        <w:gridCol w:w="146"/>
        <w:gridCol w:w="307"/>
        <w:gridCol w:w="1085"/>
        <w:gridCol w:w="146"/>
        <w:gridCol w:w="146"/>
        <w:gridCol w:w="358"/>
        <w:gridCol w:w="1099"/>
        <w:gridCol w:w="146"/>
        <w:gridCol w:w="146"/>
        <w:gridCol w:w="264"/>
        <w:gridCol w:w="931"/>
        <w:gridCol w:w="196"/>
      </w:tblGrid>
      <w:tr>
        <w:trPr/>
        <w:tc>
          <w:tcPr>
            <w:tcW w:w="21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Maturity by Period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Less Than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One Year Through </w:t>
              <w:br/>
              <w:t>Three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Four Years Through </w:t>
              <w:br/>
              <w:t>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Over Five Years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7"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Deposits </w:t>
            </w:r>
            <w:r>
              <w:rPr>
                <w:rFonts w:ascii="Times New Roman" w:hAnsi="Times New Roman"/>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16,288,701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16,222,071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Customer repurchase agreements </w:t>
            </w:r>
            <w:r>
              <w:rPr>
                <w:rFonts w:ascii="Times New Roman" w:hAnsi="Times New Roman"/>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borrowings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investments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17,696,177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17,409,418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109,866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Amounts exclude accrued interest.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Deposits represent noninterest-bearing, money market, savings, NOW, certificates of deposits, brokered and other deposits held by the Bank.</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Customer repurchase agreements represent excess amounts swept from customer demand deposit accounts, which mature the following business day and are collateralized by investment securities. These amounts are due to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borrowings represent amounts due for FHLB advances based on their contractual maturity dates.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connection with the Heritage acquisition, the Company assumed Heritage's $40 million subordinated debt, which bears a fixed rate of 5.0% until May 15, 2027 and had a market value of $38.7 million at the acquisition date. The Company currently expects to redeem the subordinated notes, in whole or in part, on or after May 15, 2027. See Note 8 - </w:t>
      </w:r>
      <w:r>
        <w:rPr>
          <w:rFonts w:ascii="Times New Roman" w:hAnsi="Times New Roman"/>
          <w:i/>
          <w:color w:val="000000"/>
          <w:sz w:val="20"/>
        </w:rPr>
        <w:t>Borrowings</w:t>
      </w:r>
      <w:r>
        <w:rPr>
          <w:rFonts w:ascii="Times New Roman" w:hAnsi="Times New Roman"/>
          <w:color w:val="000000"/>
          <w:sz w:val="20"/>
        </w:rPr>
        <w:t xml:space="preserve"> for additional information.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Deferred compensation represents the amounts that are due to former employees based on salary continuation agreements as a result of acquisitions and amounts due to current and retired employees under our deferred compensation plans.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Operating leases represent the total minimum lease payments due under non-cancelable operating leases. Refer to Note 14 – </w:t>
      </w:r>
      <w:r>
        <w:rPr>
          <w:rFonts w:ascii="Times New Roman" w:hAnsi="Times New Roman"/>
          <w:i/>
          <w:color w:val="000000"/>
          <w:sz w:val="20"/>
        </w:rPr>
        <w:t xml:space="preserve">Leases </w:t>
      </w:r>
      <w:r>
        <w:rPr>
          <w:rFonts w:ascii="Times New Roman" w:hAnsi="Times New Roman"/>
          <w:color w:val="000000"/>
          <w:sz w:val="20"/>
        </w:rPr>
        <w:t>of the notes to the Company’s unaudited condensed consolidated financial statements for a more detailed discussion about 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Equity investments represent commitments to contribute capital to low-income housing tax credit (“LIHTC”), solar tax funds and other CRA related investment partnerships.</w:t>
      </w:r>
    </w:p>
    <w:p>
      <w:pPr>
        <w:pStyle w:val="TextBody"/>
        <w:bidi w:val="0"/>
        <w:jc w:val="both"/>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off-balance sheet items at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13"/>
        <w:gridCol w:w="196"/>
        <w:gridCol w:w="826"/>
        <w:gridCol w:w="146"/>
        <w:gridCol w:w="146"/>
        <w:gridCol w:w="274"/>
        <w:gridCol w:w="1157"/>
        <w:gridCol w:w="146"/>
        <w:gridCol w:w="146"/>
        <w:gridCol w:w="265"/>
        <w:gridCol w:w="1120"/>
        <w:gridCol w:w="146"/>
        <w:gridCol w:w="146"/>
        <w:gridCol w:w="312"/>
        <w:gridCol w:w="1102"/>
        <w:gridCol w:w="146"/>
        <w:gridCol w:w="146"/>
        <w:gridCol w:w="259"/>
        <w:gridCol w:w="918"/>
        <w:gridCol w:w="395"/>
      </w:tblGrid>
      <w:tr>
        <w:trPr/>
        <w:tc>
          <w:tcPr>
            <w:tcW w:w="22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Maturity by Period</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Less Than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One Year Through </w:t>
              <w:br/>
              <w:t>Three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Four Years Through </w:t>
              <w:br/>
              <w:t>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After Five Years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7"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 to extend credit:</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Commercial real estate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29,532</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Construction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2,040</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SBA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3,647</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Commercial and industrial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1,613,278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1,156,329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29,178</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Dairy &amp; livestock and agribusiness </w:t>
            </w:r>
            <w:r>
              <w:rPr>
                <w:rFonts w:ascii="Times New Roman" w:hAnsi="Times New Roman"/>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SFR Mortgage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Consumer and other loans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253,837</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8"/>
              </w:rPr>
              <w:t>Total commitment to extend credit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3,126,973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1,601,796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318,876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Letter of credit commitments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Total</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3,218,028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318,894</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Total commitments to extend credit to agribusiness were $28.0 million at June 30,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we had commitments to extend credit of approximately $3.13 billion, and obligations under letters of credit of $91.1 million. Commitments to extend credit are agreements to lend to customers, provided there is no violation of any material condition established in the contract. Commitments generally have fixed expiration dates or other termination clauses and may require payment of a fee. Most commitments bear variable interest rates, and many are expected to expire without being drawn upon. As such, the total commitment amounts do not necessarily represent future cash requirements. We apply the same credit underwriting standards to commitments and contingent obligations as we do to on-balance sheet lending activities, including evaluating customers’ creditworthiness individually. As of June 30, 2026 and December 31, 2025, the reserve for unfunded loan commitments was $13.0 million and $8.3 million, respectively, and was included in other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substantially the same as that involved in extending loan to customers. When deemed necessary, the Bank hold appropriate collateral supporting those commitments.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Capital Resources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June 24, 2026, the Board of Directors of CVB declared a quarterly cash dividend of $0.20 per share, payable on July 23, 2026.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15, 2026, our Board of Directors approved a program to repurchase up to 15,000,000 shares (the "Maximum Amount") of CVB common stock including by means of one or more Rule 10b5-1 plans or other appropriate buy-back arrangements, including open market purchases and private transactions, based on the prices and timing considered appropriate due to prevailing market conditions and other corporate and legal considerations ("2026 Repurchase Program"). This 2026 Repurchase Program replaced in its entirety the Company's previous 2024 share repurchase program under which 5,678,223 shares remained available for repurchase prior to its termination. The 2026 Repurchase Program terminates on the earlier of the repurchase of the Maximum Amount, or five years from the date of authorization. During the second quarter of 2026, the Company purchased 241,034 shares under the 2026 Repurchase Program, at an average price of $21.06 per share for an aggregate purchase price of $5.1 million. As of June 30, 2026, an aggregate of 14,758,966 shares remained available for repurchase under our 2026 Repurchase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stockholders' equity increased $874.5 million to $3.17 billion at June 30, 2026, compared with total stockholders' equity of $2.30 billion at December 31, 2025. The increase was primarily due to $840.2 million of common shares issued and exchanged as a result of the Heritage acquisition and $99.3 million in net earnings, partially offset by $62.5 million in cash dividends declared and $5.1 million common stock repurchases.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June 30, 2026, the Bank and the Company exceeded the minimum risk-based capital ratios and leverage ratios required to be considered “well-capitalized” for regulatory purposes. For further information about capital requirements and our capital ratios, see “Item 1. </w:t>
      </w:r>
      <w:r>
        <w:rPr>
          <w:rFonts w:ascii="Times New Roman" w:hAnsi="Times New Roman"/>
          <w:i/>
          <w:color w:val="000000"/>
          <w:sz w:val="20"/>
        </w:rPr>
        <w:t>Business – Capital Adequacy Requirements</w:t>
      </w:r>
      <w:r>
        <w:rPr>
          <w:rFonts w:ascii="Times New Roman" w:hAnsi="Times New Roman"/>
          <w:color w:val="000000"/>
          <w:sz w:val="20"/>
        </w:rPr>
        <w:t>” as described in our Annual Report on Form 10-K for the year ended December 31, 2025.</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presents the Company’s and the Bank’s risk-based and leverage capital ratios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6"/>
        <w:gridCol w:w="146"/>
        <w:gridCol w:w="1135"/>
        <w:gridCol w:w="146"/>
        <w:gridCol w:w="1448"/>
        <w:gridCol w:w="146"/>
        <w:gridCol w:w="1068"/>
        <w:gridCol w:w="146"/>
        <w:gridCol w:w="1292"/>
        <w:gridCol w:w="146"/>
        <w:gridCol w:w="937"/>
        <w:gridCol w:w="146"/>
        <w:gridCol w:w="1292"/>
        <w:gridCol w:w="146"/>
        <w:gridCol w:w="985"/>
      </w:tblGrid>
      <w:tr>
        <w:trPr/>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r>
      <w:tr>
        <w:trPr/>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Capital Ratios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Adequately Capitalized Ratios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Minimum Required Plus Capital Conservation Buffer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Well Capitalized Ratios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CVB Financial Corp. Consolidated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Citizens Business Bank, 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CVB Financial Corp. Consolidated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Citizens Business Bank, N.A.</w:t>
            </w:r>
          </w:p>
        </w:tc>
      </w:tr>
      <w:tr>
        <w:trPr/>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Tier 1 leverage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11.46%</w:t>
            </w:r>
          </w:p>
        </w:tc>
      </w:tr>
      <w:tr>
        <w:trPr/>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equity Tier 1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15.66%</w:t>
            </w:r>
          </w:p>
        </w:tc>
      </w:tr>
      <w:tr>
        <w:trPr/>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Tier 1 risk-based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15.66%</w:t>
            </w:r>
          </w:p>
        </w:tc>
      </w:tr>
      <w:tr>
        <w:trPr/>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risk-based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16.44%</w:t>
            </w:r>
          </w:p>
        </w:tc>
      </w:tr>
    </w:tbl>
    <w:p>
      <w:pPr>
        <w:pStyle w:val="TextBody"/>
        <w:bidi w:val="0"/>
        <w:jc w:val="left"/>
        <w:rPr/>
      </w:pPr>
      <w:r>
        <w:rPr/>
        <w:t> </w:t>
      </w:r>
    </w:p>
    <w:p>
      <w:pPr>
        <w:pStyle w:val="TextBody"/>
        <w:bidi w:val="0"/>
        <w:jc w:val="center"/>
        <w:rPr>
          <w:rFonts w:ascii="Times New Roman" w:hAnsi="Times New Roman"/>
          <w:b/>
          <w:color w:val="000000"/>
          <w:sz w:val="20"/>
        </w:rPr>
      </w:pPr>
      <w:bookmarkStart w:id="15" w:name="liability_risk_management"/>
      <w:bookmarkEnd w:id="15"/>
      <w:r>
        <w:rPr>
          <w:rFonts w:ascii="Times New Roman" w:hAnsi="Times New Roman"/>
          <w:b/>
          <w:color w:val="000000"/>
          <w:sz w:val="20"/>
        </w:rPr>
        <w:t>ASSET/LIABILITY AND MARKET RISK MANAGEMENT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 and Cash Flow</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as well as the input assumptions and results from various models. In addition, the Company has a Balance Sheet Management Committee of the Board of Directors that meets at least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general, our liquidity is managed daily by controlling the level of liquid assets as well as the use of funds provided by the cash flow from the investment portfolio, loan demand, deposit fluctuations, and borrowings. Our definition of liquid assets includes cash and cash equivalents in excess of minimum levels needed to fulfill normal business operations, short-term investment securities, and other anticipated near term cash flows from investments. In addition to on balance sheet liquidity, we have significant off-balance sheet sources of liquidity. To meet unexpected demands, lines of credit are maintained with correspondent banks, FHLB and the Federal Reserve, although availability under these lines of credit are subject to certain conditions. In addition to $1.10 billion of cash and cash equivalents on the balance sheet at June 30, 2026, we had substantial sources of off-balance sheet liquidity. These sources of available liquidity include $4.5 billion of secured and unused capacity with FHLB, $1.5 billion of secured unused borrowing capacity at the Fed’s discount window, more than $558.3 million of unpledged AFS securities that could be pledged at the discount window and $305.0 million of unsecured lines of credit. In addition to these borrowing sources, the Bank has capacity to utilize additional brokered deposits as of June 30, 2026. We can also obtain additional liquidity from deposit growth by utilizing state and national wholesale markets.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primary sources of funds for the Company are deposits, customer repurchase agreements and borrowings. Total deposits and customer repos of $16.85 billion at June 30, 2026 increased $4.29 billion, or 34.15%, compared with total deposits and customer repos of $12.56 billion at December 31, 2025. As of June 30, 2026, total borrowings consisted of $500.0 million of FHLB advances, at an average cost of approximately 4.10%, and $39.0 million of subordinated debt assumed in the Heritage acquisition. Our deposit levels and cost of deposits may fluctuate from period-to-period due to a variety of factors, including the stability of our deposit base, prevailing interest rates, and market conditions. At June 30, 2026, our deposits and customer repurchase agreements that are neither collateralized nor insured were approximately $7.94 billion, or 47% of our total deposits and customer repos.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 sources of liquidity include principal and interest payments from our investment portfolio. Our total investment portfolio totaled $5.68 billion at June 30, 2026, an increase of $722.8 million from $4.95 billion at December 31, 2025. The increase was primarily due to approximately $519.0 million of investment securities acquired and retained from the Heritage acquisition as well as approximately $511.5 million of purchases of AFS securities during the second quarter of 2026. At June 30, 2026, our AFS investment securities totaled $3.46 billion, inclusive of a pre-tax net unrealized loss of $323.5 million. Pre-tax unrealized loss increased by $15.7 million from prior year end, resulting primarily from fluctuation in market interest rates. Market risk is partly managed by $700 million notional pay fixed swaps hedging the fair value of the AFS portfolio. The decrease in fair value of our AFS securities was partially offset by a $12.6 million increase in the fair value of our derivatives that hedge the change in value of our AFS portfolio.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CVB is a holding company separate and apart from the Bank that must provide for its own liquidity and must service its own obligations.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Below is a summary of our average cash position and statement of cash flows for the six months ended June 30, 2026 and 2025. For further details, see our “</w:t>
      </w:r>
      <w:r>
        <w:rPr>
          <w:rFonts w:ascii="Times New Roman" w:hAnsi="Times New Roman"/>
          <w:i/>
          <w:color w:val="000000"/>
          <w:sz w:val="20"/>
        </w:rPr>
        <w:t>Condensed Consolidated Statements of Cash Flows</w:t>
      </w:r>
      <w:r>
        <w:rPr>
          <w:rFonts w:ascii="Times New Roman" w:hAnsi="Times New Roman"/>
          <w:color w:val="000000"/>
          <w:sz w:val="20"/>
        </w:rPr>
        <w:t xml:space="preserve"> (Unaudited)” under Part I, Item 1 of this report.</w:t>
      </w:r>
    </w:p>
    <w:p>
      <w:pPr>
        <w:pStyle w:val="TextBody"/>
        <w:bidi w:val="0"/>
        <w:jc w:val="left"/>
        <w:rPr/>
      </w:pPr>
      <w:r>
        <w:rPr/>
        <w:t> </w:t>
      </w:r>
    </w:p>
    <w:tbl>
      <w:tblPr>
        <w:tblW w:w="6213" w:type="dxa"/>
        <w:jc w:val="left"/>
        <w:tblInd w:w="0" w:type="dxa"/>
        <w:tblLayout w:type="fixed"/>
        <w:tblCellMar>
          <w:top w:w="28" w:type="dxa"/>
          <w:left w:w="28" w:type="dxa"/>
          <w:bottom w:w="28" w:type="dxa"/>
          <w:right w:w="28" w:type="dxa"/>
        </w:tblCellMar>
      </w:tblPr>
      <w:tblGrid>
        <w:gridCol w:w="3676"/>
        <w:gridCol w:w="196"/>
        <w:gridCol w:w="751"/>
        <w:gridCol w:w="256"/>
        <w:gridCol w:w="146"/>
        <w:gridCol w:w="196"/>
        <w:gridCol w:w="691"/>
        <w:gridCol w:w="301"/>
      </w:tblGrid>
      <w:tr>
        <w:trPr/>
        <w:tc>
          <w:tcPr>
            <w:tcW w:w="3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(Dollars in thousands)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632,094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401,722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total average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operating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450,535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799,238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357,140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(521,803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81,812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and cash equivalents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727,970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533,938</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2026, average cash and cash equivalents increased by $230.4 million, or 57.4%, to $632.1 million, compared to $401.7 million for the same period last year.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June 30, 2026, cash and cash equivalents totaled $1.10 billion. This represented an increase of $728.0 million, or 193.41%, from $376.4 million at December 31, 2025. Of this total, cash on deposit at the Federal Reserve increased by $640.9 million compared to December 31, 2025. The increase in cash and cash equivalents was primarily due to $542.7 million of net cash acquired in the Heritage acquisition and the sale of SFR mortgage loan pools acquired form Heritage at a fair value of $327.5 million, which settled in early June 2026.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Interest Rate Sensitivity Management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interest rate risk policy measures the sensitivity of our net interest income over both one-year and two-year horizons.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simulation model estimates the impact of changes in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one-year and two-year periods, assuming no balance sheet growth, under instantaneous rate shock scenarios of plus or minus 100 and 200 basis points, subject to prevailing market rate conditions. The simulation model assumes parallel yield curve shifts that are ramped up or down over a 12-month period and measures the resulting sensitivity of net interest income during year 1, year 2, and the cumulative two-year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Company’s projected net interest income sensitivity as of the dates indicated under various interest rate shock scenarios over the applicable measurement periods.</w:t>
      </w:r>
    </w:p>
    <w:p>
      <w:pPr>
        <w:pStyle w:val="TextBody"/>
        <w:bidi w:val="0"/>
        <w:jc w:val="left"/>
        <w:rPr/>
      </w:pPr>
      <w:r>
        <w:rPr/>
        <w:t> </w:t>
      </w:r>
    </w:p>
    <w:tbl>
      <w:tblPr>
        <w:tblW w:w="5962" w:type="dxa"/>
        <w:jc w:val="left"/>
        <w:tblInd w:w="0" w:type="dxa"/>
        <w:tblLayout w:type="fixed"/>
        <w:tblCellMar>
          <w:top w:w="28" w:type="dxa"/>
          <w:left w:w="28" w:type="dxa"/>
          <w:bottom w:w="28" w:type="dxa"/>
          <w:right w:w="28" w:type="dxa"/>
        </w:tblCellMar>
      </w:tblPr>
      <w:tblGrid>
        <w:gridCol w:w="1831"/>
        <w:gridCol w:w="146"/>
        <w:gridCol w:w="631"/>
        <w:gridCol w:w="146"/>
        <w:gridCol w:w="631"/>
        <w:gridCol w:w="146"/>
        <w:gridCol w:w="243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596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Estimated Net Interest Income Sensitivity </w:t>
            </w:r>
            <w:r>
              <w:rPr>
                <w:rFonts w:ascii="Times New Roman" w:hAnsi="Times New Roman"/>
                <w:b/>
                <w:color w:val="000000"/>
                <w:sz w:val="12"/>
              </w:rPr>
              <w:t>(1)</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r>
      <w:tr>
        <w:trPr/>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 Rate Scenario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1 + Year 2 (Cumulative)</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+ 200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5.33%</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+ 100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2.79%</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- 100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-2.54%</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- 200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-5.18%</w:t>
            </w:r>
          </w:p>
        </w:tc>
      </w:tr>
    </w:tbl>
    <w:p>
      <w:pPr>
        <w:pStyle w:val="TextBody"/>
        <w:bidi w:val="0"/>
        <w:jc w:val="left"/>
        <w:rPr/>
      </w:pPr>
      <w:r>
        <w:rPr/>
        <w:t> </w:t>
      </w:r>
    </w:p>
    <w:tbl>
      <w:tblPr>
        <w:tblW w:w="6025" w:type="dxa"/>
        <w:jc w:val="left"/>
        <w:tblInd w:w="0" w:type="dxa"/>
        <w:tblLayout w:type="fixed"/>
        <w:tblCellMar>
          <w:top w:w="28" w:type="dxa"/>
          <w:left w:w="28" w:type="dxa"/>
          <w:bottom w:w="28" w:type="dxa"/>
          <w:right w:w="28" w:type="dxa"/>
        </w:tblCellMar>
      </w:tblPr>
      <w:tblGrid>
        <w:gridCol w:w="1831"/>
        <w:gridCol w:w="146"/>
        <w:gridCol w:w="1396"/>
        <w:gridCol w:w="146"/>
        <w:gridCol w:w="250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60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Estimated Net Interest Income Sensitivity </w:t>
            </w:r>
            <w:r>
              <w:rPr>
                <w:rFonts w:ascii="Times New Roman" w:hAnsi="Times New Roman"/>
                <w:b/>
                <w:color w:val="000000"/>
                <w:sz w:val="12"/>
              </w:rPr>
              <w:t>(1)</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r>
      <w:tr>
        <w:trPr/>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 Rate Scenario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12-month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24-month Period (Cumulative)</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+ 200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5.71%</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- 200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-6.19%</w:t>
            </w:r>
          </w:p>
        </w:tc>
      </w:tr>
    </w:tbl>
    <w:p>
      <w:pPr>
        <w:pStyle w:val="TextBody"/>
        <w:bidi w:val="0"/>
        <w:jc w:val="left"/>
        <w:rPr/>
      </w:pPr>
      <w:r>
        <w:rPr/>
        <w:t> </w:t>
      </w:r>
    </w:p>
    <w:p>
      <w:pPr>
        <w:pStyle w:val="TextBody"/>
        <w:bidi w:val="0"/>
        <w:spacing w:before="0" w:after="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Percentage change from base scenario.</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Based on our current simulation models, we believe that the interest rate risk profile of the balance sheet is modestly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June 30, 2026 and December 31, 2025, the EVE profile indicates a decline in net balance sheet value due to instantaneous downward changes in rates. From December 31, 2025 to June 30, 2026, our EVE sensitivity to declining interest rates increased modestly. Our overall sensitivity of EVE to changes in interest rates is generally modest.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Economic Value of Equity Sensitivity</w:t>
      </w:r>
    </w:p>
    <w:p>
      <w:pPr>
        <w:pStyle w:val="TextBody"/>
        <w:bidi w:val="0"/>
        <w:jc w:val="left"/>
        <w:rPr/>
      </w:pPr>
      <w:r>
        <w:rPr/>
        <w:t> </w:t>
      </w:r>
    </w:p>
    <w:tbl>
      <w:tblPr>
        <w:tblW w:w="5410" w:type="dxa"/>
        <w:jc w:val="left"/>
        <w:tblInd w:w="0" w:type="dxa"/>
        <w:tblLayout w:type="fixed"/>
        <w:tblCellMar>
          <w:top w:w="28" w:type="dxa"/>
          <w:left w:w="28" w:type="dxa"/>
          <w:bottom w:w="28" w:type="dxa"/>
          <w:right w:w="28" w:type="dxa"/>
        </w:tblCellMar>
      </w:tblPr>
      <w:tblGrid>
        <w:gridCol w:w="2371"/>
        <w:gridCol w:w="146"/>
        <w:gridCol w:w="1156"/>
        <w:gridCol w:w="146"/>
        <w:gridCol w:w="15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400 bp decrease in interest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15.9%</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300 bp decrease in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16.6%</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200 bp decrease in interest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17.8%</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100 bp decrease in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18.6%</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19.1%</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100 bp increase in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19.3%</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200 bp increase in interest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19.2%</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300 bp increase in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18.6%</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400 bp increase in interest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18.2%</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pStyle w:val="TextBody"/>
        <w:bidi w:val="0"/>
        <w:jc w:val="both"/>
        <w:rPr/>
      </w:pPr>
      <w:r>
        <w:rPr/>
        <w:t> </w:t>
      </w:r>
    </w:p>
    <w:p>
      <w:pPr>
        <w:pStyle w:val="TextBody"/>
        <w:bidi w:val="0"/>
        <w:spacing w:before="200" w:after="283"/>
        <w:jc w:val="left"/>
        <w:rPr>
          <w:rFonts w:ascii="Times New Roman" w:hAnsi="Times New Roman"/>
          <w:b/>
          <w:color w:val="000000"/>
          <w:sz w:val="20"/>
        </w:rPr>
      </w:pPr>
      <w:bookmarkStart w:id="16" w:name="i_item3"/>
      <w:bookmarkEnd w:id="16"/>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Market risk is the risk of loss from adverse changes in the market prices and interest rates. Our market risk arises primarily from interest rate risk inherent in our lending and deposit taking activities, as well as our portfolio of investment securities and fair value hedges. We do not currently have futures, forwards, or option contracts. For further quantitative and qualitative disclosures about market risks in our portfolio, see </w:t>
      </w:r>
      <w:r>
        <w:rPr>
          <w:rFonts w:ascii="Times New Roman" w:hAnsi="Times New Roman"/>
          <w:i/>
          <w:color w:val="000000"/>
          <w:sz w:val="20"/>
        </w:rPr>
        <w:t>Asset/Liability Management and Interest Rate Sensitivity Management</w:t>
      </w:r>
      <w:r>
        <w:rPr>
          <w:rFonts w:ascii="Times New Roman" w:hAnsi="Times New Roman"/>
          <w:color w:val="000000"/>
          <w:sz w:val="20"/>
        </w:rPr>
        <w:t xml:space="preserve">” included in Item 2 </w:t>
      </w:r>
      <w:r>
        <w:rPr>
          <w:rFonts w:ascii="Times New Roman" w:hAnsi="Times New Roman"/>
          <w:i/>
          <w:color w:val="000000"/>
          <w:sz w:val="20"/>
        </w:rPr>
        <w:t>MD&amp;A</w:t>
      </w:r>
      <w:r>
        <w:rPr>
          <w:rFonts w:ascii="Times New Roman" w:hAnsi="Times New Roman"/>
          <w:color w:val="000000"/>
          <w:sz w:val="20"/>
        </w:rPr>
        <w:t xml:space="preserve"> presented elsewhere in this report. This analysis should be read in conjunction with our Annual Report on Form 10-K for the year ended December 31, 2025. Our analysis of market risk and market-sensitive financial information contains forward-looking statements and is subject to the disclosure at the beginning of Part I regarding such forward-looking information.</w:t>
      </w:r>
    </w:p>
    <w:p>
      <w:pPr>
        <w:pStyle w:val="TextBody"/>
        <w:bidi w:val="0"/>
        <w:spacing w:before="200" w:after="283"/>
        <w:jc w:val="left"/>
        <w:rPr>
          <w:rFonts w:ascii="Times New Roman" w:hAnsi="Times New Roman"/>
          <w:b/>
          <w:color w:val="000000"/>
          <w:sz w:val="20"/>
        </w:rPr>
      </w:pPr>
      <w:bookmarkStart w:id="17" w:name="i_item4"/>
      <w:bookmarkEnd w:id="17"/>
      <w:r>
        <w:rPr>
          <w:rFonts w:ascii="Times New Roman" w:hAnsi="Times New Roman"/>
          <w:b/>
          <w:color w:val="000000"/>
          <w:sz w:val="20"/>
        </w:rPr>
        <w:t>ITEM 4. CONTROLS AND PROCEDURES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quarter ended June 30, 2026, there have been no changes in our internal controls over financial reporting that have materially affected or are reasonably likely to materially affect our internal controls over financial reporting.</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bookmarkStart w:id="18" w:name="partii_other_information"/>
      <w:bookmarkEnd w:id="18"/>
      <w:r>
        <w:rPr>
          <w:rFonts w:ascii="Times New Roman" w:hAnsi="Times New Roman"/>
          <w:b/>
          <w:color w:val="000000"/>
          <w:sz w:val="20"/>
        </w:rPr>
        <w:t>PART II – OTHER INFORMATION</w:t>
      </w:r>
    </w:p>
    <w:p>
      <w:pPr>
        <w:pStyle w:val="TextBody"/>
        <w:bidi w:val="0"/>
        <w:jc w:val="center"/>
        <w:rPr/>
      </w:pPr>
      <w:r>
        <w:rPr/>
        <w:t> </w:t>
      </w:r>
    </w:p>
    <w:p>
      <w:pPr>
        <w:pStyle w:val="TextBody"/>
        <w:bidi w:val="0"/>
        <w:jc w:val="left"/>
        <w:rPr>
          <w:rFonts w:ascii="Times New Roman" w:hAnsi="Times New Roman"/>
          <w:sz w:val="20"/>
        </w:rPr>
      </w:pPr>
      <w:bookmarkStart w:id="19" w:name="ii_item1"/>
      <w:bookmarkEnd w:id="19"/>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and its subsidiaries are parties to various lawsuits and threatened lawsuits in the course of business. From time to time, such lawsuits and threatened lawsuits may include, but are not limited to, actions involving securities litigation, wage-hour and employment law claims, consumer claims, regulatory compliance claims, data privacy and cyber security claims, lender liability claims, fraud loss claims, bankruptcy-related claims and negligence claims, some of which may be styled as “class action” or representative cases. Some of these lawsuits may be similar in nature to other lawsuits pending against the Company’s competitors.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results of operations, financial condition or cash flows.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 </w:t>
      </w:r>
    </w:p>
    <w:p>
      <w:pPr>
        <w:pStyle w:val="TextBody"/>
        <w:bidi w:val="0"/>
        <w:jc w:val="both"/>
        <w:rPr>
          <w:rFonts w:ascii="Times New Roman" w:hAnsi="Times New Roman"/>
          <w:color w:val="000000"/>
          <w:sz w:val="20"/>
        </w:rPr>
      </w:pPr>
      <w:r>
        <w:rPr>
          <w:rFonts w:ascii="Times New Roman" w:hAnsi="Times New Roman"/>
          <w:color w:val="000000"/>
          <w:sz w:val="20"/>
        </w:rPr>
        <w:t xml:space="preserve">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or regulatory matters currently pending or threatened against the Company could have a material adverse effect on our results of operations, financial condition and/or cash flows. </w:t>
      </w:r>
    </w:p>
    <w:p>
      <w:pPr>
        <w:pStyle w:val="TextBody"/>
        <w:bidi w:val="0"/>
        <w:spacing w:before="200" w:after="283"/>
        <w:jc w:val="left"/>
        <w:rPr>
          <w:rFonts w:ascii="Times New Roman" w:hAnsi="Times New Roman"/>
          <w:b/>
          <w:color w:val="000000"/>
          <w:sz w:val="20"/>
        </w:rPr>
      </w:pPr>
      <w:bookmarkStart w:id="20" w:name="ii_item1a"/>
      <w:bookmarkEnd w:id="20"/>
      <w:r>
        <w:rPr>
          <w:rFonts w:ascii="Times New Roman" w:hAnsi="Times New Roman"/>
          <w:b/>
          <w:color w:val="000000"/>
          <w:sz w:val="20"/>
        </w:rPr>
        <w:t>ITEM 1A. RISK FACTORS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There have been no material changes to the risk factors as previously disclosed in Item 1A. to Part I of our Annual Report on Form 10-K for the year ended December 31, 2025. The materiality of any risks and uncertainties identified in our Forward Looking Statements contained in this report together with those previously disclosed in the Form 10-K or those that are presently unforeseen could result in significant adverse effects on our financial condition, results of operations and/or cash flows. See Item 2.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in this Quarterly Report on Form 10-Q.</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bookmarkStart w:id="21" w:name="ii_item2"/>
      <w:bookmarkEnd w:id="21"/>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June 15, 2026, our Board of Directors approved a program to repurchase up to 15,000,000 shares (the “Maximum Amount”) of CVB common stock (the “2026 Repurchase Program”). Repurchases may be made through one or more Rule 10b5-1 plans or other appropriate buy-back arrangements, including open market purchases and private transactions, at times and at prices considered appropriate by the Company, subject to prevailing market conditions and other corporate and legal considerations. The 2026 Repurchase Program replaced in its entirety the Company's previous 2024 share repurchase program, which had 5,678,223 shares that remained available for repurchase at the time of termination. The 2026 Repurchase Program will terminate on the earlier of the repurchase of the Maximum Amount or five years from the date of authorization. During the second quarter of 2026, the Company did not repurchase any shares pursuant to the 2024 Repurchase Program prior to its termination. During the second quarter of 2026, the Company purchased 241,034 shares under the 2026 Repurchase Program, at an average price of $21.06 for an aggregate purchase price of $5.1 million. As of June 30, 2026, an aggregate of 14,758,966 shares remained available for repurchase under our 2026 Repurchase Program.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during the second quarter of 2026, the Company repurchased 22,326 shares through net share settlement to satisfy employees' income tax withholding obligations upon the vesting of stock awards. These share withholdings were not made pursuant to the 2024 Repurchase Program or the 2026 Repurchase Program.</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44"/>
        <w:gridCol w:w="246"/>
        <w:gridCol w:w="247"/>
        <w:gridCol w:w="1144"/>
        <w:gridCol w:w="146"/>
        <w:gridCol w:w="146"/>
        <w:gridCol w:w="248"/>
        <w:gridCol w:w="675"/>
        <w:gridCol w:w="146"/>
        <w:gridCol w:w="146"/>
        <w:gridCol w:w="338"/>
        <w:gridCol w:w="1818"/>
        <w:gridCol w:w="146"/>
        <w:gridCol w:w="146"/>
        <w:gridCol w:w="248"/>
        <w:gridCol w:w="675"/>
        <w:gridCol w:w="146"/>
        <w:gridCol w:w="146"/>
        <w:gridCol w:w="278"/>
        <w:gridCol w:w="1980"/>
        <w:gridCol w:w="296"/>
      </w:tblGrid>
      <w:tr>
        <w:trPr/>
        <w:tc>
          <w:tcPr>
            <w:tcW w:w="8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Total Number of Shares Purchased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Average Price </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Average Price </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 Number of Shares Available for Repurchase Under the Plans or Programs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1 - 30, 2026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5,678,223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1 - 31,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5,678,223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1 - 30, 2026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14,758,966</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120" w:after="283"/>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 xml:space="preserve">Shares repurchased pursuant to net settlement by employees in satisfaction of income tax withholding obligations incurred through the vesting of Company stock awards.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22" w:name="ii_item3"/>
      <w:bookmarkEnd w:id="22"/>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23" w:name="ii_item4"/>
      <w:bookmarkEnd w:id="23"/>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24" w:name="ii_item5"/>
      <w:bookmarkEnd w:id="24"/>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Rule 10b5-1 Trading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quarter ended June 30, 2026, none of the Company’s directors or officers adopted or terminated a Rule 10b5-1 trading arrangement or a non-Rule 10b5-1 trading arrangement as each term is defined in Item 408(a) of Regulation S-K.</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bookmarkStart w:id="25" w:name="ii_item6"/>
      <w:bookmarkEnd w:id="25"/>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8"/>
        <w:gridCol w:w="146"/>
        <w:gridCol w:w="9201"/>
      </w:tblGrid>
      <w:tr>
        <w:trPr/>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1" w:type="dxa"/>
            <w:tcBorders/>
            <w:vAlign w:val="center"/>
          </w:tcPr>
          <w:p>
            <w:pPr>
              <w:pStyle w:val="TableContents"/>
              <w:bidi w:val="0"/>
              <w:spacing w:before="0" w:after="283"/>
              <w:jc w:val="left"/>
              <w:rPr>
                <w:sz w:val="4"/>
                <w:szCs w:val="4"/>
              </w:rPr>
            </w:pPr>
            <w:r>
              <w:rPr>
                <w:sz w:val="4"/>
                <w:szCs w:val="4"/>
              </w:rPr>
            </w:r>
          </w:p>
        </w:tc>
      </w:tr>
      <w:tr>
        <w:trPr/>
        <w:tc>
          <w:tcPr>
            <w:tcW w:w="8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8"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Description of Exhibits</w:t>
            </w:r>
          </w:p>
        </w:tc>
      </w:tr>
      <w:tr>
        <w:trPr/>
        <w:tc>
          <w:tcPr>
            <w:tcW w:w="858" w:type="dxa"/>
            <w:tcBorders/>
            <w:tcMar>
              <w:top w:w="0" w:type="dxa"/>
              <w:left w:w="0" w:type="dxa"/>
              <w:bottom w:w="0" w:type="dxa"/>
              <w:right w:w="0" w:type="dxa"/>
            </w:tcMar>
            <w:vAlign w:val="center"/>
          </w:tcPr>
          <w:p>
            <w:pPr>
              <w:pStyle w:val="TableContents"/>
              <w:bidi w:val="0"/>
              <w:spacing w:before="0" w:after="283"/>
              <w:jc w:val="left"/>
              <w:rPr/>
            </w:pPr>
            <w:r>
              <w:rPr/>
              <w:t> </w:t>
            </w:r>
          </w:p>
        </w:tc>
        <w:tc>
          <w:tcPr>
            <w:tcW w:w="93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Reorganization and Merger by and between CVB Financial Corp. and Heritage Commerce Corp. dated as of December 17, 2025.</w:t>
              </w:r>
            </w:hyperlink>
            <w:hyperlink r:id="rId3">
              <w:r>
                <w:rPr>
                  <w:rStyle w:val="InternetLink"/>
                  <w:rFonts w:ascii="Times New Roman" w:hAnsi="Times New Roman"/>
                  <w:color w:val="0000FF"/>
                  <w:sz w:val="13"/>
                  <w:u w:val="single"/>
                </w:rPr>
                <w:t>(1)</w:t>
              </w:r>
            </w:hyperlink>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 xml:space="preserve">Articles of Incorporation of CVB Financial Corp., as amended </w:t>
              </w:r>
            </w:hyperlink>
            <w:hyperlink r:id="rId5">
              <w:r>
                <w:rPr>
                  <w:rStyle w:val="InternetLink"/>
                  <w:rFonts w:ascii="Times New Roman" w:hAnsi="Times New Roman"/>
                  <w:color w:val="0000FF"/>
                  <w:sz w:val="13"/>
                  <w:u w:val="single"/>
                </w:rPr>
                <w:t>(2)</w:t>
              </w:r>
            </w:hyperlink>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 xml:space="preserve">Second Amended and Restated Bylaws of CVB Financial Corp. </w:t>
              </w:r>
            </w:hyperlink>
            <w:hyperlink r:id="rId7">
              <w:r>
                <w:rPr>
                  <w:rStyle w:val="InternetLink"/>
                  <w:rFonts w:ascii="Times New Roman" w:hAnsi="Times New Roman"/>
                  <w:color w:val="0000FF"/>
                  <w:sz w:val="13"/>
                  <w:u w:val="single"/>
                </w:rPr>
                <w:t>(3)</w:t>
              </w:r>
            </w:hyperlink>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 xml:space="preserve">Form of CVB Financial Corp. common stock certificate </w:t>
              </w:r>
            </w:hyperlink>
            <w:hyperlink r:id="rId9">
              <w:r>
                <w:rPr>
                  <w:rStyle w:val="InternetLink"/>
                  <w:rFonts w:ascii="Times New Roman" w:hAnsi="Times New Roman"/>
                  <w:color w:val="0000FF"/>
                  <w:sz w:val="13"/>
                  <w:u w:val="single"/>
                </w:rPr>
                <w:t>(4)</w:t>
              </w:r>
            </w:hyperlink>
            <w:r>
              <w:rPr>
                <w:rFonts w:ascii="Times New Roman" w:hAnsi="Times New Roman"/>
                <w:color w:val="000000"/>
                <w:sz w:val="20"/>
              </w:rPr>
              <w:t xml:space="preserve"> </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Employment Agreement by and among CVB Financial Corp., Citizens Business Bank, National Association and R. Clay Jones, effective April 17, 2026.</w:t>
              </w:r>
            </w:hyperlink>
            <w:hyperlink r:id="rId11">
              <w:r>
                <w:rPr>
                  <w:rStyle w:val="InternetLink"/>
                  <w:rFonts w:ascii="Times New Roman" w:hAnsi="Times New Roman"/>
                  <w:color w:val="0000FF"/>
                  <w:sz w:val="13"/>
                  <w:u w:val="single"/>
                </w:rPr>
                <w:t>(5)</w:t>
              </w:r>
            </w:hyperlink>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First Amendment to Employment Agreement by and among CVB Financial Corp. and Citizens Business Bank, National Association, on the one hand, and each of E. Allen Nicholson, David F. Farnsworth, David C. Harvey, and Richard H. Wohl, respectively, on the other hand, effective April 17, 2026.</w:t>
              </w:r>
            </w:hyperlink>
            <w:hyperlink r:id="rId13">
              <w:r>
                <w:rPr>
                  <w:rStyle w:val="InternetLink"/>
                  <w:rFonts w:ascii="Times New Roman" w:hAnsi="Times New Roman"/>
                  <w:color w:val="0000FF"/>
                  <w:sz w:val="13"/>
                  <w:u w:val="single"/>
                </w:rPr>
                <w:t>(6)</w:t>
              </w:r>
            </w:hyperlink>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1" w:type="dxa"/>
            <w:tcBorders/>
            <w:tcMar>
              <w:top w:w="0" w:type="dxa"/>
              <w:left w:w="0" w:type="dxa"/>
              <w:bottom w:w="0" w:type="dxa"/>
              <w:right w:w="0" w:type="dxa"/>
            </w:tcMar>
            <w:vAlign w:val="center"/>
          </w:tcPr>
          <w:p>
            <w:pPr>
              <w:pStyle w:val="TableContents"/>
              <w:bidi w:val="0"/>
              <w:spacing w:before="0" w:after="283"/>
              <w:jc w:val="left"/>
              <w:rPr/>
            </w:pPr>
            <w:hyperlink w:anchor="cvbf-ex31_1.htm">
              <w:r>
                <w:rPr>
                  <w:rStyle w:val="InternetLink"/>
                  <w:rFonts w:ascii="Times New Roman" w:hAnsi="Times New Roman"/>
                  <w:color w:val="0000FF"/>
                  <w:sz w:val="20"/>
                  <w:u w:val="single"/>
                </w:rPr>
                <w:t>Certification of Chief Executive Officer pursuant to Section 302 of the Sarbanes-Oxley Act of 2002</w:t>
              </w:r>
            </w:hyperlink>
            <w:r>
              <w:rPr>
                <w:rFonts w:ascii="Times New Roman" w:hAnsi="Times New Roman"/>
                <w:color w:val="000000"/>
                <w:sz w:val="20"/>
              </w:rPr>
              <w:t>*</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1" w:type="dxa"/>
            <w:tcBorders/>
            <w:tcMar>
              <w:top w:w="0" w:type="dxa"/>
              <w:left w:w="0" w:type="dxa"/>
              <w:bottom w:w="0" w:type="dxa"/>
              <w:right w:w="0" w:type="dxa"/>
            </w:tcMar>
            <w:vAlign w:val="center"/>
          </w:tcPr>
          <w:p>
            <w:pPr>
              <w:pStyle w:val="TableContents"/>
              <w:bidi w:val="0"/>
              <w:spacing w:before="0" w:after="283"/>
              <w:jc w:val="left"/>
              <w:rPr/>
            </w:pPr>
            <w:hyperlink w:anchor="cvbf-ex31_2.htm">
              <w:r>
                <w:rPr>
                  <w:rStyle w:val="InternetLink"/>
                  <w:rFonts w:ascii="Times New Roman" w:hAnsi="Times New Roman"/>
                  <w:color w:val="0000FF"/>
                  <w:sz w:val="20"/>
                  <w:u w:val="single"/>
                </w:rPr>
                <w:t>Certification of Chief Financial Officer pursuant to Section 302 of the Sarbanes-Oxley Act of 2002</w:t>
              </w:r>
            </w:hyperlink>
            <w:r>
              <w:rPr>
                <w:rFonts w:ascii="Times New Roman" w:hAnsi="Times New Roman"/>
                <w:color w:val="000000"/>
                <w:sz w:val="20"/>
              </w:rPr>
              <w:t>*</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1" w:type="dxa"/>
            <w:tcBorders/>
            <w:tcMar>
              <w:top w:w="0" w:type="dxa"/>
              <w:left w:w="0" w:type="dxa"/>
              <w:bottom w:w="0" w:type="dxa"/>
              <w:right w:w="0" w:type="dxa"/>
            </w:tcMar>
            <w:vAlign w:val="center"/>
          </w:tcPr>
          <w:p>
            <w:pPr>
              <w:pStyle w:val="TableContents"/>
              <w:bidi w:val="0"/>
              <w:spacing w:before="0" w:after="283"/>
              <w:jc w:val="left"/>
              <w:rPr/>
            </w:pPr>
            <w:hyperlink w:anchor="cvbf-ex32_1.htm">
              <w:r>
                <w:rPr>
                  <w:rStyle w:val="InternetLink"/>
                  <w:rFonts w:ascii="Times New Roman" w:hAnsi="Times New Roman"/>
                  <w:color w:val="0000FF"/>
                  <w:sz w:val="20"/>
                  <w:u w:val="single"/>
                </w:rPr>
                <w:t>Certification of Chief Executive Officer pursuant to Section 906 of the Sarbanes-Oxley Act of 2002</w:t>
              </w:r>
            </w:hyperlink>
            <w:r>
              <w:rPr>
                <w:rFonts w:ascii="Times New Roman" w:hAnsi="Times New Roman"/>
                <w:color w:val="000000"/>
                <w:sz w:val="20"/>
              </w:rPr>
              <w:t>**</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1" w:type="dxa"/>
            <w:tcBorders/>
            <w:tcMar>
              <w:top w:w="0" w:type="dxa"/>
              <w:left w:w="0" w:type="dxa"/>
              <w:bottom w:w="0" w:type="dxa"/>
              <w:right w:w="0" w:type="dxa"/>
            </w:tcMar>
            <w:vAlign w:val="center"/>
          </w:tcPr>
          <w:p>
            <w:pPr>
              <w:pStyle w:val="TableContents"/>
              <w:bidi w:val="0"/>
              <w:spacing w:before="0" w:after="283"/>
              <w:jc w:val="left"/>
              <w:rPr/>
            </w:pPr>
            <w:hyperlink w:anchor="cvbf-ex32_2.htm">
              <w:r>
                <w:rPr>
                  <w:rStyle w:val="InternetLink"/>
                  <w:rFonts w:ascii="Times New Roman" w:hAnsi="Times New Roman"/>
                  <w:color w:val="0000FF"/>
                  <w:sz w:val="20"/>
                  <w:u w:val="single"/>
                </w:rPr>
                <w:t>Certification of Chief Financial Officer pursuant to Section 906 of the Sarbanes-Oxley Act of 2002</w:t>
              </w:r>
            </w:hyperlink>
            <w:r>
              <w:rPr>
                <w:rFonts w:ascii="Times New Roman" w:hAnsi="Times New Roman"/>
                <w:color w:val="000000"/>
                <w:sz w:val="20"/>
              </w:rPr>
              <w:t>**</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Schema Document</w:t>
            </w:r>
          </w:p>
        </w:tc>
      </w:tr>
      <w:tr>
        <w:trPr/>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June 30, 2026, has been formatted in Inline XBRL.</w:t>
            </w:r>
          </w:p>
        </w:tc>
      </w:tr>
    </w:tbl>
    <w:p>
      <w:pPr>
        <w:pStyle w:val="TextBody"/>
        <w:pBdr>
          <w:bottom w:val="single" w:sz="6" w:space="1" w:color="000000"/>
        </w:pBdr>
        <w:bidi w:val="0"/>
        <w:spacing w:before="0" w:after="60"/>
        <w:jc w:val="left"/>
        <w:rPr/>
      </w:pPr>
      <w:r>
        <w:rPr/>
        <w:t> </w:t>
      </w:r>
    </w:p>
    <w:tbl>
      <w:tblPr>
        <w:tblW w:w="4603" w:type="dxa"/>
        <w:jc w:val="left"/>
        <w:tblInd w:w="0" w:type="dxa"/>
        <w:tblLayout w:type="fixed"/>
        <w:tblCellMar>
          <w:top w:w="28" w:type="dxa"/>
          <w:left w:w="28" w:type="dxa"/>
          <w:bottom w:w="28" w:type="dxa"/>
          <w:right w:w="28" w:type="dxa"/>
        </w:tblCellMar>
      </w:tblPr>
      <w:tblGrid>
        <w:gridCol w:w="391"/>
        <w:gridCol w:w="161"/>
        <w:gridCol w:w="4051"/>
      </w:tblGrid>
      <w:tr>
        <w:trPr/>
        <w:tc>
          <w:tcPr>
            <w:tcW w:w="3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 xml:space="preserve">* </w:t>
            </w:r>
          </w:p>
        </w:tc>
        <w:tc>
          <w:tcPr>
            <w:tcW w:w="161" w:type="dxa"/>
            <w:tcBorders/>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4051" w:type="dxa"/>
            <w:tcBorders/>
            <w:tcMar>
              <w:top w:w="0" w:type="dxa"/>
              <w:left w:w="0" w:type="dxa"/>
              <w:bottom w:w="0" w:type="dxa"/>
              <w:right w:w="0" w:type="dxa"/>
            </w:tcMar>
            <w:vAlign w:val="center"/>
          </w:tcPr>
          <w:p>
            <w:pPr>
              <w:pStyle w:val="TableContents"/>
              <w:bidi w:val="0"/>
              <w:spacing w:before="0" w:after="283"/>
              <w:ind w:left="0" w:right="0" w:firstLine="15"/>
              <w:jc w:val="left"/>
              <w:rPr>
                <w:rFonts w:ascii="Times New Roman" w:hAnsi="Times New Roman"/>
                <w:color w:val="000000"/>
                <w:sz w:val="18"/>
              </w:rPr>
            </w:pPr>
            <w:r>
              <w:rPr>
                <w:rFonts w:ascii="Times New Roman" w:hAnsi="Times New Roman"/>
                <w:color w:val="000000"/>
                <w:sz w:val="18"/>
              </w:rPr>
              <w:t>Filed herewith</w:t>
            </w:r>
          </w:p>
        </w:tc>
      </w:tr>
      <w:tr>
        <w:trPr/>
        <w:tc>
          <w:tcPr>
            <w:tcW w:w="3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w:t>
            </w:r>
          </w:p>
        </w:tc>
        <w:tc>
          <w:tcPr>
            <w:tcW w:w="161" w:type="dxa"/>
            <w:tcBorders/>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4051" w:type="dxa"/>
            <w:tcBorders/>
            <w:tcMar>
              <w:top w:w="0" w:type="dxa"/>
              <w:left w:w="0" w:type="dxa"/>
              <w:bottom w:w="0" w:type="dxa"/>
              <w:right w:w="0" w:type="dxa"/>
            </w:tcMar>
            <w:vAlign w:val="center"/>
          </w:tcPr>
          <w:p>
            <w:pPr>
              <w:pStyle w:val="TableContents"/>
              <w:bidi w:val="0"/>
              <w:spacing w:before="0" w:after="283"/>
              <w:ind w:left="0" w:right="0" w:firstLine="15"/>
              <w:jc w:val="left"/>
              <w:rPr>
                <w:rFonts w:ascii="Times New Roman" w:hAnsi="Times New Roman"/>
                <w:color w:val="000000"/>
                <w:sz w:val="18"/>
              </w:rPr>
            </w:pPr>
            <w:r>
              <w:rPr>
                <w:rFonts w:ascii="Times New Roman" w:hAnsi="Times New Roman"/>
                <w:color w:val="000000"/>
                <w:sz w:val="18"/>
              </w:rPr>
              <w:t>Furnished herewith</w:t>
            </w:r>
          </w:p>
        </w:tc>
      </w:tr>
      <w:tr>
        <w:trPr/>
        <w:tc>
          <w:tcPr>
            <w:tcW w:w="3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w:t>
            </w:r>
          </w:p>
        </w:tc>
        <w:tc>
          <w:tcPr>
            <w:tcW w:w="161" w:type="dxa"/>
            <w:tcBorders/>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4051" w:type="dxa"/>
            <w:tcBorders/>
            <w:tcMar>
              <w:top w:w="0" w:type="dxa"/>
              <w:left w:w="0" w:type="dxa"/>
              <w:bottom w:w="0" w:type="dxa"/>
              <w:right w:w="0" w:type="dxa"/>
            </w:tcMar>
            <w:vAlign w:val="center"/>
          </w:tcPr>
          <w:p>
            <w:pPr>
              <w:pStyle w:val="TableContents"/>
              <w:bidi w:val="0"/>
              <w:spacing w:before="0" w:after="283"/>
              <w:ind w:left="0" w:right="0" w:firstLine="15"/>
              <w:jc w:val="left"/>
              <w:rPr>
                <w:rFonts w:ascii="Times New Roman" w:hAnsi="Times New Roman"/>
                <w:color w:val="000000"/>
                <w:sz w:val="18"/>
              </w:rPr>
            </w:pPr>
            <w:r>
              <w:rPr>
                <w:rFonts w:ascii="Times New Roman" w:hAnsi="Times New Roman"/>
                <w:color w:val="000000"/>
                <w:sz w:val="18"/>
              </w:rPr>
              <w:t>Indicates a management contract or compensation plan.</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Incorporated herein by reference to Exhibit 2.1 to Registrant's Form 8-K filed with the SEC on December 23, 2025.</w:t>
      </w:r>
    </w:p>
    <w:p>
      <w:pPr>
        <w:pStyle w:val="TextBody"/>
        <w:bidi w:val="0"/>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Incorporated herein by reference to Exhibit 3.1 to the Registrant's Form 10-Q filed with the SEC on August 9, 2010.</w:t>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Incorporated herein by reference to Exhibit 3.1 to the Registrant's Form 8-K filed with the SEC on September 21, 2023.</w:t>
      </w:r>
    </w:p>
    <w:p>
      <w:pPr>
        <w:pStyle w:val="TextBody"/>
        <w:bidi w:val="0"/>
        <w:jc w:val="left"/>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Incorporated herein by reference to Exhibit 4.1 to the Registrant's Form 8-A12G filed with the SEC on June 11, 2001.</w:t>
      </w:r>
    </w:p>
    <w:p>
      <w:pPr>
        <w:pStyle w:val="TextBody"/>
        <w:bidi w:val="0"/>
        <w:jc w:val="left"/>
        <w:rPr>
          <w:rFonts w:ascii="Times New Roman" w:hAnsi="Times New Roman"/>
          <w:sz w:val="20"/>
        </w:rPr>
      </w:pPr>
      <w:r>
        <w:rPr>
          <w:rFonts w:ascii="Times New Roman" w:hAnsi="Times New Roman"/>
          <w:color w:val="000000"/>
          <w:sz w:val="13"/>
        </w:rPr>
        <w:t xml:space="preserve">(5) </w:t>
      </w:r>
      <w:r>
        <w:rPr>
          <w:rFonts w:ascii="Times New Roman" w:hAnsi="Times New Roman"/>
          <w:color w:val="000000"/>
          <w:sz w:val="20"/>
        </w:rPr>
        <w:t>Incorporated herein by reference to Exhibit 10.1 to the Registrant's Form 8-K filed with the SEC on April 21, 2026.</w:t>
      </w:r>
    </w:p>
    <w:p>
      <w:pPr>
        <w:pStyle w:val="TextBody"/>
        <w:bidi w:val="0"/>
        <w:jc w:val="left"/>
        <w:rPr>
          <w:rFonts w:ascii="Times New Roman" w:hAnsi="Times New Roman"/>
          <w:sz w:val="20"/>
        </w:rPr>
      </w:pPr>
      <w:r>
        <w:rPr>
          <w:rFonts w:ascii="Times New Roman" w:hAnsi="Times New Roman"/>
          <w:color w:val="000000"/>
          <w:sz w:val="13"/>
        </w:rPr>
        <w:t xml:space="preserve">(6) </w:t>
      </w:r>
      <w:r>
        <w:rPr>
          <w:rFonts w:ascii="Times New Roman" w:hAnsi="Times New Roman"/>
          <w:color w:val="000000"/>
          <w:sz w:val="20"/>
        </w:rPr>
        <w:t>Incorporated herein by reference to Exhibit 10.2 to the Registrant's Form 8-K filed with the SEC on April 21, 2026.</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bookmarkStart w:id="26" w:name="signatures"/>
      <w:bookmarkEnd w:id="26"/>
      <w:r>
        <w:rPr>
          <w:rFonts w:ascii="Times New Roman" w:hAnsi="Times New Roman"/>
          <w:b/>
          <w:color w:val="000000"/>
          <w:sz w:val="20"/>
        </w:rPr>
        <w:t>SIGNATURES</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CVB FINANCIAL CORP.</w:t>
      </w:r>
    </w:p>
    <w:p>
      <w:pPr>
        <w:pStyle w:val="TextBody"/>
        <w:bidi w:val="0"/>
        <w:jc w:val="left"/>
        <w:rPr>
          <w:rFonts w:ascii="Times New Roman" w:hAnsi="Times New Roman"/>
          <w:color w:val="000000"/>
          <w:sz w:val="20"/>
        </w:rPr>
      </w:pPr>
      <w:r>
        <w:rPr>
          <w:rFonts w:ascii="Times New Roman" w:hAnsi="Times New Roman"/>
          <w:color w:val="000000"/>
          <w:sz w:val="20"/>
        </w:rPr>
        <w:t>(Registrant)</w:t>
      </w:r>
    </w:p>
    <w:p>
      <w:pPr>
        <w:pStyle w:val="TextBody"/>
        <w:bidi w:val="0"/>
        <w:jc w:val="left"/>
        <w:rPr>
          <w:rFonts w:ascii="Times New Roman" w:hAnsi="Times New Roman"/>
          <w:color w:val="000000"/>
          <w:sz w:val="20"/>
        </w:rPr>
      </w:pPr>
      <w:r>
        <w:rPr>
          <w:rFonts w:ascii="Times New Roman" w:hAnsi="Times New Roman"/>
          <w:color w:val="000000"/>
          <w:sz w:val="20"/>
        </w:rPr>
        <w:t>Date: August 7, 2026</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/s/ E. Allen Nicholson</w:t>
      </w:r>
    </w:p>
    <w:p>
      <w:pPr>
        <w:pStyle w:val="TextBody"/>
        <w:bidi w:val="0"/>
        <w:jc w:val="left"/>
        <w:rPr>
          <w:rFonts w:ascii="Times New Roman" w:hAnsi="Times New Roman"/>
          <w:color w:val="000000"/>
          <w:sz w:val="20"/>
        </w:rPr>
      </w:pPr>
      <w:r>
        <w:rPr>
          <w:rFonts w:ascii="Times New Roman" w:hAnsi="Times New Roman"/>
          <w:color w:val="000000"/>
          <w:sz w:val="20"/>
        </w:rPr>
        <w:t>E. Allen Nicholson</w:t>
      </w:r>
    </w:p>
    <w:p>
      <w:pPr>
        <w:pStyle w:val="TextBody"/>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extBody"/>
        <w:bidi w:val="0"/>
        <w:jc w:val="left"/>
        <w:rPr>
          <w:rFonts w:ascii="Times New Roman" w:hAnsi="Times New Roman"/>
          <w:color w:val="000000"/>
          <w:sz w:val="20"/>
        </w:rPr>
      </w:pPr>
      <w:r>
        <w:rPr>
          <w:rFonts w:ascii="Times New Roman" w:hAnsi="Times New Roman"/>
          <w:color w:val="000000"/>
          <w:sz w:val="20"/>
        </w:rPr>
        <w:t>(Principal Financial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vbf-ex31_1.htm"/>
      <w:bookmarkStart w:id="28" w:name="kscvbfex31_1"/>
      <w:bookmarkEnd w:id="27"/>
      <w:bookmarkEnd w:id="28"/>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31.1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David A. Brager, certify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 have reviewed this quarterly report on Form 10-Q of CVB Financial Corp.;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4384" w:type="dxa"/>
        <w:jc w:val="left"/>
        <w:tblInd w:w="0" w:type="dxa"/>
        <w:tblLayout w:type="fixed"/>
        <w:tblCellMar>
          <w:top w:w="28" w:type="dxa"/>
          <w:left w:w="28" w:type="dxa"/>
          <w:bottom w:w="28" w:type="dxa"/>
          <w:right w:w="28" w:type="dxa"/>
        </w:tblCellMar>
      </w:tblPr>
      <w:tblGrid>
        <w:gridCol w:w="556"/>
        <w:gridCol w:w="1351"/>
        <w:gridCol w:w="406"/>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A. Brager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A. Brager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cvbf-ex31_2.htm"/>
      <w:bookmarkStart w:id="30" w:name="kscvbfex31_2"/>
      <w:bookmarkEnd w:id="29"/>
      <w:bookmarkEnd w:id="30"/>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31.2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E. Allen Nicholson, certify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 have reviewed this quarterly report on Form 10-Q of CVB Financial Corp.;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4324" w:type="dxa"/>
        <w:jc w:val="left"/>
        <w:tblInd w:w="0" w:type="dxa"/>
        <w:tblLayout w:type="fixed"/>
        <w:tblCellMar>
          <w:top w:w="28" w:type="dxa"/>
          <w:left w:w="28" w:type="dxa"/>
          <w:bottom w:w="28" w:type="dxa"/>
          <w:right w:w="28" w:type="dxa"/>
        </w:tblCellMar>
      </w:tblPr>
      <w:tblGrid>
        <w:gridCol w:w="556"/>
        <w:gridCol w:w="1351"/>
        <w:gridCol w:w="406"/>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E. Allen Nicholson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 Allen Nicholson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cvbf-ex32_1.htm"/>
      <w:bookmarkStart w:id="32" w:name="kscvbfex32_1"/>
      <w:bookmarkEnd w:id="31"/>
      <w:bookmarkEnd w:id="32"/>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the Quarterly Report of CVB Financial Corp. (the “Company”) on Form 10-Q for the period ended June 30, 2026, as filed with the Securities and Exchange Commission on the date hereof (the “Report”), I, David A. Brager, Chief Executive Officer of the Company, certify, pursuant to 18 U.S.C. § 1350, as adopted pursuant to § 906 of the Sarbanes-Oxley Act of 2002, to the best of my knowledge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384" w:type="dxa"/>
        <w:jc w:val="left"/>
        <w:tblInd w:w="0" w:type="dxa"/>
        <w:tblLayout w:type="fixed"/>
        <w:tblCellMar>
          <w:top w:w="28" w:type="dxa"/>
          <w:left w:w="28" w:type="dxa"/>
          <w:bottom w:w="28" w:type="dxa"/>
          <w:right w:w="28" w:type="dxa"/>
        </w:tblCellMar>
      </w:tblPr>
      <w:tblGrid>
        <w:gridCol w:w="556"/>
        <w:gridCol w:w="1351"/>
        <w:gridCol w:w="406"/>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A. Brager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A. Brager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cvbf-ex32_2.htm"/>
      <w:bookmarkStart w:id="34" w:name="kscvbfex32_2"/>
      <w:bookmarkEnd w:id="33"/>
      <w:bookmarkEnd w:id="34"/>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32.2</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the Quarterly Report of CVB Financial Corp. (the “Company”) on Form 10-Q for the period ended June 30, 2026,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324" w:type="dxa"/>
        <w:jc w:val="left"/>
        <w:tblInd w:w="0" w:type="dxa"/>
        <w:tblLayout w:type="fixed"/>
        <w:tblCellMar>
          <w:top w:w="28" w:type="dxa"/>
          <w:left w:w="28" w:type="dxa"/>
          <w:bottom w:w="28" w:type="dxa"/>
          <w:right w:w="28" w:type="dxa"/>
        </w:tblCellMar>
      </w:tblPr>
      <w:tblGrid>
        <w:gridCol w:w="556"/>
        <w:gridCol w:w="1351"/>
        <w:gridCol w:w="406"/>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E. Allen Nicholson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 Allen Nicholson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54647/000119312525331051/d42564dex21.htm" TargetMode="External"/><Relationship Id="rId3" Type="http://schemas.openxmlformats.org/officeDocument/2006/relationships/hyperlink" Target="https://www.sec.gov/Archives/edgar/data/354647/000119312525331051/d42564dex21.htm" TargetMode="External"/><Relationship Id="rId4" Type="http://schemas.openxmlformats.org/officeDocument/2006/relationships/hyperlink" Target="https://www.sec.gov/Archives/edgar/data/354647/000095012310075006/c04112exv3w1.htm" TargetMode="External"/><Relationship Id="rId5" Type="http://schemas.openxmlformats.org/officeDocument/2006/relationships/hyperlink" Target="https://www.sec.gov/Archives/edgar/data/354647/000095012310075006/c04112exv3w1.htm" TargetMode="External"/><Relationship Id="rId6" Type="http://schemas.openxmlformats.org/officeDocument/2006/relationships/hyperlink" Target="https://www.sec.gov/Archives/edgar/data/354647/000119312523239512/d539114dex31.htm" TargetMode="External"/><Relationship Id="rId7" Type="http://schemas.openxmlformats.org/officeDocument/2006/relationships/hyperlink" Target="https://www.sec.gov/Archives/edgar/data/354647/000119312523239512/d539114dex31.htm" TargetMode="External"/><Relationship Id="rId8" Type="http://schemas.openxmlformats.org/officeDocument/2006/relationships/hyperlink" Target="https://www.sec.gov/Archives/edgar/data/354647/000035464701500005/stockcert.htm" TargetMode="External"/><Relationship Id="rId9" Type="http://schemas.openxmlformats.org/officeDocument/2006/relationships/hyperlink" Target="https://www.sec.gov/Archives/edgar/data/354647/000035464701500005/stockcert.htm" TargetMode="External"/><Relationship Id="rId10" Type="http://schemas.openxmlformats.org/officeDocument/2006/relationships/hyperlink" Target="https://www.sec.gov/Archives/edgar/data/354647/000119312526167264/d123515dex101.htm" TargetMode="External"/><Relationship Id="rId11" Type="http://schemas.openxmlformats.org/officeDocument/2006/relationships/hyperlink" Target="https://www.sec.gov/Archives/edgar/data/354647/000119312526167264/d123515dex101.htm" TargetMode="External"/><Relationship Id="rId12" Type="http://schemas.openxmlformats.org/officeDocument/2006/relationships/hyperlink" Target="https://www.sec.gov/Archives/edgar/data/354647/000119312526167264/d123515dex102.htm" TargetMode="External"/><Relationship Id="rId13" Type="http://schemas.openxmlformats.org/officeDocument/2006/relationships/hyperlink" Target="https://www.sec.gov/Archives/edgar/data/354647/000119312526167264/d123515dex102.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39458</Words>
  <Characters>215124</Characters>
  <CharactersWithSpaces>262933</CharactersWithSpaces>
  <Paragraphs>24573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