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Washington, D. C. 20549</w:t>
      </w:r>
    </w:p>
    <w:p>
      <w:pPr>
        <w:spacing w:after="0" w:line="15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(Mark One)</w:t>
      </w:r>
    </w:p>
    <w:p>
      <w:pPr>
        <w:spacing w:after="0" w:line="8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7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For the quarterly period ended June 30, 2025</w:t>
      </w:r>
    </w:p>
    <w:p>
      <w:pPr>
        <w:spacing w:after="0" w:line="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or</w:t>
      </w:r>
    </w:p>
    <w:p>
      <w:pPr>
        <w:spacing w:after="0" w:line="12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For the transition period from _____ to _____</w:t>
      </w:r>
    </w:p>
    <w:p>
      <w:pPr>
        <w:spacing w:after="0" w:line="25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Commission File Number: 000-10140</w:t>
      </w:r>
    </w:p>
    <w:p>
      <w:pPr>
        <w:spacing w:after="0" w:line="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5"/>
          <w:szCs w:val="35"/>
          <w:b w:val="1"/>
          <w:bCs w:val="1"/>
          <w:color w:val="auto"/>
        </w:rPr>
        <w:t>CVB FINANCIAL CORP.</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40" w:orient="portrait"/>
          <w:cols w:equalWidth="0" w:num="1">
            <w:col w:w="10440"/>
          </w:cols>
          <w:pgMar w:left="660" w:top="1440" w:right="800" w:bottom="1440" w:gutter="0" w:footer="0" w:header="0"/>
        </w:sectPr>
      </w:pPr>
    </w:p>
    <w:p>
      <w:pPr>
        <w:spacing w:after="0" w:line="16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California</w:t>
      </w:r>
    </w:p>
    <w:p>
      <w:pPr>
        <w:spacing w:after="0" w:line="33"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23"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95-3629339</w:t>
      </w:r>
    </w:p>
    <w:p>
      <w:pPr>
        <w:spacing w:after="0" w:line="3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4"/>
          <w:szCs w:val="14"/>
          <w:color w:val="auto"/>
        </w:rPr>
        <w:t>(I.R.S. Employer</w:t>
      </w:r>
    </w:p>
    <w:p>
      <w:pPr>
        <w:spacing w:after="0" w:line="2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93" w:lineRule="exact"/>
        <w:rPr>
          <w:sz w:val="24"/>
          <w:szCs w:val="24"/>
          <w:color w:val="auto"/>
        </w:rPr>
      </w:pPr>
    </w:p>
    <w:p>
      <w:pPr>
        <w:sectPr>
          <w:pgSz w:w="11900" w:h="16840" w:orient="portrait"/>
          <w:cols w:equalWidth="0" w:num="2">
            <w:col w:w="7420" w:space="720"/>
            <w:col w:w="2300"/>
          </w:cols>
          <w:pgMar w:left="660" w:top="1440" w:right="800" w:bottom="1440" w:gutter="0" w:footer="0" w:header="0"/>
          <w:type w:val="continuous"/>
        </w:sectPr>
      </w:pPr>
    </w:p>
    <w:p>
      <w:pPr>
        <w:jc w:val="center"/>
        <w:ind w:right="3980"/>
        <w:spacing w:after="0"/>
        <w:rPr>
          <w:sz w:val="20"/>
          <w:szCs w:val="20"/>
          <w:color w:val="auto"/>
        </w:rPr>
      </w:pPr>
      <w:r>
        <w:rPr>
          <w:rFonts w:ascii="Times New Roman" w:cs="Times New Roman" w:eastAsia="Times New Roman" w:hAnsi="Times New Roman"/>
          <w:sz w:val="14"/>
          <w:szCs w:val="14"/>
          <w:b w:val="1"/>
          <w:bCs w:val="1"/>
          <w:color w:val="auto"/>
        </w:rPr>
        <w:t>701 North Haven Ave., Suite 350</w:t>
      </w:r>
    </w:p>
    <w:p>
      <w:pPr>
        <w:spacing w:after="0" w:line="29" w:lineRule="exact"/>
        <w:rPr>
          <w:sz w:val="24"/>
          <w:szCs w:val="24"/>
          <w:color w:val="auto"/>
        </w:rPr>
      </w:pPr>
    </w:p>
    <w:p>
      <w:pPr>
        <w:jc w:val="center"/>
        <w:ind w:right="3980"/>
        <w:spacing w:after="0"/>
        <w:rPr>
          <w:sz w:val="20"/>
          <w:szCs w:val="20"/>
          <w:color w:val="auto"/>
        </w:rPr>
      </w:pPr>
      <w:r>
        <w:rPr>
          <w:rFonts w:ascii="Times New Roman" w:cs="Times New Roman" w:eastAsia="Times New Roman" w:hAnsi="Times New Roman"/>
          <w:sz w:val="14"/>
          <w:szCs w:val="14"/>
          <w:b w:val="1"/>
          <w:bCs w:val="1"/>
          <w:color w:val="auto"/>
        </w:rPr>
        <w:t>Ontario, California</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91764</w:t>
      </w:r>
    </w:p>
    <w:p>
      <w:pPr>
        <w:spacing w:after="0" w:line="29" w:lineRule="exact"/>
        <w:rPr>
          <w:sz w:val="24"/>
          <w:szCs w:val="24"/>
          <w:color w:val="auto"/>
        </w:rPr>
      </w:pPr>
    </w:p>
    <w:p>
      <w:pPr>
        <w:sectPr>
          <w:pgSz w:w="11900" w:h="16840" w:orient="portrait"/>
          <w:cols w:equalWidth="0" w:num="2">
            <w:col w:w="7780" w:space="720"/>
            <w:col w:w="1940"/>
          </w:cols>
          <w:pgMar w:left="660" w:top="1440" w:right="800"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77" w:lineRule="exact"/>
        <w:rPr>
          <w:sz w:val="24"/>
          <w:szCs w:val="24"/>
          <w:color w:val="auto"/>
        </w:rPr>
      </w:pPr>
    </w:p>
    <w:p>
      <w:pPr>
        <w:sectPr>
          <w:pgSz w:w="11900" w:h="16840" w:orient="portrait"/>
          <w:cols w:equalWidth="0" w:num="2">
            <w:col w:w="7640" w:space="720"/>
            <w:col w:w="2080"/>
          </w:cols>
          <w:pgMar w:left="660" w:top="1440" w:right="800"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(909) 980-4030</w:t>
      </w:r>
    </w:p>
    <w:p>
      <w:pPr>
        <w:spacing w:after="0" w:line="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(Registrant's telephone number,</w:t>
      </w:r>
    </w:p>
    <w:p>
      <w:pPr>
        <w:spacing w:after="0" w:line="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including area code)</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40" w:orient="portrait"/>
          <w:cols w:equalWidth="0" w:num="1">
            <w:col w:w="10440"/>
          </w:cols>
          <w:pgMar w:left="660" w:top="1440" w:right="800" w:bottom="1440" w:gutter="0" w:footer="0" w:header="0"/>
          <w:type w:val="continuous"/>
        </w:sectPr>
      </w:pPr>
    </w:p>
    <w:p>
      <w:pPr>
        <w:spacing w:after="0" w:line="31"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23"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4"/>
          <w:szCs w:val="14"/>
          <w:color w:val="auto"/>
        </w:rPr>
        <w:t>Common Stock, No Par Value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color w:val="auto"/>
        </w:rPr>
        <w:t>Trading Symbol(s)</w:t>
      </w:r>
    </w:p>
    <w:p>
      <w:pPr>
        <w:spacing w:after="0" w:line="2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color w:val="auto"/>
        </w:rPr>
        <w:t>CVBF</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2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159" w:lineRule="exact"/>
        <w:rPr>
          <w:sz w:val="24"/>
          <w:szCs w:val="24"/>
          <w:color w:val="auto"/>
        </w:rPr>
      </w:pPr>
    </w:p>
    <w:p>
      <w:pPr>
        <w:sectPr>
          <w:pgSz w:w="11900" w:h="16840" w:orient="portrait"/>
          <w:cols w:equalWidth="0" w:num="3">
            <w:col w:w="3520" w:space="720"/>
            <w:col w:w="2080" w:space="720"/>
            <w:col w:w="3400"/>
          </w:cols>
          <w:pgMar w:left="660" w:top="1440" w:right="800" w:bottom="1440" w:gutter="0" w:footer="0" w:header="0"/>
          <w:type w:val="continuous"/>
        </w:sectPr>
      </w:pPr>
    </w:p>
    <w:p>
      <w:pPr>
        <w:ind w:right="300"/>
        <w:spacing w:after="0" w:line="29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5"/>
          <w:szCs w:val="15"/>
          <w:color w:val="auto"/>
        </w:rPr>
        <w:t>Yes No</w:t>
      </w:r>
    </w:p>
    <w:p>
      <w:pPr>
        <w:spacing w:after="0" w:line="112"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5"/>
          <w:szCs w:val="15"/>
          <w:color w:val="auto"/>
        </w:rPr>
        <w:t>Yes No</w:t>
      </w:r>
    </w:p>
    <w:p>
      <w:pPr>
        <w:spacing w:after="0" w:line="112" w:lineRule="exact"/>
        <w:rPr>
          <w:sz w:val="24"/>
          <w:szCs w:val="24"/>
          <w:color w:val="auto"/>
        </w:rPr>
      </w:pPr>
    </w:p>
    <w:p>
      <w:pPr>
        <w:ind w:right="240"/>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ectPr>
          <w:pgSz w:w="11900" w:h="16840" w:orient="portrait"/>
          <w:cols w:equalWidth="0" w:num="1">
            <w:col w:w="10440"/>
          </w:cols>
          <w:pgMar w:left="660" w:top="1440" w:right="800" w:bottom="1440" w:gutter="0" w:footer="0" w:header="0"/>
          <w:type w:val="continuous"/>
        </w:sectPr>
      </w:pPr>
    </w:p>
    <w:p>
      <w:pPr>
        <w:spacing w:after="0" w:line="13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327" w:lineRule="exact"/>
        <w:rPr>
          <w:sz w:val="24"/>
          <w:szCs w:val="24"/>
          <w:color w:val="auto"/>
        </w:rPr>
      </w:pPr>
    </w:p>
    <w:p>
      <w:pPr>
        <w:sectPr>
          <w:pgSz w:w="11900" w:h="16840" w:orient="portrait"/>
          <w:cols w:equalWidth="0" w:num="2">
            <w:col w:w="6780" w:space="720"/>
            <w:col w:w="2940"/>
          </w:cols>
          <w:pgMar w:left="660" w:top="1440" w:right="800" w:bottom="1440" w:gutter="0" w:footer="0" w:header="0"/>
          <w:type w:val="continuous"/>
        </w:sectPr>
      </w:pPr>
    </w:p>
    <w:p>
      <w:pPr>
        <w:ind w:right="420"/>
        <w:spacing w:after="0" w:line="29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3" w:lineRule="exact"/>
        <w:rPr>
          <w:sz w:val="24"/>
          <w:szCs w:val="24"/>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Yes</w:t>
        <w:tab/>
        <w:t>No</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common stock of the registrant: 137,817,599 outstanding as of July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541020</wp:posOffset>
            </wp:positionV>
            <wp:extent cx="67329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440" w:right="80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9"/>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 –</w:t>
            </w:r>
          </w:p>
        </w:tc>
        <w:tc>
          <w:tcPr>
            <w:tcW w:w="8340" w:type="dxa"/>
            <w:vAlign w:val="bottom"/>
            <w:gridSpan w:val="19"/>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FINANCIAL INFORMATION (UNAUDITED)</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1.</w:t>
            </w:r>
          </w:p>
        </w:tc>
        <w:tc>
          <w:tcPr>
            <w:tcW w:w="302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000FF"/>
                <w:w w:val="95"/>
              </w:rPr>
            </w:pPr>
            <w:hyperlink w:anchor="page4">
              <w:r>
                <w:rPr>
                  <w:rFonts w:ascii="Times New Roman" w:cs="Times New Roman" w:eastAsia="Times New Roman" w:hAnsi="Times New Roman"/>
                  <w:sz w:val="16"/>
                  <w:szCs w:val="16"/>
                  <w:color w:val="0000FF"/>
                  <w:w w:val="95"/>
                </w:rPr>
                <w:t>CONDENSED CONSOLIDATED FINANCIAL</w:t>
              </w:r>
            </w:hyperlink>
          </w:p>
        </w:tc>
        <w:tc>
          <w:tcPr>
            <w:tcW w:w="5320" w:type="dxa"/>
            <w:vAlign w:val="bottom"/>
            <w:gridSpan w:val="8"/>
          </w:tcPr>
          <w:p>
            <w:pPr>
              <w:ind w:left="80"/>
              <w:spacing w:after="0" w:line="160" w:lineRule="exact"/>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STATEMENTS</w:t>
              </w:r>
            </w:hyperlink>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60"/>
        </w:trPr>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412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FF"/>
                <w:w w:val="95"/>
              </w:rPr>
            </w:pPr>
            <w:hyperlink w:anchor="page9">
              <w:r>
                <w:rPr>
                  <w:rFonts w:ascii="Times New Roman" w:cs="Times New Roman" w:eastAsia="Times New Roman" w:hAnsi="Times New Roman"/>
                  <w:sz w:val="16"/>
                  <w:szCs w:val="16"/>
                  <w:color w:val="0000FF"/>
                  <w:w w:val="95"/>
                </w:rPr>
                <w:t>NOTES TO THE CONDENSED CONSOLIDATED FINANCIAL</w:t>
              </w:r>
            </w:hyperlink>
          </w:p>
        </w:tc>
        <w:tc>
          <w:tcPr>
            <w:tcW w:w="4220" w:type="dxa"/>
            <w:vAlign w:val="bottom"/>
            <w:gridSpan w:val="5"/>
          </w:tcPr>
          <w:p>
            <w:pPr>
              <w:ind w:left="100"/>
              <w:spacing w:after="0" w:line="160" w:lineRule="exact"/>
              <w:rPr>
                <w:rFonts w:ascii="Times New Roman" w:cs="Times New Roman" w:eastAsia="Times New Roman" w:hAnsi="Times New Roman"/>
                <w:sz w:val="16"/>
                <w:szCs w:val="16"/>
                <w:color w:val="0000FF"/>
              </w:rPr>
            </w:pPr>
            <w:hyperlink w:anchor="page9">
              <w:r>
                <w:rPr>
                  <w:rFonts w:ascii="Times New Roman" w:cs="Times New Roman" w:eastAsia="Times New Roman" w:hAnsi="Times New Roman"/>
                  <w:sz w:val="16"/>
                  <w:szCs w:val="16"/>
                  <w:color w:val="0000FF"/>
                </w:rPr>
                <w:t>STATEMENTS</w:t>
              </w:r>
            </w:hyperlink>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60"/>
        </w:trPr>
        <w:tc>
          <w:tcPr>
            <w:tcW w:w="1500" w:type="dxa"/>
            <w:vAlign w:val="bottom"/>
            <w:gridSpan w:val="2"/>
            <w:vMerge w:val="continue"/>
          </w:tcPr>
          <w:p>
            <w:pPr>
              <w:spacing w:after="0"/>
              <w:rPr>
                <w:sz w:val="13"/>
                <w:szCs w:val="13"/>
                <w:color w:val="auto"/>
              </w:rPr>
            </w:pPr>
          </w:p>
        </w:tc>
        <w:tc>
          <w:tcPr>
            <w:tcW w:w="524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FF"/>
                <w:w w:val="93"/>
              </w:rPr>
            </w:pPr>
            <w:hyperlink w:anchor="page39">
              <w:r>
                <w:rPr>
                  <w:rFonts w:ascii="Times New Roman" w:cs="Times New Roman" w:eastAsia="Times New Roman" w:hAnsi="Times New Roman"/>
                  <w:sz w:val="16"/>
                  <w:szCs w:val="16"/>
                  <w:color w:val="0000FF"/>
                  <w:w w:val="93"/>
                </w:rPr>
                <w:t>MANAGEMENT’S DISCUSSION AND ANALYSIS OF FINANCIAL CONDITION</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2"/>
          </w:tcPr>
          <w:p>
            <w:pPr>
              <w:ind w:left="80"/>
              <w:spacing w:after="0" w:line="160" w:lineRule="exact"/>
              <w:rPr>
                <w:rFonts w:ascii="Times New Roman" w:cs="Times New Roman" w:eastAsia="Times New Roman" w:hAnsi="Times New Roman"/>
                <w:sz w:val="16"/>
                <w:szCs w:val="16"/>
                <w:color w:val="0000FF"/>
              </w:rPr>
            </w:pPr>
            <w:hyperlink w:anchor="page39">
              <w:r>
                <w:rPr>
                  <w:rFonts w:ascii="Times New Roman" w:cs="Times New Roman" w:eastAsia="Times New Roman" w:hAnsi="Times New Roman"/>
                  <w:sz w:val="16"/>
                  <w:szCs w:val="16"/>
                  <w:color w:val="0000FF"/>
                </w:rPr>
                <w:t>AND RESULTS OF OPERATIONS</w:t>
              </w:r>
            </w:hyperlink>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76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FF"/>
              </w:rPr>
            </w:pPr>
            <w:hyperlink w:anchor="page39">
              <w:r>
                <w:rPr>
                  <w:rFonts w:ascii="Times New Roman" w:cs="Times New Roman" w:eastAsia="Times New Roman" w:hAnsi="Times New Roman"/>
                  <w:sz w:val="16"/>
                  <w:szCs w:val="16"/>
                  <w:color w:val="0000FF"/>
                </w:rPr>
                <w:t>CRITICAL ACCOUNTING POLICIES</w:t>
              </w:r>
            </w:hyperlink>
          </w:p>
        </w:tc>
        <w:tc>
          <w:tcPr>
            <w:tcW w:w="580" w:type="dxa"/>
            <w:vAlign w:val="bottom"/>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0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FF"/>
              </w:rPr>
            </w:pPr>
            <w:hyperlink w:anchor="page41">
              <w:r>
                <w:rPr>
                  <w:rFonts w:ascii="Times New Roman" w:cs="Times New Roman" w:eastAsia="Times New Roman" w:hAnsi="Times New Roman"/>
                  <w:sz w:val="16"/>
                  <w:szCs w:val="16"/>
                  <w:color w:val="0000FF"/>
                </w:rPr>
                <w:t>OVERVIEW</w:t>
              </w:r>
            </w:hyperlink>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2"/>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Borders>
              <w:top w:val="single" w:sz="8" w:color="0000EE"/>
            </w:tcBorders>
            <w:gridSpan w:val="2"/>
          </w:tcPr>
          <w:p>
            <w:pPr>
              <w:spacing w:after="0" w:line="160" w:lineRule="exact"/>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ANALYSIS</w:t>
              </w:r>
            </w:hyperlink>
          </w:p>
        </w:tc>
        <w:tc>
          <w:tcPr>
            <w:tcW w:w="7520" w:type="dxa"/>
            <w:vAlign w:val="bottom"/>
            <w:gridSpan w:val="17"/>
          </w:tcPr>
          <w:p>
            <w:pPr>
              <w:spacing w:after="0" w:line="160" w:lineRule="exact"/>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OF THE RESULTS OF OPERATIONS</w:t>
              </w:r>
            </w:hyperlink>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30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FF"/>
              </w:rPr>
            </w:pPr>
            <w:hyperlink w:anchor="page53">
              <w:r>
                <w:rPr>
                  <w:rFonts w:ascii="Times New Roman" w:cs="Times New Roman" w:eastAsia="Times New Roman" w:hAnsi="Times New Roman"/>
                  <w:sz w:val="16"/>
                  <w:szCs w:val="16"/>
                  <w:color w:val="0000FF"/>
                </w:rPr>
                <w:t>ANALYSIS OF FINANCIAL CONDITION</w:t>
              </w:r>
            </w:hyperlink>
          </w:p>
        </w:tc>
        <w:tc>
          <w:tcPr>
            <w:tcW w:w="620" w:type="dxa"/>
            <w:vAlign w:val="bottom"/>
          </w:tcPr>
          <w:p>
            <w:pPr>
              <w:spacing w:after="0"/>
              <w:rPr>
                <w:sz w:val="13"/>
                <w:szCs w:val="13"/>
                <w:color w:val="auto"/>
              </w:rPr>
            </w:pPr>
          </w:p>
        </w:tc>
        <w:tc>
          <w:tcPr>
            <w:tcW w:w="134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2"/>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60"/>
        </w:trPr>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280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FF"/>
                <w:w w:val="98"/>
              </w:rPr>
            </w:pPr>
            <w:hyperlink w:anchor="page70">
              <w:r>
                <w:rPr>
                  <w:rFonts w:ascii="Times New Roman" w:cs="Times New Roman" w:eastAsia="Times New Roman" w:hAnsi="Times New Roman"/>
                  <w:sz w:val="16"/>
                  <w:szCs w:val="16"/>
                  <w:color w:val="0000FF"/>
                  <w:w w:val="98"/>
                </w:rPr>
                <w:t>ASSET/LIABILITY AND MARKET RISK</w:t>
              </w:r>
            </w:hyperlink>
          </w:p>
        </w:tc>
        <w:tc>
          <w:tcPr>
            <w:tcW w:w="1120" w:type="dxa"/>
            <w:vAlign w:val="bottom"/>
            <w:tcBorders>
              <w:bottom w:val="single" w:sz="8" w:color="0000EE"/>
            </w:tcBorders>
            <w:gridSpan w:val="3"/>
          </w:tcPr>
          <w:p>
            <w:pPr>
              <w:spacing w:after="0" w:line="160" w:lineRule="exact"/>
              <w:rPr>
                <w:rFonts w:ascii="Times New Roman" w:cs="Times New Roman" w:eastAsia="Times New Roman" w:hAnsi="Times New Roman"/>
                <w:sz w:val="16"/>
                <w:szCs w:val="16"/>
                <w:color w:val="0000FF"/>
                <w:w w:val="95"/>
              </w:rPr>
            </w:pPr>
            <w:hyperlink w:anchor="page70">
              <w:r>
                <w:rPr>
                  <w:rFonts w:ascii="Times New Roman" w:cs="Times New Roman" w:eastAsia="Times New Roman" w:hAnsi="Times New Roman"/>
                  <w:sz w:val="16"/>
                  <w:szCs w:val="16"/>
                  <w:color w:val="0000FF"/>
                  <w:w w:val="95"/>
                </w:rPr>
                <w:t>MANAGEMENT</w:t>
              </w:r>
            </w:hyperlink>
          </w:p>
        </w:tc>
        <w:tc>
          <w:tcPr>
            <w:tcW w:w="4420" w:type="dxa"/>
            <w:vAlign w:val="bottom"/>
            <w:gridSpan w:val="6"/>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60"/>
        </w:trPr>
        <w:tc>
          <w:tcPr>
            <w:tcW w:w="1500" w:type="dxa"/>
            <w:vAlign w:val="bottom"/>
            <w:gridSpan w:val="2"/>
            <w:vMerge w:val="continue"/>
          </w:tcPr>
          <w:p>
            <w:pPr>
              <w:spacing w:after="0"/>
              <w:rPr>
                <w:sz w:val="13"/>
                <w:szCs w:val="13"/>
                <w:color w:val="auto"/>
              </w:rPr>
            </w:pPr>
          </w:p>
        </w:tc>
        <w:tc>
          <w:tcPr>
            <w:tcW w:w="8340" w:type="dxa"/>
            <w:vAlign w:val="bottom"/>
            <w:gridSpan w:val="19"/>
          </w:tcPr>
          <w:p>
            <w:pPr>
              <w:spacing w:after="0" w:line="160" w:lineRule="exact"/>
              <w:rPr>
                <w:rFonts w:ascii="Times New Roman" w:cs="Times New Roman" w:eastAsia="Times New Roman" w:hAnsi="Times New Roman"/>
                <w:sz w:val="16"/>
                <w:szCs w:val="16"/>
                <w:color w:val="0000FF"/>
              </w:rPr>
            </w:pPr>
            <w:hyperlink w:anchor="page73">
              <w:r>
                <w:rPr>
                  <w:rFonts w:ascii="Times New Roman" w:cs="Times New Roman" w:eastAsia="Times New Roman" w:hAnsi="Times New Roman"/>
                  <w:sz w:val="16"/>
                  <w:szCs w:val="16"/>
                  <w:color w:val="0000FF"/>
                </w:rPr>
                <w:t>QUANTITATIVE AND QUALITATIVE DISCLOSURES ABOUT MARKET RISK</w:t>
              </w:r>
            </w:hyperlink>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4.</w:t>
            </w:r>
          </w:p>
        </w:tc>
        <w:tc>
          <w:tcPr>
            <w:tcW w:w="538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w:anchor="page73">
              <w:r>
                <w:rPr>
                  <w:rFonts w:ascii="Times New Roman" w:cs="Times New Roman" w:eastAsia="Times New Roman" w:hAnsi="Times New Roman"/>
                  <w:sz w:val="16"/>
                  <w:szCs w:val="16"/>
                  <w:color w:val="0000FF"/>
                </w:rPr>
                <w:t>CONTROLS AND PROCEDURES</w:t>
              </w:r>
            </w:hyperlink>
          </w:p>
        </w:tc>
        <w:tc>
          <w:tcPr>
            <w:tcW w:w="2960" w:type="dxa"/>
            <w:vAlign w:val="bottom"/>
            <w:gridSpan w:val="2"/>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60"/>
        </w:trPr>
        <w:tc>
          <w:tcPr>
            <w:tcW w:w="150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PART II –</w:t>
            </w:r>
          </w:p>
        </w:tc>
        <w:tc>
          <w:tcPr>
            <w:tcW w:w="226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0000FF"/>
              </w:rPr>
            </w:pPr>
            <w:hyperlink w:anchor="page74">
              <w:r>
                <w:rPr>
                  <w:rFonts w:ascii="Times New Roman" w:cs="Times New Roman" w:eastAsia="Times New Roman" w:hAnsi="Times New Roman"/>
                  <w:sz w:val="16"/>
                  <w:szCs w:val="16"/>
                  <w:color w:val="0000FF"/>
                </w:rPr>
                <w:t>OTHER INFORMATION</w:t>
              </w:r>
            </w:hyperlink>
          </w:p>
        </w:tc>
        <w:tc>
          <w:tcPr>
            <w:tcW w:w="520" w:type="dxa"/>
            <w:vAlign w:val="bottom"/>
            <w:gridSpan w:val="2"/>
          </w:tcPr>
          <w:p>
            <w:pPr>
              <w:spacing w:after="0"/>
              <w:rPr>
                <w:sz w:val="13"/>
                <w:szCs w:val="13"/>
                <w:color w:val="auto"/>
              </w:rPr>
            </w:pPr>
          </w:p>
        </w:tc>
        <w:tc>
          <w:tcPr>
            <w:tcW w:w="2480" w:type="dxa"/>
            <w:vAlign w:val="bottom"/>
            <w:gridSpan w:val="7"/>
          </w:tcPr>
          <w:p>
            <w:pPr>
              <w:spacing w:after="0"/>
              <w:rPr>
                <w:sz w:val="13"/>
                <w:szCs w:val="13"/>
                <w:color w:val="auto"/>
              </w:rPr>
            </w:pPr>
          </w:p>
        </w:tc>
        <w:tc>
          <w:tcPr>
            <w:tcW w:w="3080" w:type="dxa"/>
            <w:vAlign w:val="bottom"/>
            <w:gridSpan w:val="3"/>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1.</w:t>
            </w:r>
          </w:p>
        </w:tc>
        <w:tc>
          <w:tcPr>
            <w:tcW w:w="164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FF"/>
                <w:w w:val="97"/>
              </w:rPr>
            </w:pPr>
            <w:hyperlink w:anchor="page74">
              <w:r>
                <w:rPr>
                  <w:rFonts w:ascii="Times New Roman" w:cs="Times New Roman" w:eastAsia="Times New Roman" w:hAnsi="Times New Roman"/>
                  <w:sz w:val="16"/>
                  <w:szCs w:val="16"/>
                  <w:color w:val="0000FF"/>
                  <w:w w:val="97"/>
                </w:rPr>
                <w:t>LEGAL PROCEEDINGS</w:t>
              </w:r>
            </w:hyperlink>
          </w:p>
        </w:tc>
        <w:tc>
          <w:tcPr>
            <w:tcW w:w="460" w:type="dxa"/>
            <w:vAlign w:val="bottom"/>
          </w:tcPr>
          <w:p>
            <w:pPr>
              <w:spacing w:after="0"/>
              <w:rPr>
                <w:sz w:val="13"/>
                <w:szCs w:val="13"/>
                <w:color w:val="auto"/>
              </w:rPr>
            </w:pPr>
          </w:p>
        </w:tc>
        <w:tc>
          <w:tcPr>
            <w:tcW w:w="680" w:type="dxa"/>
            <w:vAlign w:val="bottom"/>
            <w:gridSpan w:val="3"/>
          </w:tcPr>
          <w:p>
            <w:pPr>
              <w:spacing w:after="0"/>
              <w:rPr>
                <w:sz w:val="13"/>
                <w:szCs w:val="13"/>
                <w:color w:val="auto"/>
              </w:rPr>
            </w:pPr>
          </w:p>
        </w:tc>
        <w:tc>
          <w:tcPr>
            <w:tcW w:w="2480" w:type="dxa"/>
            <w:vAlign w:val="bottom"/>
            <w:gridSpan w:val="7"/>
          </w:tcPr>
          <w:p>
            <w:pPr>
              <w:spacing w:after="0"/>
              <w:rPr>
                <w:sz w:val="13"/>
                <w:szCs w:val="13"/>
                <w:color w:val="auto"/>
              </w:rPr>
            </w:pPr>
          </w:p>
        </w:tc>
        <w:tc>
          <w:tcPr>
            <w:tcW w:w="3080" w:type="dxa"/>
            <w:vAlign w:val="bottom"/>
            <w:gridSpan w:val="3"/>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1A.</w:t>
            </w:r>
          </w:p>
        </w:tc>
        <w:tc>
          <w:tcPr>
            <w:tcW w:w="162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FF"/>
              </w:rPr>
            </w:pPr>
            <w:hyperlink w:anchor="page74">
              <w:r>
                <w:rPr>
                  <w:rFonts w:ascii="Times New Roman" w:cs="Times New Roman" w:eastAsia="Times New Roman" w:hAnsi="Times New Roman"/>
                  <w:sz w:val="16"/>
                  <w:szCs w:val="16"/>
                  <w:color w:val="0000FF"/>
                </w:rPr>
                <w:t>RISK FACTORS</w:t>
              </w:r>
            </w:hyperlink>
          </w:p>
        </w:tc>
        <w:tc>
          <w:tcPr>
            <w:tcW w:w="480" w:type="dxa"/>
            <w:vAlign w:val="bottom"/>
            <w:gridSpan w:val="2"/>
          </w:tcPr>
          <w:p>
            <w:pPr>
              <w:spacing w:after="0"/>
              <w:rPr>
                <w:sz w:val="13"/>
                <w:szCs w:val="13"/>
                <w:color w:val="auto"/>
              </w:rPr>
            </w:pPr>
          </w:p>
        </w:tc>
        <w:tc>
          <w:tcPr>
            <w:tcW w:w="680" w:type="dxa"/>
            <w:vAlign w:val="bottom"/>
            <w:gridSpan w:val="3"/>
          </w:tcPr>
          <w:p>
            <w:pPr>
              <w:spacing w:after="0"/>
              <w:rPr>
                <w:sz w:val="13"/>
                <w:szCs w:val="13"/>
                <w:color w:val="auto"/>
              </w:rPr>
            </w:pPr>
          </w:p>
        </w:tc>
        <w:tc>
          <w:tcPr>
            <w:tcW w:w="2480" w:type="dxa"/>
            <w:vAlign w:val="bottom"/>
            <w:gridSpan w:val="7"/>
          </w:tcPr>
          <w:p>
            <w:pPr>
              <w:spacing w:after="0"/>
              <w:rPr>
                <w:sz w:val="13"/>
                <w:szCs w:val="13"/>
                <w:color w:val="auto"/>
              </w:rPr>
            </w:pPr>
          </w:p>
        </w:tc>
        <w:tc>
          <w:tcPr>
            <w:tcW w:w="3080" w:type="dxa"/>
            <w:vAlign w:val="bottom"/>
            <w:gridSpan w:val="3"/>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2.</w:t>
            </w:r>
          </w:p>
        </w:tc>
        <w:tc>
          <w:tcPr>
            <w:tcW w:w="108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FF"/>
                <w:w w:val="87"/>
              </w:rPr>
            </w:pPr>
            <w:hyperlink w:anchor="page74">
              <w:r>
                <w:rPr>
                  <w:rFonts w:ascii="Times New Roman" w:cs="Times New Roman" w:eastAsia="Times New Roman" w:hAnsi="Times New Roman"/>
                  <w:sz w:val="16"/>
                  <w:szCs w:val="16"/>
                  <w:color w:val="0000FF"/>
                  <w:w w:val="87"/>
                </w:rPr>
                <w:t>UNREGISTERED</w:t>
              </w:r>
            </w:hyperlink>
          </w:p>
        </w:tc>
        <w:tc>
          <w:tcPr>
            <w:tcW w:w="7260" w:type="dxa"/>
            <w:vAlign w:val="bottom"/>
            <w:gridSpan w:val="16"/>
          </w:tcPr>
          <w:p>
            <w:pPr>
              <w:ind w:left="140"/>
              <w:spacing w:after="0" w:line="160" w:lineRule="exact"/>
              <w:rPr>
                <w:rFonts w:ascii="Times New Roman" w:cs="Times New Roman" w:eastAsia="Times New Roman" w:hAnsi="Times New Roman"/>
                <w:sz w:val="16"/>
                <w:szCs w:val="16"/>
                <w:color w:val="0000FF"/>
              </w:rPr>
            </w:pPr>
            <w:hyperlink w:anchor="page74">
              <w:r>
                <w:rPr>
                  <w:rFonts w:ascii="Times New Roman" w:cs="Times New Roman" w:eastAsia="Times New Roman" w:hAnsi="Times New Roman"/>
                  <w:sz w:val="16"/>
                  <w:szCs w:val="16"/>
                  <w:color w:val="0000FF"/>
                </w:rPr>
                <w:t>SALES OF EQUITY SECURITIES AND USE OF PROCEEDS</w:t>
              </w:r>
            </w:hyperlink>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3.</w:t>
            </w:r>
          </w:p>
        </w:tc>
        <w:tc>
          <w:tcPr>
            <w:tcW w:w="526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DEFAULTS UPON SENIOR SECURITIES</w:t>
              </w:r>
            </w:hyperlink>
          </w:p>
        </w:tc>
        <w:tc>
          <w:tcPr>
            <w:tcW w:w="3080" w:type="dxa"/>
            <w:vAlign w:val="bottom"/>
            <w:gridSpan w:val="3"/>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4.</w:t>
            </w:r>
          </w:p>
        </w:tc>
        <w:tc>
          <w:tcPr>
            <w:tcW w:w="278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MINE SAFETY DISCLOSURES</w:t>
              </w:r>
            </w:hyperlink>
          </w:p>
        </w:tc>
        <w:tc>
          <w:tcPr>
            <w:tcW w:w="5560" w:type="dxa"/>
            <w:vAlign w:val="bottom"/>
            <w:gridSpan w:val="10"/>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5.</w:t>
            </w:r>
          </w:p>
        </w:tc>
        <w:tc>
          <w:tcPr>
            <w:tcW w:w="2100" w:type="dxa"/>
            <w:vAlign w:val="bottom"/>
            <w:tcBorders>
              <w:top w:val="single" w:sz="8" w:color="0000EE"/>
            </w:tcBorders>
            <w:gridSpan w:val="6"/>
          </w:tcPr>
          <w:p>
            <w:pPr>
              <w:spacing w:after="0" w:line="160"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OTHER INFORMATION</w:t>
              </w:r>
            </w:hyperlink>
          </w:p>
        </w:tc>
        <w:tc>
          <w:tcPr>
            <w:tcW w:w="6240" w:type="dxa"/>
            <w:vAlign w:val="bottom"/>
            <w:gridSpan w:val="13"/>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6.</w:t>
            </w:r>
          </w:p>
        </w:tc>
        <w:tc>
          <w:tcPr>
            <w:tcW w:w="164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FF"/>
              </w:rPr>
            </w:pPr>
            <w:hyperlink w:anchor="page76">
              <w:r>
                <w:rPr>
                  <w:rFonts w:ascii="Times New Roman" w:cs="Times New Roman" w:eastAsia="Times New Roman" w:hAnsi="Times New Roman"/>
                  <w:sz w:val="16"/>
                  <w:szCs w:val="16"/>
                  <w:color w:val="0000FF"/>
                </w:rPr>
                <w:t>EXHIBITS</w:t>
              </w:r>
            </w:hyperlink>
          </w:p>
        </w:tc>
        <w:tc>
          <w:tcPr>
            <w:tcW w:w="6700" w:type="dxa"/>
            <w:vAlign w:val="bottom"/>
            <w:gridSpan w:val="14"/>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60"/>
        </w:trPr>
        <w:tc>
          <w:tcPr>
            <w:tcW w:w="1500" w:type="dxa"/>
            <w:vAlign w:val="bottom"/>
            <w:gridSpan w:val="2"/>
          </w:tcPr>
          <w:p>
            <w:pPr>
              <w:spacing w:after="0" w:line="160" w:lineRule="exact"/>
              <w:rPr>
                <w:rFonts w:ascii="Times New Roman" w:cs="Times New Roman" w:eastAsia="Times New Roman" w:hAnsi="Times New Roman"/>
                <w:sz w:val="16"/>
                <w:szCs w:val="16"/>
                <w:b w:val="1"/>
                <w:bCs w:val="1"/>
                <w:color w:val="0000FF"/>
              </w:rPr>
            </w:pPr>
            <w:hyperlink w:anchor="page77">
              <w:r>
                <w:rPr>
                  <w:rFonts w:ascii="Times New Roman" w:cs="Times New Roman" w:eastAsia="Times New Roman" w:hAnsi="Times New Roman"/>
                  <w:sz w:val="16"/>
                  <w:szCs w:val="16"/>
                  <w:b w:val="1"/>
                  <w:bCs w:val="1"/>
                  <w:color w:val="0000FF"/>
                </w:rPr>
                <w:t>SIGNATURES</w:t>
              </w:r>
            </w:hyperlink>
          </w:p>
        </w:tc>
        <w:tc>
          <w:tcPr>
            <w:tcW w:w="700" w:type="dxa"/>
            <w:vAlign w:val="bottom"/>
            <w:tcBorders>
              <w:top w:val="single" w:sz="8" w:color="0000EE"/>
            </w:tcBorders>
            <w:vMerge w:val="restart"/>
          </w:tcPr>
          <w:p>
            <w:pPr>
              <w:spacing w:after="0"/>
              <w:rPr>
                <w:sz w:val="13"/>
                <w:szCs w:val="13"/>
                <w:color w:val="auto"/>
              </w:rPr>
            </w:pPr>
          </w:p>
        </w:tc>
        <w:tc>
          <w:tcPr>
            <w:tcW w:w="3220" w:type="dxa"/>
            <w:vAlign w:val="bottom"/>
            <w:gridSpan w:val="1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374"/>
        </w:trPr>
        <w:tc>
          <w:tcPr>
            <w:tcW w:w="10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Borders>
              <w:top w:val="single" w:sz="8" w:color="0000EE"/>
            </w:tcBorders>
            <w:vMerge w:val="continue"/>
          </w:tcPr>
          <w:p>
            <w:pPr>
              <w:spacing w:after="0"/>
              <w:rPr>
                <w:sz w:val="24"/>
                <w:szCs w:val="24"/>
                <w:color w:val="auto"/>
              </w:rPr>
            </w:pPr>
          </w:p>
        </w:tc>
        <w:tc>
          <w:tcPr>
            <w:tcW w:w="3220" w:type="dxa"/>
            <w:vAlign w:val="bottom"/>
            <w:gridSpan w:val="12"/>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0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38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 (UNAUDITED)</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Cautionary Note Regarding Forward-Looking Statements</w:t>
      </w:r>
    </w:p>
    <w:p>
      <w:pPr>
        <w:spacing w:after="0" w:line="179" w:lineRule="exact"/>
        <w:rPr>
          <w:sz w:val="20"/>
          <w:szCs w:val="20"/>
          <w:color w:val="auto"/>
        </w:rPr>
      </w:pPr>
    </w:p>
    <w:p>
      <w:pPr>
        <w:ind w:left="80" w:right="2880" w:firstLine="432"/>
        <w:spacing w:after="0" w:line="253" w:lineRule="auto"/>
        <w:rPr>
          <w:sz w:val="20"/>
          <w:szCs w:val="20"/>
          <w:color w:val="auto"/>
        </w:rPr>
      </w:pPr>
      <w:r>
        <w:rPr>
          <w:rFonts w:ascii="Times New Roman" w:cs="Times New Roman" w:eastAsia="Times New Roman" w:hAnsi="Times New Roman"/>
          <w:sz w:val="14"/>
          <w:szCs w:val="14"/>
          <w:i w:val="1"/>
          <w:iCs w:val="1"/>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 looking statements are based on management’s current expectations and beliefs concerning future developments and their potential effects on the Company, including, without limitation, plans, strategies, goals and statements about the Company’s outlook regarding revenue and asset growth, financial performance and profitability, capital and liquidity levels, loan and deposit growth and retention, yields and</w:t>
      </w:r>
    </w:p>
    <w:p>
      <w:pPr>
        <w:spacing w:after="0" w:line="5" w:lineRule="exact"/>
        <w:rPr>
          <w:sz w:val="20"/>
          <w:szCs w:val="20"/>
          <w:color w:val="auto"/>
        </w:rPr>
      </w:pPr>
    </w:p>
    <w:p>
      <w:pPr>
        <w:jc w:val="both"/>
        <w:ind w:left="80"/>
        <w:spacing w:after="0" w:line="250" w:lineRule="auto"/>
        <w:rPr>
          <w:sz w:val="20"/>
          <w:szCs w:val="20"/>
          <w:color w:val="auto"/>
        </w:rPr>
      </w:pPr>
      <w:r>
        <w:rPr>
          <w:rFonts w:ascii="Times New Roman" w:cs="Times New Roman" w:eastAsia="Times New Roman" w:hAnsi="Times New Roman"/>
          <w:sz w:val="14"/>
          <w:szCs w:val="14"/>
          <w:i w:val="1"/>
          <w:iCs w:val="1"/>
          <w:color w:val="auto"/>
        </w:rPr>
        <w:t>returns, loan diversification and credit management, stockholder value creation, tax rates, the impact of business, economic, or political developments, the impact of monetary, fiscal and trade policies, and the impact of acquisitions we have made or may make. Such statements involve inherent risks and uncertainties, many of which are difficult to predict and are generally beyond the control of the</w:t>
      </w:r>
    </w:p>
    <w:p>
      <w:pPr>
        <w:spacing w:after="0" w:line="1" w:lineRule="exact"/>
        <w:rPr>
          <w:sz w:val="20"/>
          <w:szCs w:val="20"/>
          <w:color w:val="auto"/>
        </w:rPr>
      </w:pPr>
    </w:p>
    <w:p>
      <w:pPr>
        <w:ind w:left="80" w:right="2960"/>
        <w:spacing w:after="0" w:line="258" w:lineRule="auto"/>
        <w:rPr>
          <w:sz w:val="20"/>
          <w:szCs w:val="20"/>
          <w:color w:val="auto"/>
        </w:rPr>
      </w:pPr>
      <w:r>
        <w:rPr>
          <w:rFonts w:ascii="Times New Roman" w:cs="Times New Roman" w:eastAsia="Times New Roman" w:hAnsi="Times New Roman"/>
          <w:sz w:val="14"/>
          <w:szCs w:val="14"/>
          <w:i w:val="1"/>
          <w:iCs w:val="1"/>
          <w:color w:val="auto"/>
        </w:rPr>
        <w:t>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135" w:lineRule="exact"/>
        <w:rPr>
          <w:sz w:val="20"/>
          <w:szCs w:val="20"/>
          <w:color w:val="auto"/>
        </w:rPr>
      </w:pPr>
    </w:p>
    <w:p>
      <w:pPr>
        <w:ind w:left="80" w:right="2800" w:firstLine="432"/>
        <w:spacing w:after="0" w:line="252" w:lineRule="auto"/>
        <w:rPr>
          <w:sz w:val="20"/>
          <w:szCs w:val="20"/>
          <w:color w:val="auto"/>
        </w:rPr>
      </w:pPr>
      <w:r>
        <w:rPr>
          <w:rFonts w:ascii="Times New Roman" w:cs="Times New Roman" w:eastAsia="Times New Roman" w:hAnsi="Times New Roman"/>
          <w:sz w:val="14"/>
          <w:szCs w:val="14"/>
          <w:i w:val="1"/>
          <w:iCs w:val="1"/>
          <w:color w:val="auto"/>
        </w:rPr>
        <w:t>General risks and uncertainties include, but are not limited to, the following: the strength of the United States economy in general and the strength of the local economies in which we conduct business; the effects of, and changes in, immigration, trade, tariff,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 acquisition target, key personnel and customers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and insurance, and the application thereof by regulatory bodies; the effectiveness of our risk management framework and quantitative models; changes in the levels of our nonperforming assets and charge-offs; the effect of changes in accounting policies and practices or accounting standards, as may be adopted from time-to-time by bank regulatory agencies, the U.S. Securities and Exchange Commission (“SEC”), the Public Company Accounting</w:t>
      </w:r>
    </w:p>
    <w:p>
      <w:pPr>
        <w:spacing w:after="0" w:line="6" w:lineRule="exact"/>
        <w:rPr>
          <w:sz w:val="20"/>
          <w:szCs w:val="20"/>
          <w:color w:val="auto"/>
        </w:rPr>
      </w:pPr>
    </w:p>
    <w:p>
      <w:pPr>
        <w:ind w:left="80" w:right="2880"/>
        <w:spacing w:after="0" w:line="251" w:lineRule="auto"/>
        <w:rPr>
          <w:sz w:val="20"/>
          <w:szCs w:val="20"/>
          <w:color w:val="auto"/>
        </w:rPr>
      </w:pPr>
      <w:r>
        <w:rPr>
          <w:rFonts w:ascii="Times New Roman" w:cs="Times New Roman" w:eastAsia="Times New Roman" w:hAnsi="Times New Roman"/>
          <w:sz w:val="14"/>
          <w:szCs w:val="14"/>
          <w:i w:val="1"/>
          <w:iCs w:val="1"/>
          <w:color w:val="auto"/>
        </w:rPr>
        <w:t>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spending, borrowing, and savings habits; the effects of our lack of a diversified loan portfolio, including the risks of geographic and industry concentrations; periodic fluctuations in commercial or residential real estate prices or values; our ability to attract and retain deposits (including low cost deposits) or to access government or private lending facilities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systemic or non -systemic bank failures or crises;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our asset credit quality, business operations, and employees, as well as the impact on general economic and financial market conditions; cybersecurity threats and fraud and the cost of defending against them, including the costs of compliance with legislation or regulations to combat cybersecurity threats and fraud; our ability to recruit and retain key executives, board members and other employees, and our compliance with federal, state and local employment laws and regulations; ongoing or unanticipated regulatory or legal proceedings or outcomes; and our ability to manage the risks involved in the foregoing.</w:t>
      </w:r>
    </w:p>
    <w:p>
      <w:pPr>
        <w:spacing w:after="0" w:line="312" w:lineRule="exact"/>
        <w:rPr>
          <w:sz w:val="20"/>
          <w:szCs w:val="20"/>
          <w:color w:val="auto"/>
        </w:rPr>
      </w:pPr>
    </w:p>
    <w:p>
      <w:pPr>
        <w:ind w:left="80" w:right="220" w:firstLine="432"/>
        <w:spacing w:after="0" w:line="294" w:lineRule="auto"/>
        <w:rPr>
          <w:sz w:val="20"/>
          <w:szCs w:val="20"/>
          <w:color w:val="auto"/>
        </w:rPr>
      </w:pPr>
      <w:r>
        <w:rPr>
          <w:rFonts w:ascii="Times New Roman" w:cs="Times New Roman" w:eastAsia="Times New Roman" w:hAnsi="Times New Roman"/>
          <w:sz w:val="14"/>
          <w:szCs w:val="14"/>
          <w:i w:val="1"/>
          <w:iCs w:val="1"/>
          <w:color w:val="auto"/>
        </w:rPr>
        <w:t>Additional factors that could cause actual results to differ materially from those expressed in the forward-looking statements are discussed in the Company's 2024 Annual Report on Form 10-K filed with the SEC and available at the SEC’s Internet site (http://www.sec.gov).</w:t>
      </w:r>
    </w:p>
    <w:p>
      <w:pPr>
        <w:spacing w:after="0" w:line="110" w:lineRule="exact"/>
        <w:rPr>
          <w:sz w:val="20"/>
          <w:szCs w:val="20"/>
          <w:color w:val="auto"/>
        </w:rPr>
      </w:pPr>
    </w:p>
    <w:p>
      <w:pPr>
        <w:ind w:left="80" w:right="3060" w:firstLine="432"/>
        <w:spacing w:after="0" w:line="257" w:lineRule="auto"/>
        <w:rPr>
          <w:sz w:val="20"/>
          <w:szCs w:val="20"/>
          <w:color w:val="auto"/>
        </w:rPr>
      </w:pPr>
      <w:r>
        <w:rPr>
          <w:rFonts w:ascii="Times New Roman" w:cs="Times New Roman" w:eastAsia="Times New Roman" w:hAnsi="Times New Roman"/>
          <w:sz w:val="14"/>
          <w:szCs w:val="14"/>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408305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580" w:top="1419" w:right="76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ITEM 1. CONDENSED CONSOLIDATED FINANCIAL STATEMENTS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(Dollars in thousands, except share amounts)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8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Cash and due from banks</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195,063</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153,875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Interest-earning balances due from Federal Reserve</w:t>
            </w:r>
          </w:p>
        </w:tc>
        <w:tc>
          <w:tcPr>
            <w:tcW w:w="2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543,573</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50,823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Total cash and cash equivalents</w:t>
            </w:r>
          </w:p>
        </w:tc>
        <w:tc>
          <w:tcPr>
            <w:tcW w:w="240" w:type="dxa"/>
            <w:vAlign w:val="bottom"/>
          </w:tcPr>
          <w:p>
            <w:pPr>
              <w:spacing w:after="0"/>
              <w:rPr>
                <w:sz w:val="15"/>
                <w:szCs w:val="15"/>
                <w:color w:val="auto"/>
              </w:rPr>
            </w:pPr>
          </w:p>
        </w:tc>
        <w:tc>
          <w:tcPr>
            <w:tcW w:w="13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738,636</w:t>
            </w:r>
          </w:p>
        </w:tc>
        <w:tc>
          <w:tcPr>
            <w:tcW w:w="12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204,698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Interest-earning balances due from depository institutions</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11,004</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tcPr>
          <w:p>
            <w:pPr>
              <w:ind w:left="120"/>
              <w:spacing w:after="0" w:line="167" w:lineRule="exact"/>
              <w:rPr>
                <w:sz w:val="20"/>
                <w:szCs w:val="20"/>
                <w:color w:val="auto"/>
              </w:rPr>
            </w:pPr>
            <w:r>
              <w:rPr>
                <w:rFonts w:ascii="Times New Roman" w:cs="Times New Roman" w:eastAsia="Times New Roman" w:hAnsi="Times New Roman"/>
                <w:sz w:val="16"/>
                <w:szCs w:val="16"/>
                <w:color w:val="auto"/>
              </w:rPr>
              <w:t>Investment securities available-for-sale, at fair value (with amortized cost of</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$2,840,450 at June 30, 2025, and $2,997,047 at December 31, 2024)</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2,486,306</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2,542,115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shd w:val="clear" w:color="auto" w:fill="CFF0FC"/>
          </w:tcPr>
          <w:p>
            <w:pPr>
              <w:ind w:left="120"/>
              <w:spacing w:after="0" w:line="167" w:lineRule="exact"/>
              <w:rPr>
                <w:sz w:val="20"/>
                <w:szCs w:val="20"/>
                <w:color w:val="auto"/>
              </w:rPr>
            </w:pPr>
            <w:r>
              <w:rPr>
                <w:rFonts w:ascii="Times New Roman" w:cs="Times New Roman" w:eastAsia="Times New Roman" w:hAnsi="Times New Roman"/>
                <w:sz w:val="16"/>
                <w:szCs w:val="16"/>
                <w:color w:val="auto"/>
              </w:rPr>
              <w:t>Investment securities held-to-maturity (with fair value of $1,934,756 at</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June 30, 2025, and $1,954,345 at December 31, 2024)</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2,327,230</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2,379,668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Total investment securities</w:t>
            </w:r>
          </w:p>
        </w:tc>
        <w:tc>
          <w:tcPr>
            <w:tcW w:w="2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4,813,536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4,921,783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Investment in stock of Federal Home Loan Bank (FHLB)</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18,012</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18,012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Loans and lease finance receivables</w:t>
            </w:r>
          </w:p>
        </w:tc>
        <w:tc>
          <w:tcPr>
            <w:tcW w:w="2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8,358,501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8,536,432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Allowance for credit losses</w:t>
            </w:r>
          </w:p>
        </w:tc>
        <w:tc>
          <w:tcPr>
            <w:tcW w:w="2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(78,003)</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(80,122)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520"/>
              <w:spacing w:after="0" w:line="180" w:lineRule="exact"/>
              <w:rPr>
                <w:sz w:val="20"/>
                <w:szCs w:val="20"/>
                <w:color w:val="auto"/>
              </w:rPr>
            </w:pPr>
            <w:r>
              <w:rPr>
                <w:rFonts w:ascii="Times New Roman" w:cs="Times New Roman" w:eastAsia="Times New Roman" w:hAnsi="Times New Roman"/>
                <w:sz w:val="16"/>
                <w:szCs w:val="16"/>
                <w:color w:val="auto"/>
              </w:rPr>
              <w:t>Net loans and lease finance receivables</w:t>
            </w:r>
          </w:p>
        </w:tc>
        <w:tc>
          <w:tcPr>
            <w:tcW w:w="2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8,280,498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8,456,310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Premises and equipment, net</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26,606</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27,543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Bank owned life insurance (BOLI)</w:t>
            </w:r>
          </w:p>
        </w:tc>
        <w:tc>
          <w:tcPr>
            <w:tcW w:w="240" w:type="dxa"/>
            <w:vAlign w:val="bottom"/>
          </w:tcPr>
          <w:p>
            <w:pPr>
              <w:spacing w:after="0"/>
              <w:rPr>
                <w:sz w:val="15"/>
                <w:szCs w:val="15"/>
                <w:color w:val="auto"/>
              </w:rPr>
            </w:pPr>
          </w:p>
        </w:tc>
        <w:tc>
          <w:tcPr>
            <w:tcW w:w="13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320,596</w:t>
            </w:r>
          </w:p>
        </w:tc>
        <w:tc>
          <w:tcPr>
            <w:tcW w:w="12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316,248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Accrued interest receivable</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45,247</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45,716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Intangibles</w:t>
            </w:r>
          </w:p>
        </w:tc>
        <w:tc>
          <w:tcPr>
            <w:tcW w:w="240" w:type="dxa"/>
            <w:vAlign w:val="bottom"/>
          </w:tcPr>
          <w:p>
            <w:pPr>
              <w:spacing w:after="0"/>
              <w:rPr>
                <w:sz w:val="15"/>
                <w:szCs w:val="15"/>
                <w:color w:val="auto"/>
              </w:rPr>
            </w:pPr>
          </w:p>
        </w:tc>
        <w:tc>
          <w:tcPr>
            <w:tcW w:w="13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7,657</w:t>
            </w:r>
          </w:p>
        </w:tc>
        <w:tc>
          <w:tcPr>
            <w:tcW w:w="12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9,967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765,822</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765,822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Income taxes</w:t>
            </w:r>
          </w:p>
        </w:tc>
        <w:tc>
          <w:tcPr>
            <w:tcW w:w="240" w:type="dxa"/>
            <w:vAlign w:val="bottom"/>
          </w:tcPr>
          <w:p>
            <w:pPr>
              <w:spacing w:after="0"/>
              <w:rPr>
                <w:sz w:val="15"/>
                <w:szCs w:val="15"/>
                <w:color w:val="auto"/>
              </w:rPr>
            </w:pPr>
          </w:p>
        </w:tc>
        <w:tc>
          <w:tcPr>
            <w:tcW w:w="13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152,798</w:t>
            </w:r>
          </w:p>
        </w:tc>
        <w:tc>
          <w:tcPr>
            <w:tcW w:w="12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171,178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233,718</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215,898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460"/>
              <w:spacing w:after="0" w:line="16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15,414,130</w:t>
            </w:r>
          </w:p>
        </w:tc>
        <w:tc>
          <w:tcPr>
            <w:tcW w:w="2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15,153,655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7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Liabilities: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Deposits:</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Noninterest-bearing</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7,247,128</w:t>
            </w:r>
          </w:p>
        </w:tc>
        <w:tc>
          <w:tcPr>
            <w:tcW w:w="28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7,037,096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Interest-bearing</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4,737,695</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4,911,285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460"/>
              <w:spacing w:after="0" w:line="180" w:lineRule="exact"/>
              <w:rPr>
                <w:sz w:val="20"/>
                <w:szCs w:val="20"/>
                <w:color w:val="auto"/>
              </w:rPr>
            </w:pPr>
            <w:r>
              <w:rPr>
                <w:rFonts w:ascii="Times New Roman" w:cs="Times New Roman" w:eastAsia="Times New Roman" w:hAnsi="Times New Roman"/>
                <w:sz w:val="16"/>
                <w:szCs w:val="16"/>
                <w:b w:val="1"/>
                <w:bCs w:val="1"/>
                <w:color w:val="auto"/>
              </w:rPr>
              <w:t>Total deposits</w:t>
            </w:r>
          </w:p>
        </w:tc>
        <w:tc>
          <w:tcPr>
            <w:tcW w:w="2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11,984,823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11,948,381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Customer repurchase agreements</w:t>
            </w:r>
          </w:p>
        </w:tc>
        <w:tc>
          <w:tcPr>
            <w:tcW w:w="2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404,154</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261,887</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borrowings</w:t>
            </w:r>
          </w:p>
        </w:tc>
        <w:tc>
          <w:tcPr>
            <w:tcW w:w="24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Deferred compensation</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22,873</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22,909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Accrued interest payable</w:t>
            </w:r>
          </w:p>
        </w:tc>
        <w:tc>
          <w:tcPr>
            <w:tcW w:w="240" w:type="dxa"/>
            <w:vAlign w:val="bottom"/>
          </w:tcPr>
          <w:p>
            <w:pPr>
              <w:spacing w:after="0"/>
              <w:rPr>
                <w:sz w:val="15"/>
                <w:szCs w:val="15"/>
                <w:color w:val="auto"/>
              </w:rPr>
            </w:pPr>
          </w:p>
        </w:tc>
        <w:tc>
          <w:tcPr>
            <w:tcW w:w="13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4,580</w:t>
            </w:r>
          </w:p>
        </w:tc>
        <w:tc>
          <w:tcPr>
            <w:tcW w:w="12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257,378</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229,115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13,173,808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12,967,339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7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shd w:val="clear" w:color="auto" w:fill="CFF0FC"/>
          </w:tcPr>
          <w:p>
            <w:pPr>
              <w:ind w:left="200"/>
              <w:spacing w:after="0" w:line="167" w:lineRule="exact"/>
              <w:rPr>
                <w:sz w:val="20"/>
                <w:szCs w:val="20"/>
                <w:color w:val="auto"/>
              </w:rPr>
            </w:pPr>
            <w:r>
              <w:rPr>
                <w:rFonts w:ascii="Times New Roman" w:cs="Times New Roman" w:eastAsia="Times New Roman" w:hAnsi="Times New Roman"/>
                <w:sz w:val="16"/>
                <w:szCs w:val="16"/>
                <w:color w:val="auto"/>
              </w:rPr>
              <w:t>Common stock, authorized, 225,000,000 shares without par; issued and outstanding 137,825,465 at June 30, 2025,</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and 139,690,086 at December 31, 2024</w:t>
            </w:r>
          </w:p>
        </w:tc>
        <w:tc>
          <w:tcPr>
            <w:tcW w:w="24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1,260,843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1,296,881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6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60" w:type="dxa"/>
            <w:vAlign w:val="bottom"/>
            <w:vMerge w:val="continue"/>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6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1,247,611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1,201,499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loss, net of tax</w:t>
            </w:r>
          </w:p>
        </w:tc>
        <w:tc>
          <w:tcPr>
            <w:tcW w:w="2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(268,132)</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(312,064)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460"/>
              <w:spacing w:after="0" w:line="180" w:lineRule="exact"/>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2,240,322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2,186,316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00" w:type="dxa"/>
            <w:vAlign w:val="bottom"/>
            <w:tcBorders>
              <w:bottom w:val="single" w:sz="8" w:color="CFF0FC"/>
            </w:tcBorders>
            <w:shd w:val="clear" w:color="auto" w:fill="CFF0FC"/>
          </w:tcPr>
          <w:p>
            <w:pPr>
              <w:ind w:left="680"/>
              <w:spacing w:after="0" w:line="160" w:lineRule="exact"/>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15,414,130</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15,153,655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408305</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19"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EARNINGS AND COMPREHENSIVE INCOME</w:t>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19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Loans and leases, including fees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108,845</w:t>
            </w:r>
          </w:p>
        </w:tc>
        <w:tc>
          <w:tcPr>
            <w:tcW w:w="140" w:type="dxa"/>
            <w:vAlign w:val="bottom"/>
          </w:tcPr>
          <w:p>
            <w:pPr>
              <w:spacing w:after="0"/>
              <w:rPr>
                <w:sz w:val="14"/>
                <w:szCs w:val="14"/>
                <w:color w:val="auto"/>
              </w:rPr>
            </w:pP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114,200</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217,916</w:t>
            </w:r>
          </w:p>
        </w:tc>
        <w:tc>
          <w:tcPr>
            <w:tcW w:w="140" w:type="dxa"/>
            <w:vAlign w:val="bottom"/>
          </w:tcPr>
          <w:p>
            <w:pPr>
              <w:spacing w:after="0"/>
              <w:rPr>
                <w:sz w:val="14"/>
                <w:szCs w:val="14"/>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Investment securities: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37,033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12,886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13,445</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25,907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26,847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62,940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Dividends from FHLB stock</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b w:val="1"/>
                <w:bCs w:val="1"/>
                <w:color w:val="auto"/>
              </w:rPr>
              <w:t>Total interest income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144,209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159,072</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287,211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316,761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24,829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25,979</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50,151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47,345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 and customer repurchase agreements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65,159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interest income before provision for (recapture of) credit losses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111,608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110,849</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222,052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223,310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(recapture of) credit losses</w:t>
            </w:r>
          </w:p>
        </w:tc>
        <w:tc>
          <w:tcPr>
            <w:tcW w:w="2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Net interest income after provision for (recapture of) credit losses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111,608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110,849</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224,052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223,310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5,117</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9,867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10,153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Trust and investment services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Bankcard services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BOLI income</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Gain on OREO, net</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b w:val="1"/>
                <w:bCs w:val="1"/>
                <w:color w:val="auto"/>
              </w:rPr>
              <w:t>Total noninterest income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14,744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14,424</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30,973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28,537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34,999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35,426</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71,476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71,827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Occupancy and equipment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Professional services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Computer software expense</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Marketing and promotion</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Provision for (recapture of) unfunded loan commitments</w:t>
            </w:r>
          </w:p>
        </w:tc>
        <w:tc>
          <w:tcPr>
            <w:tcW w:w="2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(500)</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b w:val="1"/>
                <w:bCs w:val="1"/>
                <w:color w:val="auto"/>
              </w:rPr>
              <w:t>Total noninterest expense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57,557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56,497</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116,701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116,268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68,776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18,231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18,741</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36,656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36,945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earnings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50,564</w:t>
            </w:r>
          </w:p>
        </w:tc>
        <w:tc>
          <w:tcPr>
            <w:tcW w:w="140" w:type="dxa"/>
            <w:vAlign w:val="bottom"/>
          </w:tcPr>
          <w:p>
            <w:pPr>
              <w:spacing w:after="0"/>
              <w:rPr>
                <w:sz w:val="14"/>
                <w:szCs w:val="14"/>
                <w:color w:val="auto"/>
              </w:rPr>
            </w:pP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50,035</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101,668</w:t>
            </w:r>
          </w:p>
        </w:tc>
        <w:tc>
          <w:tcPr>
            <w:tcW w:w="140" w:type="dxa"/>
            <w:vAlign w:val="bottom"/>
          </w:tcPr>
          <w:p>
            <w:pPr>
              <w:spacing w:after="0"/>
              <w:rPr>
                <w:sz w:val="14"/>
                <w:szCs w:val="14"/>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6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gain (loss) on securities arising during the period, before tax</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15,645</w:t>
            </w:r>
          </w:p>
        </w:tc>
        <w:tc>
          <w:tcPr>
            <w:tcW w:w="140" w:type="dxa"/>
            <w:vAlign w:val="bottom"/>
          </w:tcPr>
          <w:p>
            <w:pPr>
              <w:spacing w:after="0"/>
              <w:rPr>
                <w:sz w:val="14"/>
                <w:szCs w:val="14"/>
                <w:color w:val="auto"/>
              </w:rPr>
            </w:pP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64,999</w:t>
            </w:r>
          </w:p>
        </w:tc>
        <w:tc>
          <w:tcPr>
            <w:tcW w:w="140" w:type="dxa"/>
            <w:vAlign w:val="bottom"/>
          </w:tcPr>
          <w:p>
            <w:pPr>
              <w:spacing w:after="0"/>
              <w:rPr>
                <w:sz w:val="14"/>
                <w:szCs w:val="14"/>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(15,560)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Less: Income tax (expense) benefit related to items of other comprehensive income</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(6,477)</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(556)</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(21,067)</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59,732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50,992</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145,600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87,875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40" w:type="dxa"/>
            <w:vAlign w:val="bottom"/>
          </w:tcPr>
          <w:p>
            <w:pPr>
              <w:spacing w:after="0"/>
              <w:rPr>
                <w:sz w:val="24"/>
                <w:szCs w:val="24"/>
                <w:color w:val="auto"/>
              </w:rPr>
            </w:pP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20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140" w:type="dxa"/>
            <w:vAlign w:val="bottom"/>
          </w:tcPr>
          <w:p>
            <w:pPr>
              <w:spacing w:after="0"/>
              <w:rPr>
                <w:sz w:val="24"/>
                <w:szCs w:val="24"/>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4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14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(Dollars and shares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2025 and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 Income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640" w:type="dxa"/>
            <w:vAlign w:val="bottom"/>
            <w:shd w:val="clear" w:color="auto" w:fill="CFF0FC"/>
          </w:tcPr>
          <w:p>
            <w:pPr>
              <w:jc w:val="center"/>
              <w:ind w:right="2334"/>
              <w:spacing w:after="0"/>
              <w:rPr>
                <w:sz w:val="20"/>
                <w:szCs w:val="20"/>
                <w:color w:val="auto"/>
              </w:rPr>
            </w:pPr>
            <w:r>
              <w:rPr>
                <w:rFonts w:ascii="Times New Roman" w:cs="Times New Roman" w:eastAsia="Times New Roman" w:hAnsi="Times New Roman"/>
                <w:sz w:val="13"/>
                <w:szCs w:val="13"/>
                <w:b w:val="1"/>
                <w:bCs w:val="1"/>
                <w:color w:val="auto"/>
              </w:rPr>
              <w:t>Balance, April 1, 2025</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139,090</w:t>
            </w:r>
          </w:p>
        </w:tc>
        <w:tc>
          <w:tcPr>
            <w:tcW w:w="1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1,280,969</w:t>
            </w:r>
          </w:p>
        </w:tc>
        <w:tc>
          <w:tcPr>
            <w:tcW w:w="16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1,224,750</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(277,300)</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2,228,419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(1,284)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(22,544)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(22,544)</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36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Shares issued pursuant to stock-based</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compensation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36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9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3640" w:type="dxa"/>
            <w:vAlign w:val="bottom"/>
            <w:shd w:val="clear" w:color="auto" w:fill="CFF0FC"/>
          </w:tcPr>
          <w:p>
            <w:pPr>
              <w:jc w:val="center"/>
              <w:ind w:right="2314"/>
              <w:spacing w:after="0"/>
              <w:rPr>
                <w:sz w:val="20"/>
                <w:szCs w:val="20"/>
                <w:color w:val="auto"/>
              </w:rPr>
            </w:pPr>
            <w:r>
              <w:rPr>
                <w:rFonts w:ascii="Times New Roman" w:cs="Times New Roman" w:eastAsia="Times New Roman" w:hAnsi="Times New Roman"/>
                <w:sz w:val="13"/>
                <w:szCs w:val="13"/>
                <w:color w:val="auto"/>
              </w:rPr>
              <w:t>($0.20 per share)</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(27,703)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(27,703)</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earnings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50,564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50,564</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9,168</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gridSpan w:val="2"/>
          </w:tcPr>
          <w:p>
            <w:pPr>
              <w:jc w:val="center"/>
              <w:ind w:right="2234"/>
              <w:spacing w:after="0" w:line="136" w:lineRule="exact"/>
              <w:rPr>
                <w:sz w:val="20"/>
                <w:szCs w:val="20"/>
                <w:color w:val="auto"/>
              </w:rPr>
            </w:pPr>
            <w:r>
              <w:rPr>
                <w:rFonts w:ascii="Times New Roman" w:cs="Times New Roman" w:eastAsia="Times New Roman" w:hAnsi="Times New Roman"/>
                <w:sz w:val="13"/>
                <w:szCs w:val="13"/>
                <w:b w:val="1"/>
                <w:bCs w:val="1"/>
                <w:color w:val="auto"/>
              </w:rPr>
              <w:t>Balance, June 30, 2025</w:t>
            </w:r>
          </w:p>
        </w:tc>
        <w:tc>
          <w:tcPr>
            <w:tcW w:w="9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137,825</w:t>
            </w:r>
          </w:p>
        </w:tc>
        <w:tc>
          <w:tcPr>
            <w:tcW w:w="160" w:type="dxa"/>
            <w:vAlign w:val="bottom"/>
          </w:tcPr>
          <w:p>
            <w:pPr>
              <w:spacing w:after="0"/>
              <w:rPr>
                <w:sz w:val="13"/>
                <w:szCs w:val="13"/>
                <w:color w:val="auto"/>
              </w:rPr>
            </w:pPr>
          </w:p>
        </w:tc>
        <w:tc>
          <w:tcPr>
            <w:tcW w:w="2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1,260,843</w:t>
            </w:r>
          </w:p>
        </w:tc>
        <w:tc>
          <w:tcPr>
            <w:tcW w:w="160" w:type="dxa"/>
            <w:vAlign w:val="bottom"/>
          </w:tcPr>
          <w:p>
            <w:pPr>
              <w:spacing w:after="0"/>
              <w:rPr>
                <w:sz w:val="13"/>
                <w:szCs w:val="13"/>
                <w:color w:val="auto"/>
              </w:rPr>
            </w:pPr>
          </w:p>
        </w:tc>
        <w:tc>
          <w:tcPr>
            <w:tcW w:w="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1,247,611</w:t>
            </w:r>
          </w:p>
        </w:tc>
        <w:tc>
          <w:tcPr>
            <w:tcW w:w="140" w:type="dxa"/>
            <w:vAlign w:val="bottom"/>
          </w:tcPr>
          <w:p>
            <w:pPr>
              <w:spacing w:after="0"/>
              <w:rPr>
                <w:sz w:val="13"/>
                <w:szCs w:val="13"/>
                <w:color w:val="auto"/>
              </w:rPr>
            </w:pPr>
          </w:p>
        </w:tc>
        <w:tc>
          <w:tcPr>
            <w:tcW w:w="2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9"/>
                <w:szCs w:val="9"/>
                <w:color w:val="auto"/>
              </w:rPr>
              <w:t>(268,132</w:t>
            </w:r>
            <w:r>
              <w:rPr>
                <w:rFonts w:ascii="Times New Roman" w:cs="Times New Roman" w:eastAsia="Times New Roman" w:hAnsi="Times New Roman"/>
                <w:sz w:val="15"/>
                <w:szCs w:val="15"/>
                <w:color w:val="auto"/>
                <w:vertAlign w:val="subscript"/>
              </w:rPr>
              <w:t>)</w:t>
            </w:r>
          </w:p>
        </w:tc>
        <w:tc>
          <w:tcPr>
            <w:tcW w:w="34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2,240,322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0" w:type="dxa"/>
            <w:vAlign w:val="bottom"/>
            <w:vMerge w:val="continue"/>
          </w:tcPr>
          <w:p>
            <w:pPr>
              <w:spacing w:after="0"/>
              <w:rPr>
                <w:sz w:val="15"/>
                <w:szCs w:val="15"/>
                <w:color w:val="auto"/>
              </w:rPr>
            </w:pPr>
          </w:p>
        </w:tc>
        <w:tc>
          <w:tcPr>
            <w:tcW w:w="3640" w:type="dxa"/>
            <w:vAlign w:val="bottom"/>
            <w:shd w:val="clear" w:color="auto" w:fill="CFF0FC"/>
          </w:tcPr>
          <w:p>
            <w:pPr>
              <w:jc w:val="center"/>
              <w:ind w:right="2334"/>
              <w:spacing w:after="0"/>
              <w:rPr>
                <w:sz w:val="20"/>
                <w:szCs w:val="20"/>
                <w:color w:val="auto"/>
              </w:rPr>
            </w:pPr>
            <w:r>
              <w:rPr>
                <w:rFonts w:ascii="Times New Roman" w:cs="Times New Roman" w:eastAsia="Times New Roman" w:hAnsi="Times New Roman"/>
                <w:sz w:val="13"/>
                <w:szCs w:val="13"/>
                <w:b w:val="1"/>
                <w:bCs w:val="1"/>
                <w:color w:val="auto"/>
              </w:rPr>
              <w:t>Balance, April 1, 2024</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139,642</w:t>
            </w:r>
          </w:p>
        </w:tc>
        <w:tc>
          <w:tcPr>
            <w:tcW w:w="160" w:type="dxa"/>
            <w:vAlign w:val="bottom"/>
            <w:shd w:val="clear" w:color="auto" w:fill="CFF0FC"/>
          </w:tcPr>
          <w:p>
            <w:pPr>
              <w:spacing w:after="0"/>
              <w:rPr>
                <w:sz w:val="15"/>
                <w:szCs w:val="15"/>
                <w:color w:val="auto"/>
              </w:rPr>
            </w:pPr>
          </w:p>
        </w:tc>
        <w:tc>
          <w:tcPr>
            <w:tcW w:w="2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1,288,755</w:t>
            </w:r>
          </w:p>
        </w:tc>
        <w:tc>
          <w:tcPr>
            <w:tcW w:w="160" w:type="dxa"/>
            <w:vAlign w:val="bottom"/>
            <w:shd w:val="clear" w:color="auto" w:fill="CFF0FC"/>
          </w:tcPr>
          <w:p>
            <w:pPr>
              <w:spacing w:after="0"/>
              <w:rPr>
                <w:sz w:val="15"/>
                <w:szCs w:val="15"/>
                <w:color w:val="auto"/>
              </w:rPr>
            </w:pPr>
          </w:p>
        </w:tc>
        <w:tc>
          <w:tcPr>
            <w:tcW w:w="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1,133,355</w:t>
            </w:r>
          </w:p>
        </w:tc>
        <w:tc>
          <w:tcPr>
            <w:tcW w:w="140" w:type="dxa"/>
            <w:vAlign w:val="bottom"/>
            <w:shd w:val="clear" w:color="auto" w:fill="CFF0FC"/>
          </w:tcPr>
          <w:p>
            <w:pPr>
              <w:spacing w:after="0"/>
              <w:rPr>
                <w:sz w:val="15"/>
                <w:szCs w:val="15"/>
                <w:color w:val="auto"/>
              </w:rPr>
            </w:pP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(335,285)</w:t>
            </w:r>
          </w:p>
        </w:tc>
        <w:tc>
          <w:tcPr>
            <w:tcW w:w="3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2,086,825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60" w:type="dxa"/>
            <w:vAlign w:val="bottom"/>
          </w:tcPr>
          <w:p>
            <w:pPr>
              <w:spacing w:after="0"/>
              <w:rPr>
                <w:sz w:val="5"/>
                <w:szCs w:val="5"/>
                <w:color w:val="auto"/>
              </w:rPr>
            </w:pPr>
          </w:p>
        </w:tc>
        <w:tc>
          <w:tcPr>
            <w:tcW w:w="3640" w:type="dxa"/>
            <w:vAlign w:val="bottom"/>
            <w:shd w:val="clear" w:color="auto" w:fill="CFF0FC"/>
          </w:tcPr>
          <w:p>
            <w:pPr>
              <w:spacing w:after="0"/>
              <w:rPr>
                <w:sz w:val="5"/>
                <w:szCs w:val="5"/>
                <w:color w:val="auto"/>
              </w:rPr>
            </w:pPr>
          </w:p>
        </w:tc>
        <w:tc>
          <w:tcPr>
            <w:tcW w:w="98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220" w:type="dxa"/>
            <w:vAlign w:val="bottom"/>
            <w:gridSpan w:val="2"/>
            <w:vMerge w:val="continue"/>
            <w:shd w:val="clear" w:color="auto" w:fill="CFF0FC"/>
          </w:tcPr>
          <w:p>
            <w:pPr>
              <w:spacing w:after="0"/>
              <w:rPr>
                <w:sz w:val="5"/>
                <w:szCs w:val="5"/>
                <w:color w:val="auto"/>
              </w:rPr>
            </w:pPr>
          </w:p>
        </w:tc>
        <w:tc>
          <w:tcPr>
            <w:tcW w:w="108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60" w:type="dxa"/>
            <w:vAlign w:val="bottom"/>
            <w:gridSpan w:val="2"/>
            <w:vMerge w:val="continue"/>
            <w:shd w:val="clear" w:color="auto" w:fill="CFF0FC"/>
          </w:tcPr>
          <w:p>
            <w:pPr>
              <w:spacing w:after="0"/>
              <w:rPr>
                <w:sz w:val="5"/>
                <w:szCs w:val="5"/>
                <w:color w:val="auto"/>
              </w:rPr>
            </w:pPr>
          </w:p>
        </w:tc>
        <w:tc>
          <w:tcPr>
            <w:tcW w:w="114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gridSpan w:val="2"/>
            <w:vMerge w:val="continue"/>
            <w:shd w:val="clear" w:color="auto" w:fill="CFF0FC"/>
          </w:tcPr>
          <w:p>
            <w:pPr>
              <w:spacing w:after="0"/>
              <w:rPr>
                <w:sz w:val="5"/>
                <w:szCs w:val="5"/>
                <w:color w:val="auto"/>
              </w:rPr>
            </w:pPr>
          </w:p>
        </w:tc>
        <w:tc>
          <w:tcPr>
            <w:tcW w:w="1220" w:type="dxa"/>
            <w:vAlign w:val="bottom"/>
            <w:gridSpan w:val="2"/>
            <w:vMerge w:val="continue"/>
            <w:shd w:val="clear" w:color="auto" w:fill="CFF0FC"/>
          </w:tcPr>
          <w:p>
            <w:pPr>
              <w:spacing w:after="0"/>
              <w:rPr>
                <w:sz w:val="5"/>
                <w:szCs w:val="5"/>
                <w:color w:val="auto"/>
              </w:rPr>
            </w:pPr>
          </w:p>
        </w:tc>
        <w:tc>
          <w:tcPr>
            <w:tcW w:w="340" w:type="dxa"/>
            <w:vAlign w:val="bottom"/>
            <w:gridSpan w:val="2"/>
            <w:vMerge w:val="continue"/>
            <w:shd w:val="clear" w:color="auto" w:fill="CFF0FC"/>
          </w:tcPr>
          <w:p>
            <w:pPr>
              <w:spacing w:after="0"/>
              <w:rPr>
                <w:sz w:val="5"/>
                <w:szCs w:val="5"/>
                <w:color w:val="auto"/>
              </w:rPr>
            </w:pPr>
          </w:p>
        </w:tc>
        <w:tc>
          <w:tcPr>
            <w:tcW w:w="92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36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Shares issued pursuant to stock-based</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compensation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36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9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3640" w:type="dxa"/>
            <w:vAlign w:val="bottom"/>
            <w:shd w:val="clear" w:color="auto" w:fill="CFF0FC"/>
          </w:tcPr>
          <w:p>
            <w:pPr>
              <w:jc w:val="center"/>
              <w:ind w:right="2314"/>
              <w:spacing w:after="0"/>
              <w:rPr>
                <w:sz w:val="20"/>
                <w:szCs w:val="20"/>
                <w:color w:val="auto"/>
              </w:rPr>
            </w:pPr>
            <w:r>
              <w:rPr>
                <w:rFonts w:ascii="Times New Roman" w:cs="Times New Roman" w:eastAsia="Times New Roman" w:hAnsi="Times New Roman"/>
                <w:sz w:val="13"/>
                <w:szCs w:val="13"/>
                <w:color w:val="auto"/>
              </w:rPr>
              <w:t>($0.20 per share)</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(28,018)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(28,018)</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earnings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50,035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50,035</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957</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gridSpan w:val="2"/>
          </w:tcPr>
          <w:p>
            <w:pPr>
              <w:jc w:val="center"/>
              <w:ind w:right="2234"/>
              <w:spacing w:after="0" w:line="136" w:lineRule="exact"/>
              <w:rPr>
                <w:sz w:val="20"/>
                <w:szCs w:val="20"/>
                <w:color w:val="auto"/>
              </w:rPr>
            </w:pPr>
            <w:r>
              <w:rPr>
                <w:rFonts w:ascii="Times New Roman" w:cs="Times New Roman" w:eastAsia="Times New Roman" w:hAnsi="Times New Roman"/>
                <w:sz w:val="13"/>
                <w:szCs w:val="13"/>
                <w:b w:val="1"/>
                <w:bCs w:val="1"/>
                <w:color w:val="auto"/>
              </w:rPr>
              <w:t>Balance, June 30, 2024</w:t>
            </w:r>
          </w:p>
        </w:tc>
        <w:tc>
          <w:tcPr>
            <w:tcW w:w="9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139,677</w:t>
            </w:r>
          </w:p>
        </w:tc>
        <w:tc>
          <w:tcPr>
            <w:tcW w:w="160" w:type="dxa"/>
            <w:vAlign w:val="bottom"/>
          </w:tcPr>
          <w:p>
            <w:pPr>
              <w:spacing w:after="0"/>
              <w:rPr>
                <w:sz w:val="13"/>
                <w:szCs w:val="13"/>
                <w:color w:val="auto"/>
              </w:rPr>
            </w:pPr>
          </w:p>
        </w:tc>
        <w:tc>
          <w:tcPr>
            <w:tcW w:w="2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1,291,383</w:t>
            </w:r>
          </w:p>
        </w:tc>
        <w:tc>
          <w:tcPr>
            <w:tcW w:w="160" w:type="dxa"/>
            <w:vAlign w:val="bottom"/>
          </w:tcPr>
          <w:p>
            <w:pPr>
              <w:spacing w:after="0"/>
              <w:rPr>
                <w:sz w:val="13"/>
                <w:szCs w:val="13"/>
                <w:color w:val="auto"/>
              </w:rPr>
            </w:pPr>
          </w:p>
        </w:tc>
        <w:tc>
          <w:tcPr>
            <w:tcW w:w="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1,155,372</w:t>
            </w:r>
          </w:p>
        </w:tc>
        <w:tc>
          <w:tcPr>
            <w:tcW w:w="140" w:type="dxa"/>
            <w:vAlign w:val="bottom"/>
          </w:tcPr>
          <w:p>
            <w:pPr>
              <w:spacing w:after="0"/>
              <w:rPr>
                <w:sz w:val="13"/>
                <w:szCs w:val="13"/>
                <w:color w:val="auto"/>
              </w:rPr>
            </w:pPr>
          </w:p>
        </w:tc>
        <w:tc>
          <w:tcPr>
            <w:tcW w:w="2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9"/>
                <w:szCs w:val="9"/>
                <w:color w:val="auto"/>
              </w:rPr>
              <w:t>(334,328</w:t>
            </w:r>
            <w:r>
              <w:rPr>
                <w:rFonts w:ascii="Times New Roman" w:cs="Times New Roman" w:eastAsia="Times New Roman" w:hAnsi="Times New Roman"/>
                <w:sz w:val="15"/>
                <w:szCs w:val="15"/>
                <w:color w:val="auto"/>
                <w:vertAlign w:val="subscript"/>
              </w:rPr>
              <w:t>)</w:t>
            </w:r>
          </w:p>
        </w:tc>
        <w:tc>
          <w:tcPr>
            <w:tcW w:w="34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2,112,427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2025 and 2024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7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 Income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January 1, 2025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139,690</w:t>
            </w:r>
          </w:p>
        </w:tc>
        <w:tc>
          <w:tcPr>
            <w:tcW w:w="1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1,296,881</w:t>
            </w:r>
          </w:p>
        </w:tc>
        <w:tc>
          <w:tcPr>
            <w:tcW w:w="1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1,201,499</w:t>
            </w:r>
          </w:p>
        </w:tc>
        <w:tc>
          <w:tcPr>
            <w:tcW w:w="16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(312,064)</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2,186,316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(2,238)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(41,231)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(41,231)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Shares issued pursuant to stock-based</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compensation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($0.40 per share)</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(55,556)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(55,556)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earnings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101,668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43,932</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43,932</w:t>
            </w:r>
          </w:p>
        </w:tc>
        <w:tc>
          <w:tcPr>
            <w:tcW w:w="0" w:type="dxa"/>
            <w:vAlign w:val="bottom"/>
          </w:tcPr>
          <w:p>
            <w:pPr>
              <w:spacing w:after="0"/>
              <w:rPr>
                <w:sz w:val="1"/>
                <w:szCs w:val="1"/>
                <w:color w:val="auto"/>
              </w:rPr>
            </w:pPr>
          </w:p>
        </w:tc>
      </w:tr>
      <w:tr>
        <w:trPr>
          <w:trHeight w:val="156"/>
        </w:trPr>
        <w:tc>
          <w:tcPr>
            <w:tcW w:w="368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 June 30, 2025</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137,825</w:t>
            </w:r>
          </w:p>
        </w:tc>
        <w:tc>
          <w:tcPr>
            <w:tcW w:w="160" w:type="dxa"/>
            <w:vAlign w:val="bottom"/>
          </w:tcPr>
          <w:p>
            <w:pPr>
              <w:spacing w:after="0"/>
              <w:rPr>
                <w:sz w:val="13"/>
                <w:szCs w:val="13"/>
                <w:color w:val="auto"/>
              </w:rPr>
            </w:pPr>
          </w:p>
        </w:tc>
        <w:tc>
          <w:tcPr>
            <w:tcW w:w="2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1,260,843</w:t>
            </w:r>
          </w:p>
        </w:tc>
        <w:tc>
          <w:tcPr>
            <w:tcW w:w="140" w:type="dxa"/>
            <w:vAlign w:val="bottom"/>
          </w:tcPr>
          <w:p>
            <w:pPr>
              <w:spacing w:after="0"/>
              <w:rPr>
                <w:sz w:val="13"/>
                <w:szCs w:val="13"/>
                <w:color w:val="auto"/>
              </w:rPr>
            </w:pPr>
          </w:p>
        </w:tc>
        <w:tc>
          <w:tcPr>
            <w:tcW w:w="1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1,247,611</w:t>
            </w:r>
          </w:p>
        </w:tc>
        <w:tc>
          <w:tcPr>
            <w:tcW w:w="160" w:type="dxa"/>
            <w:vAlign w:val="bottom"/>
          </w:tcPr>
          <w:p>
            <w:pPr>
              <w:spacing w:after="0"/>
              <w:rPr>
                <w:sz w:val="13"/>
                <w:szCs w:val="13"/>
                <w:color w:val="auto"/>
              </w:rPr>
            </w:pPr>
          </w:p>
        </w:tc>
        <w:tc>
          <w:tcPr>
            <w:tcW w:w="2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9"/>
                <w:szCs w:val="9"/>
                <w:color w:val="auto"/>
              </w:rPr>
              <w:t>(268,132</w:t>
            </w:r>
            <w:r>
              <w:rPr>
                <w:rFonts w:ascii="Times New Roman" w:cs="Times New Roman" w:eastAsia="Times New Roman" w:hAnsi="Times New Roman"/>
                <w:sz w:val="15"/>
                <w:szCs w:val="15"/>
                <w:color w:val="auto"/>
                <w:vertAlign w:val="subscript"/>
              </w:rPr>
              <w:t>)</w:t>
            </w:r>
          </w:p>
        </w:tc>
        <w:tc>
          <w:tcPr>
            <w:tcW w:w="34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2,240,322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3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220" w:type="dxa"/>
            <w:vAlign w:val="bottom"/>
            <w:gridSpan w:val="2"/>
          </w:tcPr>
          <w:p>
            <w:pPr>
              <w:spacing w:after="0"/>
              <w:rPr>
                <w:sz w:val="11"/>
                <w:szCs w:val="11"/>
                <w:color w:val="auto"/>
              </w:rPr>
            </w:pPr>
          </w:p>
        </w:tc>
        <w:tc>
          <w:tcPr>
            <w:tcW w:w="34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January 1, 2024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139,345</w:t>
            </w:r>
          </w:p>
        </w:tc>
        <w:tc>
          <w:tcPr>
            <w:tcW w:w="1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1,288,899</w:t>
            </w:r>
          </w:p>
        </w:tc>
        <w:tc>
          <w:tcPr>
            <w:tcW w:w="1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1,112,642</w:t>
            </w:r>
          </w:p>
        </w:tc>
        <w:tc>
          <w:tcPr>
            <w:tcW w:w="16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(323,569)</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2,077,972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(2,594)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Shares issued pursuant to stock-based compensation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($0.40 per share)</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(55,904)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(55,904)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earnings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98,634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98,634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(10,759)</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(10,759)</w:t>
            </w:r>
          </w:p>
        </w:tc>
        <w:tc>
          <w:tcPr>
            <w:tcW w:w="0" w:type="dxa"/>
            <w:vAlign w:val="bottom"/>
          </w:tcPr>
          <w:p>
            <w:pPr>
              <w:spacing w:after="0"/>
              <w:rPr>
                <w:sz w:val="1"/>
                <w:szCs w:val="1"/>
                <w:color w:val="auto"/>
              </w:rPr>
            </w:pPr>
          </w:p>
        </w:tc>
      </w:tr>
      <w:tr>
        <w:trPr>
          <w:trHeight w:val="156"/>
        </w:trPr>
        <w:tc>
          <w:tcPr>
            <w:tcW w:w="368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 June 30, 2024</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139,677</w:t>
            </w:r>
          </w:p>
        </w:tc>
        <w:tc>
          <w:tcPr>
            <w:tcW w:w="160" w:type="dxa"/>
            <w:vAlign w:val="bottom"/>
          </w:tcPr>
          <w:p>
            <w:pPr>
              <w:spacing w:after="0"/>
              <w:rPr>
                <w:sz w:val="13"/>
                <w:szCs w:val="13"/>
                <w:color w:val="auto"/>
              </w:rPr>
            </w:pPr>
          </w:p>
        </w:tc>
        <w:tc>
          <w:tcPr>
            <w:tcW w:w="2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1,291,383</w:t>
            </w:r>
          </w:p>
        </w:tc>
        <w:tc>
          <w:tcPr>
            <w:tcW w:w="140" w:type="dxa"/>
            <w:vAlign w:val="bottom"/>
          </w:tcPr>
          <w:p>
            <w:pPr>
              <w:spacing w:after="0"/>
              <w:rPr>
                <w:sz w:val="13"/>
                <w:szCs w:val="13"/>
                <w:color w:val="auto"/>
              </w:rPr>
            </w:pPr>
          </w:p>
        </w:tc>
        <w:tc>
          <w:tcPr>
            <w:tcW w:w="1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1,155,372</w:t>
            </w:r>
          </w:p>
        </w:tc>
        <w:tc>
          <w:tcPr>
            <w:tcW w:w="160" w:type="dxa"/>
            <w:vAlign w:val="bottom"/>
          </w:tcPr>
          <w:p>
            <w:pPr>
              <w:spacing w:after="0"/>
              <w:rPr>
                <w:sz w:val="13"/>
                <w:szCs w:val="13"/>
                <w:color w:val="auto"/>
              </w:rPr>
            </w:pPr>
          </w:p>
        </w:tc>
        <w:tc>
          <w:tcPr>
            <w:tcW w:w="2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9"/>
                <w:szCs w:val="9"/>
                <w:color w:val="auto"/>
              </w:rPr>
              <w:t>(334,328</w:t>
            </w:r>
            <w:r>
              <w:rPr>
                <w:rFonts w:ascii="Times New Roman" w:cs="Times New Roman" w:eastAsia="Times New Roman" w:hAnsi="Times New Roman"/>
                <w:sz w:val="15"/>
                <w:szCs w:val="15"/>
                <w:color w:val="auto"/>
                <w:vertAlign w:val="subscript"/>
              </w:rPr>
              <w:t>)</w:t>
            </w:r>
          </w:p>
        </w:tc>
        <w:tc>
          <w:tcPr>
            <w:tcW w:w="34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2,112,427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7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r>
      <w:tr>
        <w:trPr>
          <w:trHeight w:val="168"/>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dividends received</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292,810</w:t>
            </w:r>
          </w:p>
        </w:tc>
        <w:tc>
          <w:tcPr>
            <w:tcW w:w="16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321,569</w:t>
            </w: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Service charges and other fees received</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22,299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22,099</w:t>
            </w: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paid</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(65,625)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(82,316)</w:t>
            </w: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Net cash paid to vendors, employees and others</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(131,308)</w:t>
            </w: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(114,270)</w:t>
            </w: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(23,190)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(43,462)</w:t>
            </w:r>
          </w:p>
        </w:tc>
      </w:tr>
      <w:tr>
        <w:trPr>
          <w:trHeight w:val="168"/>
        </w:trPr>
        <w:tc>
          <w:tcPr>
            <w:tcW w:w="7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94,986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103,620</w:t>
            </w: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Net change in interest-earning balances from depository institutions</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(10,524)</w:t>
            </w: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repayment of investment securities available-for-sale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137,449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170,306</w:t>
            </w: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Proceeds from maturity of investment securities available-for-sale</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48,007</w:t>
            </w: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investment securities available-for-sale</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(29,388)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(33,435)</w:t>
            </w: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Proceeds from repayment and maturity of investment securities held-to-maturity</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52,560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40,110</w:t>
            </w: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investment securities held-to-maturity</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(6,230)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(11,455)</w:t>
            </w: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Net increase in equity investments</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(18,499)</w:t>
            </w: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(2,813)</w:t>
            </w: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decrease in loan and lease finance receivables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222,728</w:t>
            </w: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Purchase of premises and equipment</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(1,946)</w:t>
            </w: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BOLI death benefit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Proceeds from sales of other real estate owned</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21,348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77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357,140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433,931</w:t>
            </w: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increase (decrease) in other deposits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(21,902)</w:t>
            </w: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Net increase in time deposits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10,397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378,585</w:t>
            </w: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decrease in other borrowings</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(270,000)</w:t>
            </w: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Net increase (decrease) in customer repurchase agreements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142,267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(2,816)</w:t>
            </w: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dividends on common stock</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(55,925)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(55,958)</w:t>
            </w: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(41,231)</w:t>
            </w: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(2,594)</w:t>
            </w: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81,812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25,358</w:t>
            </w: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increase in cash and cash equivalents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533,938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562,909</w:t>
            </w: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204,698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281,285</w:t>
            </w: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738,636</w:t>
            </w:r>
          </w:p>
        </w:tc>
        <w:tc>
          <w:tcPr>
            <w:tcW w:w="16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844,194</w:t>
            </w:r>
          </w:p>
        </w:tc>
        <w:tc>
          <w:tcPr>
            <w:tcW w:w="80" w:type="dxa"/>
            <w:vAlign w:val="bottom"/>
          </w:tcPr>
          <w:p>
            <w:pPr>
              <w:spacing w:after="0"/>
              <w:rPr>
                <w:sz w:val="14"/>
                <w:szCs w:val="14"/>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(Continued)</w:t>
      </w: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7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r>
      <w:tr>
        <w:trPr>
          <w:trHeight w:val="168"/>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Reconciliation of Net Earnings to Net Cash Provided by Operating Activities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101,668</w:t>
            </w:r>
          </w:p>
        </w:tc>
        <w:tc>
          <w:tcPr>
            <w:tcW w:w="16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98,634</w:t>
            </w:r>
          </w:p>
        </w:tc>
        <w:tc>
          <w:tcPr>
            <w:tcW w:w="80" w:type="dxa"/>
            <w:vAlign w:val="bottom"/>
          </w:tcPr>
          <w:p>
            <w:pPr>
              <w:spacing w:after="0"/>
              <w:rPr>
                <w:sz w:val="14"/>
                <w:szCs w:val="14"/>
                <w:color w:val="auto"/>
              </w:rPr>
            </w:pPr>
          </w:p>
        </w:tc>
      </w:tr>
      <w:tr>
        <w:trPr>
          <w:trHeight w:val="220"/>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2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on sale of other real estate owned</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(2,045)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Increase in BOLI</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(6,059)</w:t>
            </w: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(6,535)</w:t>
            </w: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amortization of premiums and discounts on investment securities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8,372</w:t>
            </w: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Accretion of discount for acquired loans, net</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(1,390)</w:t>
            </w: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(1,793)</w:t>
            </w: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(Recapture of) provision for credit losses</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Provision for (recapture of) unfunded loan commitments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Valuation allowance on other real estate owned</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Change in other assets and liabilities</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(17,136)</w:t>
            </w: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(3,576)</w:t>
            </w:r>
          </w:p>
        </w:tc>
      </w:tr>
      <w:tr>
        <w:trPr>
          <w:trHeight w:val="168"/>
        </w:trPr>
        <w:tc>
          <w:tcPr>
            <w:tcW w:w="77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adjustments</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(6,682)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80" w:type="dxa"/>
            <w:vAlign w:val="bottom"/>
          </w:tcPr>
          <w:p>
            <w:pPr>
              <w:spacing w:after="0"/>
              <w:rPr>
                <w:sz w:val="14"/>
                <w:szCs w:val="14"/>
                <w:color w:val="auto"/>
              </w:rPr>
            </w:pPr>
          </w:p>
        </w:tc>
      </w:tr>
      <w:tr>
        <w:trPr>
          <w:trHeight w:val="208"/>
        </w:trPr>
        <w:tc>
          <w:tcPr>
            <w:tcW w:w="7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94,986</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103,620</w:t>
            </w:r>
          </w:p>
        </w:tc>
        <w:tc>
          <w:tcPr>
            <w:tcW w:w="80" w:type="dxa"/>
            <w:vAlign w:val="bottom"/>
            <w:shd w:val="clear" w:color="auto" w:fill="CFF0FC"/>
          </w:tcPr>
          <w:p>
            <w:pPr>
              <w:spacing w:after="0"/>
              <w:rPr>
                <w:sz w:val="18"/>
                <w:szCs w:val="18"/>
                <w:color w:val="auto"/>
              </w:rPr>
            </w:pPr>
          </w:p>
        </w:tc>
      </w:tr>
      <w:tr>
        <w:trPr>
          <w:trHeight w:val="312"/>
        </w:trPr>
        <w:tc>
          <w:tcPr>
            <w:tcW w:w="7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Activities</w:t>
            </w: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68"/>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Transfer of loans to other real estate owned</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6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shd w:val="clear" w:color="auto" w:fill="CFF0FC"/>
          </w:tcPr>
          <w:p>
            <w:pPr>
              <w:spacing w:after="0"/>
              <w:rPr>
                <w:sz w:val="14"/>
                <w:szCs w:val="14"/>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8" w:name="page9"/>
    <w:bookmarkEnd w:id="8"/>
    <w:p>
      <w:pPr>
        <w:jc w:val="center"/>
        <w:ind w:right="100"/>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CVB FINANCIAL CORP. AND SUBSIDIARIES NOTES TO THE CONDENSED CONSOLIDATED FINANCIAL STATEMENTS </w:t>
      </w: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315" w:lineRule="exact"/>
        <w:rPr>
          <w:sz w:val="20"/>
          <w:szCs w:val="20"/>
          <w:color w:val="auto"/>
        </w:rPr>
      </w:pPr>
    </w:p>
    <w:p>
      <w:pPr>
        <w:ind w:left="280" w:hanging="274"/>
        <w:spacing w:after="0"/>
        <w:tabs>
          <w:tab w:leader="none" w:pos="280"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w:t>
      </w:r>
    </w:p>
    <w:p>
      <w:pPr>
        <w:spacing w:after="0" w:line="178" w:lineRule="exact"/>
        <w:rPr>
          <w:sz w:val="20"/>
          <w:szCs w:val="20"/>
          <w:color w:val="auto"/>
        </w:rPr>
      </w:pPr>
    </w:p>
    <w:p>
      <w:pPr>
        <w:ind w:right="300" w:firstLine="432"/>
        <w:spacing w:after="0" w:line="247" w:lineRule="auto"/>
        <w:rPr>
          <w:sz w:val="20"/>
          <w:szCs w:val="20"/>
          <w:color w:val="auto"/>
        </w:rPr>
      </w:pPr>
      <w:r>
        <w:rPr>
          <w:rFonts w:ascii="Times New Roman" w:cs="Times New Roman" w:eastAsia="Times New Roman" w:hAnsi="Times New Roman"/>
          <w:sz w:val="16"/>
          <w:szCs w:val="16"/>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52" w:lineRule="exact"/>
        <w:rPr>
          <w:sz w:val="20"/>
          <w:szCs w:val="20"/>
          <w:color w:val="auto"/>
        </w:rPr>
      </w:pPr>
    </w:p>
    <w:p>
      <w:pPr>
        <w:ind w:right="80" w:firstLine="432"/>
        <w:spacing w:after="0" w:line="243" w:lineRule="auto"/>
        <w:rPr>
          <w:sz w:val="20"/>
          <w:szCs w:val="20"/>
          <w:color w:val="auto"/>
        </w:rPr>
      </w:pPr>
      <w:r>
        <w:rPr>
          <w:rFonts w:ascii="Times New Roman" w:cs="Times New Roman" w:eastAsia="Times New Roman" w:hAnsi="Times New Roman"/>
          <w:sz w:val="16"/>
          <w:szCs w:val="16"/>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throughout California. As of June 30, 2025, the Bank operated 62 banking centers and three trust office locations. The Company is headquartered in the city of Ontario, California.</w:t>
      </w:r>
    </w:p>
    <w:p>
      <w:pPr>
        <w:spacing w:after="0" w:line="153" w:lineRule="exact"/>
        <w:rPr>
          <w:sz w:val="20"/>
          <w:szCs w:val="20"/>
          <w:color w:val="auto"/>
        </w:rPr>
      </w:pPr>
    </w:p>
    <w:p>
      <w:pPr>
        <w:ind w:left="280" w:hanging="274"/>
        <w:spacing w:after="0"/>
        <w:tabs>
          <w:tab w:leader="none" w:pos="28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w:t>
      </w:r>
    </w:p>
    <w:p>
      <w:pPr>
        <w:spacing w:after="0" w:line="178"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and six months ended June 30, 2025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2024, filed with the SEC. A summary of the significant accounting policies consistently applied in the preparation of the accompanying unaudited condensed consolidated financial statements follows.</w:t>
      </w:r>
    </w:p>
    <w:p>
      <w:pPr>
        <w:spacing w:after="0" w:line="130" w:lineRule="exact"/>
        <w:rPr>
          <w:sz w:val="20"/>
          <w:szCs w:val="20"/>
          <w:color w:val="auto"/>
        </w:rPr>
      </w:pPr>
    </w:p>
    <w:p>
      <w:pPr>
        <w:ind w:right="460" w:firstLine="432"/>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Reclassification </w:t>
      </w:r>
      <w:r>
        <w:rPr>
          <w:rFonts w:ascii="Times New Roman" w:cs="Times New Roman" w:eastAsia="Times New Roman" w:hAnsi="Times New Roman"/>
          <w:sz w:val="16"/>
          <w:szCs w:val="16"/>
          <w:color w:val="auto"/>
        </w:rPr>
        <w:t>— Certain amounts in the prior periods’ unaudited condensed consolidated financial statements and related footnote disclosures have been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reclassified to conform to the current presentation with no impact on previously reported net income or stockholders’ equity.</w:t>
      </w:r>
    </w:p>
    <w:p>
      <w:pPr>
        <w:spacing w:after="0" w:line="137" w:lineRule="exact"/>
        <w:rPr>
          <w:sz w:val="20"/>
          <w:szCs w:val="20"/>
          <w:color w:val="auto"/>
        </w:rPr>
      </w:pPr>
    </w:p>
    <w:p>
      <w:pPr>
        <w:ind w:left="280" w:hanging="274"/>
        <w:spacing w:after="0"/>
        <w:tabs>
          <w:tab w:leader="none" w:pos="28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76" w:lineRule="exact"/>
        <w:rPr>
          <w:sz w:val="20"/>
          <w:szCs w:val="20"/>
          <w:color w:val="auto"/>
        </w:rPr>
      </w:pPr>
    </w:p>
    <w:p>
      <w:pPr>
        <w:ind w:right="200" w:firstLine="432"/>
        <w:spacing w:after="0" w:line="262" w:lineRule="auto"/>
        <w:rPr>
          <w:sz w:val="20"/>
          <w:szCs w:val="20"/>
          <w:color w:val="auto"/>
        </w:rPr>
      </w:pPr>
      <w:r>
        <w:rPr>
          <w:rFonts w:ascii="Times New Roman" w:cs="Times New Roman" w:eastAsia="Times New Roman" w:hAnsi="Times New Roman"/>
          <w:sz w:val="16"/>
          <w:szCs w:val="16"/>
          <w:color w:val="auto"/>
        </w:rPr>
        <w:t xml:space="preserve">Except as discussed below, our accounting policies are described in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of our audited consolidated financial statements included in our Annual Report on Form 10-K for the year ended December 31, 2024 as filed with the SEC (“Form 10-K”).</w:t>
      </w:r>
    </w:p>
    <w:p>
      <w:pPr>
        <w:spacing w:after="0" w:line="136" w:lineRule="exact"/>
        <w:rPr>
          <w:sz w:val="20"/>
          <w:szCs w:val="20"/>
          <w:color w:val="auto"/>
        </w:rPr>
      </w:pPr>
    </w:p>
    <w:p>
      <w:pPr>
        <w:ind w:right="20" w:firstLine="432"/>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Use of Estimates in the Preparation of Financial Statements </w:t>
      </w:r>
      <w:r>
        <w:rPr>
          <w:rFonts w:ascii="Times New Roman" w:cs="Times New Roman" w:eastAsia="Times New Roman" w:hAnsi="Times New Roman"/>
          <w:sz w:val="14"/>
          <w:szCs w:val="14"/>
          <w:color w:val="auto"/>
        </w:rPr>
        <w:t>— The preparation of financial statements in conformity with GAAP requires management to make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124" w:lineRule="exact"/>
        <w:rPr>
          <w:sz w:val="20"/>
          <w:szCs w:val="20"/>
          <w:color w:val="auto"/>
        </w:rPr>
      </w:pPr>
    </w:p>
    <w:p>
      <w:pPr>
        <w:jc w:val="both"/>
        <w:ind w:right="80" w:firstLine="432"/>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Business Segments </w:t>
      </w:r>
      <w:r>
        <w:rPr>
          <w:rFonts w:ascii="Times New Roman" w:cs="Times New Roman" w:eastAsia="Times New Roman" w:hAnsi="Times New Roman"/>
          <w:sz w:val="16"/>
          <w:szCs w:val="16"/>
          <w:color w:val="auto"/>
        </w:rPr>
        <w:t>— We regularly assess our strategic plans, operations, reporting structures and financial information provided to the Chief Executive Officer,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chief operating decision maker ("CODM"), to identify our reportable segments. At June 30, 2025 and since September 30, 2018, we have operated as one reportable segment. Changes to our reportable segments are expected to be infrequent.</w:t>
      </w:r>
    </w:p>
    <w:p>
      <w:pPr>
        <w:spacing w:after="0" w:line="152" w:lineRule="exact"/>
        <w:rPr>
          <w:sz w:val="20"/>
          <w:szCs w:val="20"/>
          <w:color w:val="auto"/>
        </w:rPr>
      </w:pPr>
    </w:p>
    <w:p>
      <w:pPr>
        <w:jc w:val="both"/>
        <w:ind w:right="60" w:firstLine="432"/>
        <w:spacing w:after="0" w:line="242" w:lineRule="auto"/>
        <w:rPr>
          <w:sz w:val="20"/>
          <w:szCs w:val="20"/>
          <w:color w:val="auto"/>
        </w:rPr>
      </w:pPr>
      <w:r>
        <w:rPr>
          <w:rFonts w:ascii="Times New Roman" w:cs="Times New Roman" w:eastAsia="Times New Roman" w:hAnsi="Times New Roman"/>
          <w:sz w:val="16"/>
          <w:szCs w:val="16"/>
          <w:color w:val="auto"/>
        </w:rPr>
        <w:t>The factors considered in making this determination included the nature of products and services offered, geographic regions in which we operate, the applicable regulatory environment, and the materiality of discrete financial information reviewed by our CODM. Through our network of banking centers, we provide relationship-based banking products, services</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19" w:right="640" w:bottom="1440" w:gutter="0" w:footer="0" w:header="0"/>
        </w:sectPr>
      </w:pPr>
    </w:p>
    <w:bookmarkStart w:id="9" w:name="page10"/>
    <w:bookmarkEnd w:id="9"/>
    <w:p>
      <w:pPr>
        <w:jc w:val="both"/>
        <w:ind w:right="420"/>
        <w:spacing w:after="0" w:line="243" w:lineRule="auto"/>
        <w:rPr>
          <w:sz w:val="20"/>
          <w:szCs w:val="20"/>
          <w:color w:val="auto"/>
        </w:rPr>
      </w:pPr>
      <w:r>
        <w:rPr>
          <w:rFonts w:ascii="Times New Roman" w:cs="Times New Roman" w:eastAsia="Times New Roman" w:hAnsi="Times New Roman"/>
          <w:sz w:val="16"/>
          <w:szCs w:val="16"/>
          <w:color w:val="auto"/>
        </w:rPr>
        <w:t>and solutions for small to mid-sized companies, real estate investors, non-profit organizations, professionals and other individuals. Our products include loans for commercial businesses, commercial real estate, multi-family, construction, land, dairy &amp; livestock and agribusiness, consumer and government-guaranteed small business loans. We also provide business deposit products and treasury cash management services, as well as deposit products to the owners and employees of the businesses we serve. Our operations are throughout the state of California.</w:t>
      </w:r>
    </w:p>
    <w:p>
      <w:pPr>
        <w:spacing w:after="0" w:line="153" w:lineRule="exact"/>
        <w:rPr>
          <w:sz w:val="20"/>
          <w:szCs w:val="20"/>
          <w:color w:val="auto"/>
        </w:rPr>
      </w:pPr>
    </w:p>
    <w:p>
      <w:pPr>
        <w:ind w:right="20" w:firstLine="432"/>
        <w:spacing w:after="0" w:line="239" w:lineRule="auto"/>
        <w:rPr>
          <w:sz w:val="20"/>
          <w:szCs w:val="20"/>
          <w:color w:val="auto"/>
        </w:rPr>
      </w:pPr>
      <w:r>
        <w:rPr>
          <w:rFonts w:ascii="Times New Roman" w:cs="Times New Roman" w:eastAsia="Times New Roman" w:hAnsi="Times New Roman"/>
          <w:sz w:val="16"/>
          <w:szCs w:val="16"/>
          <w:color w:val="auto"/>
        </w:rPr>
        <w:t xml:space="preserve">The Company has determined that all of its banking divisions meet the aggregation criteria of ASU 2023-07,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as its current operating model is structured whereby banking divisions serve a similar base of primarily commercial clients utilizing a company-wide offering of similar products and services managed through similar processes and platforms, and therefore operates one line of business that is collectively reviewed by the CODM. The CODM regularly assesses performance of the aggregated single reporting segment and decides how to allocate resources based on net income calculated on the same basis as net income reported in the Company's consolidated statements of earnings and comprehensive income. The CODM is also regularly provided with expense information at a level consistent with that disclosed in the Company's consolidated statements of earnings and comprehensive income. No additional qualitative segment disclosures are required based on this assessment.</w:t>
      </w:r>
    </w:p>
    <w:p>
      <w:pPr>
        <w:spacing w:after="0" w:line="338" w:lineRule="exact"/>
        <w:rPr>
          <w:sz w:val="20"/>
          <w:szCs w:val="20"/>
          <w:color w:val="auto"/>
        </w:rPr>
      </w:pPr>
    </w:p>
    <w:p>
      <w:pPr>
        <w:ind w:left="280" w:hanging="274"/>
        <w:spacing w:after="0"/>
        <w:tabs>
          <w:tab w:leader="none" w:pos="28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 SECURITIES</w:t>
      </w:r>
    </w:p>
    <w:p>
      <w:pPr>
        <w:spacing w:after="0" w:line="178" w:lineRule="exact"/>
        <w:rPr>
          <w:sz w:val="20"/>
          <w:szCs w:val="20"/>
          <w:color w:val="auto"/>
        </w:rPr>
      </w:pPr>
    </w:p>
    <w:p>
      <w:pPr>
        <w:ind w:right="120" w:firstLine="432"/>
        <w:spacing w:after="0" w:line="247" w:lineRule="auto"/>
        <w:rPr>
          <w:sz w:val="20"/>
          <w:szCs w:val="20"/>
          <w:color w:val="auto"/>
        </w:rPr>
      </w:pPr>
      <w:r>
        <w:rPr>
          <w:rFonts w:ascii="Times New Roman" w:cs="Times New Roman" w:eastAsia="Times New Roman" w:hAnsi="Times New Roman"/>
          <w:sz w:val="16"/>
          <w:szCs w:val="16"/>
          <w:color w:val="auto"/>
        </w:rPr>
        <w:t>The amortized cost and estimated fair value of investment securities are summarized below. The majority of securities held are available-for-sale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17"/>
                <w:szCs w:val="17"/>
                <w:color w:val="auto"/>
              </w:rPr>
            </w:pPr>
          </w:p>
        </w:tc>
        <w:tc>
          <w:tcPr>
            <w:tcW w:w="13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00" w:type="dxa"/>
            <w:vAlign w:val="bottom"/>
          </w:tcPr>
          <w:p>
            <w:pPr>
              <w:spacing w:after="0"/>
              <w:rPr>
                <w:sz w:val="15"/>
                <w:szCs w:val="15"/>
                <w:color w:val="auto"/>
              </w:rPr>
            </w:pPr>
          </w:p>
        </w:tc>
        <w:tc>
          <w:tcPr>
            <w:tcW w:w="134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Holding Gain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7"/>
              </w:rPr>
              <w:t>Holding Loss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 Percent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34,369</w:t>
            </w:r>
          </w:p>
        </w:tc>
        <w:tc>
          <w:tcPr>
            <w:tcW w:w="160" w:type="dxa"/>
            <w:vAlign w:val="bottom"/>
          </w:tcPr>
          <w:p>
            <w:pPr>
              <w:spacing w:after="0"/>
              <w:rPr>
                <w:sz w:val="15"/>
                <w:szCs w:val="15"/>
                <w:color w:val="auto"/>
              </w:rPr>
            </w:pP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5"/>
                <w:szCs w:val="15"/>
                <w:color w:val="auto"/>
              </w:rPr>
            </w:pPr>
          </w:p>
        </w:tc>
        <w:tc>
          <w:tcPr>
            <w:tcW w:w="3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34,372</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2,329,953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1,339</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(251,108)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2,080,184</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462,422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(112,812)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349,610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21,770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(1,179)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20,619</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securities</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1,521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1,521</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Unallocated portfolio layer fair value basis</w:t>
            </w: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(1)</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(9,585)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9,585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840" w:type="dxa"/>
            <w:vAlign w:val="bottom"/>
            <w:gridSpan w:val="2"/>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2,840,450</w:t>
            </w:r>
          </w:p>
        </w:tc>
        <w:tc>
          <w:tcPr>
            <w:tcW w:w="160" w:type="dxa"/>
            <w:vAlign w:val="bottom"/>
          </w:tcPr>
          <w:p>
            <w:pPr>
              <w:spacing w:after="0"/>
              <w:rPr>
                <w:sz w:val="15"/>
                <w:szCs w:val="15"/>
                <w:color w:val="auto"/>
              </w:rPr>
            </w:pPr>
          </w:p>
        </w:tc>
        <w:tc>
          <w:tcPr>
            <w:tcW w:w="22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10,957</w:t>
            </w:r>
          </w:p>
        </w:tc>
        <w:tc>
          <w:tcPr>
            <w:tcW w:w="80" w:type="dxa"/>
            <w:vAlign w:val="bottom"/>
          </w:tcPr>
          <w:p>
            <w:pPr>
              <w:spacing w:after="0"/>
              <w:rPr>
                <w:sz w:val="15"/>
                <w:szCs w:val="15"/>
                <w:color w:val="auto"/>
              </w:rPr>
            </w:pPr>
          </w:p>
        </w:tc>
        <w:tc>
          <w:tcPr>
            <w:tcW w:w="32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(365,101</w:t>
            </w:r>
            <w:r>
              <w:rPr>
                <w:rFonts w:ascii="Times New Roman" w:cs="Times New Roman" w:eastAsia="Times New Roman" w:hAnsi="Times New Roman"/>
                <w:sz w:val="18"/>
                <w:szCs w:val="18"/>
                <w:color w:val="auto"/>
                <w:vertAlign w:val="subscript"/>
              </w:rPr>
              <w:t>)</w:t>
            </w:r>
          </w:p>
        </w:tc>
        <w:tc>
          <w:tcPr>
            <w:tcW w:w="26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2,486,306</w:t>
            </w:r>
          </w:p>
        </w:tc>
        <w:tc>
          <w:tcPr>
            <w:tcW w:w="240" w:type="dxa"/>
            <w:vAlign w:val="bottom"/>
          </w:tcPr>
          <w:p>
            <w:pPr>
              <w:spacing w:after="0"/>
              <w:rPr>
                <w:sz w:val="15"/>
                <w:szCs w:val="15"/>
                <w:color w:val="auto"/>
              </w:rPr>
            </w:pPr>
          </w:p>
        </w:tc>
        <w:tc>
          <w:tcPr>
            <w:tcW w:w="11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506,465</w:t>
            </w: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(91,663)</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414,802</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583,542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(98,102)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485,440</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770,567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(160,170)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610,397</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33.11%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448,971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(42,898)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406,432</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 xml:space="preserve">Other securities </w:t>
            </w:r>
            <w:r>
              <w:rPr>
                <w:rFonts w:ascii="Times New Roman" w:cs="Times New Roman" w:eastAsia="Times New Roman" w:hAnsi="Times New Roman"/>
                <w:sz w:val="20"/>
                <w:szCs w:val="20"/>
                <w:color w:val="auto"/>
                <w:vertAlign w:val="superscript"/>
              </w:rPr>
              <w:t>(2)</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17,685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17,685</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0.76%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0" w:type="dxa"/>
            <w:vAlign w:val="bottom"/>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held-to-maturity securities</w:t>
            </w:r>
          </w:p>
        </w:tc>
        <w:tc>
          <w:tcPr>
            <w:tcW w:w="840" w:type="dxa"/>
            <w:vAlign w:val="bottom"/>
            <w:gridSpan w:val="2"/>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2,327,230</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ind w:left="2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(392,833</w:t>
            </w:r>
            <w:r>
              <w:rPr>
                <w:rFonts w:ascii="Times New Roman" w:cs="Times New Roman" w:eastAsia="Times New Roman" w:hAnsi="Times New Roman"/>
                <w:sz w:val="18"/>
                <w:szCs w:val="18"/>
                <w:color w:val="auto"/>
                <w:vertAlign w:val="subscript"/>
              </w:rPr>
              <w:t>)</w:t>
            </w:r>
          </w:p>
        </w:tc>
        <w:tc>
          <w:tcPr>
            <w:tcW w:w="26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1,934,756</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60" w:right="100"/>
        <w:spacing w:after="0" w:line="268" w:lineRule="auto"/>
        <w:rPr>
          <w:sz w:val="20"/>
          <w:szCs w:val="20"/>
          <w:color w:val="auto"/>
        </w:rPr>
      </w:pPr>
      <w:r>
        <w:rPr>
          <w:rFonts w:ascii="Times New Roman" w:cs="Times New Roman" w:eastAsia="Times New Roman" w:hAnsi="Times New Roman"/>
          <w:sz w:val="13"/>
          <w:szCs w:val="13"/>
          <w:color w:val="auto"/>
        </w:rPr>
        <w:t>(1)Represents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9 for additional information.</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(2)Represents Commercial Property Assessed Clean Energy ("C-PACE") bonds.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523240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0" w:name="page11"/>
    <w:bookmarkEnd w:id="10"/>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00" w:type="dxa"/>
            <w:vAlign w:val="bottom"/>
          </w:tcPr>
          <w:p>
            <w:pPr>
              <w:spacing w:after="0"/>
              <w:rPr>
                <w:sz w:val="15"/>
                <w:szCs w:val="15"/>
                <w:color w:val="auto"/>
              </w:rPr>
            </w:pPr>
          </w:p>
        </w:tc>
        <w:tc>
          <w:tcPr>
            <w:tcW w:w="134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Holding Gain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7"/>
              </w:rPr>
              <w:t>Holding Loss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 Percent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34,149</w:t>
            </w:r>
          </w:p>
        </w:tc>
        <w:tc>
          <w:tcPr>
            <w:tcW w:w="140" w:type="dxa"/>
            <w:vAlign w:val="bottom"/>
          </w:tcPr>
          <w:p>
            <w:pPr>
              <w:spacing w:after="0"/>
              <w:rPr>
                <w:sz w:val="15"/>
                <w:szCs w:val="15"/>
                <w:color w:val="auto"/>
              </w:rPr>
            </w:pPr>
          </w:p>
        </w:tc>
        <w:tc>
          <w:tcPr>
            <w:tcW w:w="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5"/>
                <w:szCs w:val="15"/>
                <w:color w:val="auto"/>
              </w:rPr>
            </w:pPr>
          </w:p>
        </w:tc>
        <w:tc>
          <w:tcPr>
            <w:tcW w:w="3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34,255</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2,460,573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337</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(326,376)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2,134,534</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471,921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(120,399)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351,522</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21,755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(1,406)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20,377</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securities</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Unallocated portfolio layer fair value basis</w:t>
            </w: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(1)</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7,222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(7,222)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840" w:type="dxa"/>
            <w:vAlign w:val="bottom"/>
            <w:gridSpan w:val="2"/>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2,997,047</w:t>
            </w:r>
          </w:p>
        </w:tc>
        <w:tc>
          <w:tcPr>
            <w:tcW w:w="140" w:type="dxa"/>
            <w:vAlign w:val="bottom"/>
          </w:tcPr>
          <w:p>
            <w:pPr>
              <w:spacing w:after="0"/>
              <w:rPr>
                <w:sz w:val="15"/>
                <w:szCs w:val="15"/>
                <w:color w:val="auto"/>
              </w:rPr>
            </w:pPr>
          </w:p>
        </w:tc>
        <w:tc>
          <w:tcPr>
            <w:tcW w:w="24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471</w:t>
            </w:r>
          </w:p>
        </w:tc>
        <w:tc>
          <w:tcPr>
            <w:tcW w:w="80" w:type="dxa"/>
            <w:vAlign w:val="bottom"/>
          </w:tcPr>
          <w:p>
            <w:pPr>
              <w:spacing w:after="0"/>
              <w:rPr>
                <w:sz w:val="15"/>
                <w:szCs w:val="15"/>
                <w:color w:val="auto"/>
              </w:rPr>
            </w:pPr>
          </w:p>
        </w:tc>
        <w:tc>
          <w:tcPr>
            <w:tcW w:w="32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(455,403</w:t>
            </w:r>
            <w:r>
              <w:rPr>
                <w:rFonts w:ascii="Times New Roman" w:cs="Times New Roman" w:eastAsia="Times New Roman" w:hAnsi="Times New Roman"/>
                <w:sz w:val="18"/>
                <w:szCs w:val="18"/>
                <w:color w:val="auto"/>
                <w:vertAlign w:val="subscript"/>
              </w:rPr>
              <w:t>)</w:t>
            </w:r>
          </w:p>
        </w:tc>
        <w:tc>
          <w:tcPr>
            <w:tcW w:w="26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2,542,115</w:t>
            </w:r>
          </w:p>
        </w:tc>
        <w:tc>
          <w:tcPr>
            <w:tcW w:w="240" w:type="dxa"/>
            <w:vAlign w:val="bottom"/>
          </w:tcPr>
          <w:p>
            <w:pPr>
              <w:spacing w:after="0"/>
              <w:rPr>
                <w:sz w:val="15"/>
                <w:szCs w:val="15"/>
                <w:color w:val="auto"/>
              </w:rPr>
            </w:pPr>
          </w:p>
        </w:tc>
        <w:tc>
          <w:tcPr>
            <w:tcW w:w="11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514,572</w:t>
            </w:r>
          </w:p>
        </w:tc>
        <w:tc>
          <w:tcPr>
            <w:tcW w:w="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(106,315)</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408,257</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614,383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(110,020)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504,363</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784,059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(170,121)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613,938</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32.95%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455,199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1,158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(40,025)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416,332</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 xml:space="preserve">Other securities </w:t>
            </w:r>
            <w:r>
              <w:rPr>
                <w:rFonts w:ascii="Times New Roman" w:cs="Times New Roman" w:eastAsia="Times New Roman" w:hAnsi="Times New Roman"/>
                <w:sz w:val="20"/>
                <w:szCs w:val="20"/>
                <w:color w:val="auto"/>
                <w:vertAlign w:val="superscript"/>
              </w:rPr>
              <w:t>(2)</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11,455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11,455</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0" w:type="dxa"/>
            <w:vAlign w:val="bottom"/>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held-to-maturity securities</w:t>
            </w:r>
          </w:p>
        </w:tc>
        <w:tc>
          <w:tcPr>
            <w:tcW w:w="840" w:type="dxa"/>
            <w:vAlign w:val="bottom"/>
            <w:gridSpan w:val="2"/>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2,379,668</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1,158</w:t>
            </w:r>
          </w:p>
        </w:tc>
        <w:tc>
          <w:tcPr>
            <w:tcW w:w="320" w:type="dxa"/>
            <w:vAlign w:val="bottom"/>
            <w:gridSpan w:val="2"/>
            <w:shd w:val="clear" w:color="auto" w:fill="CFF0FC"/>
          </w:tcPr>
          <w:p>
            <w:pPr>
              <w:ind w:left="2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(426,481</w:t>
            </w:r>
            <w:r>
              <w:rPr>
                <w:rFonts w:ascii="Times New Roman" w:cs="Times New Roman" w:eastAsia="Times New Roman" w:hAnsi="Times New Roman"/>
                <w:sz w:val="18"/>
                <w:szCs w:val="18"/>
                <w:color w:val="auto"/>
                <w:vertAlign w:val="subscript"/>
              </w:rPr>
              <w:t>)</w:t>
            </w:r>
          </w:p>
        </w:tc>
        <w:tc>
          <w:tcPr>
            <w:tcW w:w="26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1,954,345</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60" w:right="100"/>
        <w:spacing w:after="0" w:line="258" w:lineRule="auto"/>
        <w:rPr>
          <w:sz w:val="20"/>
          <w:szCs w:val="20"/>
          <w:color w:val="auto"/>
        </w:rPr>
      </w:pPr>
      <w:r>
        <w:rPr>
          <w:rFonts w:ascii="Times New Roman" w:cs="Times New Roman" w:eastAsia="Times New Roman" w:hAnsi="Times New Roman"/>
          <w:sz w:val="13"/>
          <w:szCs w:val="13"/>
          <w:color w:val="auto"/>
        </w:rPr>
        <w:t>(1)Represents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9 for additional information.</w:t>
      </w:r>
    </w:p>
    <w:p>
      <w:pPr>
        <w:ind w:left="360"/>
        <w:spacing w:after="0"/>
        <w:rPr>
          <w:sz w:val="20"/>
          <w:szCs w:val="20"/>
          <w:color w:val="auto"/>
        </w:rPr>
      </w:pPr>
      <w:r>
        <w:rPr>
          <w:rFonts w:ascii="Times New Roman" w:cs="Times New Roman" w:eastAsia="Times New Roman" w:hAnsi="Times New Roman"/>
          <w:sz w:val="13"/>
          <w:szCs w:val="13"/>
          <w:color w:val="auto"/>
        </w:rPr>
        <w:t>(2)Represents Commercial Property Assessed Clean Energy ("C-PACE") bonds.</w:t>
      </w:r>
    </w:p>
    <w:p>
      <w:pPr>
        <w:spacing w:after="0" w:line="171" w:lineRule="exact"/>
        <w:rPr>
          <w:sz w:val="20"/>
          <w:szCs w:val="20"/>
          <w:color w:val="auto"/>
        </w:rPr>
      </w:pPr>
    </w:p>
    <w:p>
      <w:pPr>
        <w:ind w:right="20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provides information about the amount of interest income earned on investment securities which is fully taxable and which is exempt from regular federal income tax.</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80"/>
        </w:trPr>
        <w:tc>
          <w:tcPr>
            <w:tcW w:w="5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r>
      <w:tr>
        <w:trPr>
          <w:trHeight w:val="182"/>
        </w:trPr>
        <w:tc>
          <w:tcPr>
            <w:tcW w:w="5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56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Taxable</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18,154</w:t>
            </w:r>
          </w:p>
        </w:tc>
        <w:tc>
          <w:tcPr>
            <w:tcW w:w="300" w:type="dxa"/>
            <w:vAlign w:val="bottom"/>
          </w:tcPr>
          <w:p>
            <w:pPr>
              <w:spacing w:after="0"/>
              <w:rPr>
                <w:sz w:val="15"/>
                <w:szCs w:val="15"/>
                <w:color w:val="auto"/>
              </w:rPr>
            </w:pP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21,057</w:t>
            </w:r>
          </w:p>
        </w:tc>
        <w:tc>
          <w:tcPr>
            <w:tcW w:w="160" w:type="dxa"/>
            <w:vAlign w:val="bottom"/>
          </w:tcPr>
          <w:p>
            <w:pPr>
              <w:spacing w:after="0"/>
              <w:rPr>
                <w:sz w:val="15"/>
                <w:szCs w:val="15"/>
                <w:color w:val="auto"/>
              </w:rPr>
            </w:pPr>
          </w:p>
        </w:tc>
        <w:tc>
          <w:tcPr>
            <w:tcW w:w="36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36,744</w:t>
            </w:r>
          </w:p>
        </w:tc>
        <w:tc>
          <w:tcPr>
            <w:tcW w:w="280" w:type="dxa"/>
            <w:vAlign w:val="bottom"/>
          </w:tcPr>
          <w:p>
            <w:pPr>
              <w:spacing w:after="0"/>
              <w:rPr>
                <w:sz w:val="15"/>
                <w:szCs w:val="15"/>
                <w:color w:val="auto"/>
              </w:rPr>
            </w:pP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42,337</w:t>
            </w:r>
          </w:p>
        </w:tc>
        <w:tc>
          <w:tcPr>
            <w:tcW w:w="80" w:type="dxa"/>
            <w:vAlign w:val="bottom"/>
          </w:tcPr>
          <w:p>
            <w:pPr>
              <w:spacing w:after="0"/>
              <w:rPr>
                <w:sz w:val="15"/>
                <w:szCs w:val="15"/>
                <w:color w:val="auto"/>
              </w:rPr>
            </w:pPr>
          </w:p>
        </w:tc>
      </w:tr>
      <w:tr>
        <w:trPr>
          <w:trHeight w:val="180"/>
        </w:trPr>
        <w:tc>
          <w:tcPr>
            <w:tcW w:w="56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Tax-advantaged</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145</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168</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289</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334</w:t>
            </w:r>
          </w:p>
        </w:tc>
        <w:tc>
          <w:tcPr>
            <w:tcW w:w="80" w:type="dxa"/>
            <w:vAlign w:val="bottom"/>
            <w:shd w:val="clear" w:color="auto" w:fill="CFF0FC"/>
          </w:tcPr>
          <w:p>
            <w:pPr>
              <w:spacing w:after="0"/>
              <w:rPr>
                <w:sz w:val="15"/>
                <w:szCs w:val="15"/>
                <w:color w:val="auto"/>
              </w:rPr>
            </w:pPr>
          </w:p>
        </w:tc>
      </w:tr>
      <w:tr>
        <w:trPr>
          <w:trHeight w:val="180"/>
        </w:trPr>
        <w:tc>
          <w:tcPr>
            <w:tcW w:w="56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interest income from available-for-sale securities</w:t>
            </w: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18,299</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21,225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37,033</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42,671</w:t>
            </w:r>
          </w:p>
        </w:tc>
        <w:tc>
          <w:tcPr>
            <w:tcW w:w="80" w:type="dxa"/>
            <w:vAlign w:val="bottom"/>
          </w:tcPr>
          <w:p>
            <w:pPr>
              <w:spacing w:after="0"/>
              <w:rPr>
                <w:sz w:val="15"/>
                <w:szCs w:val="15"/>
                <w:color w:val="auto"/>
              </w:rPr>
            </w:pPr>
          </w:p>
        </w:tc>
      </w:tr>
      <w:tr>
        <w:trPr>
          <w:trHeight w:val="180"/>
        </w:trPr>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56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Taxable</w:t>
            </w: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10,537</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11,050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21,196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22,034</w:t>
            </w:r>
          </w:p>
        </w:tc>
        <w:tc>
          <w:tcPr>
            <w:tcW w:w="80" w:type="dxa"/>
            <w:vAlign w:val="bottom"/>
          </w:tcPr>
          <w:p>
            <w:pPr>
              <w:spacing w:after="0"/>
              <w:rPr>
                <w:sz w:val="15"/>
                <w:szCs w:val="15"/>
                <w:color w:val="auto"/>
              </w:rPr>
            </w:pPr>
          </w:p>
        </w:tc>
      </w:tr>
      <w:tr>
        <w:trPr>
          <w:trHeight w:val="180"/>
        </w:trPr>
        <w:tc>
          <w:tcPr>
            <w:tcW w:w="56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Tax-advantaged</w:t>
            </w: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2,349</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2,395</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4,711</w:t>
            </w:r>
          </w:p>
        </w:tc>
        <w:tc>
          <w:tcPr>
            <w:tcW w:w="2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4,813</w:t>
            </w:r>
          </w:p>
        </w:tc>
      </w:tr>
      <w:tr>
        <w:trPr>
          <w:trHeight w:val="180"/>
        </w:trPr>
        <w:tc>
          <w:tcPr>
            <w:tcW w:w="56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interest income from held-to-maturity securities</w:t>
            </w: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12,886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13,445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25,907</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26,847</w:t>
            </w:r>
          </w:p>
        </w:tc>
        <w:tc>
          <w:tcPr>
            <w:tcW w:w="80" w:type="dxa"/>
            <w:vAlign w:val="bottom"/>
          </w:tcPr>
          <w:p>
            <w:pPr>
              <w:spacing w:after="0"/>
              <w:rPr>
                <w:sz w:val="15"/>
                <w:szCs w:val="15"/>
                <w:color w:val="auto"/>
              </w:rPr>
            </w:pPr>
          </w:p>
        </w:tc>
      </w:tr>
      <w:tr>
        <w:trPr>
          <w:trHeight w:val="220"/>
        </w:trPr>
        <w:tc>
          <w:tcPr>
            <w:tcW w:w="5620" w:type="dxa"/>
            <w:vAlign w:val="bottom"/>
            <w:tcBorders>
              <w:bottom w:val="single" w:sz="8" w:color="CFF0FC"/>
            </w:tcBorders>
            <w:shd w:val="clear" w:color="auto" w:fill="CFF0FC"/>
          </w:tcPr>
          <w:p>
            <w:pPr>
              <w:ind w:left="260"/>
              <w:spacing w:after="0" w:line="160" w:lineRule="exact"/>
              <w:rPr>
                <w:sz w:val="20"/>
                <w:szCs w:val="20"/>
                <w:color w:val="auto"/>
              </w:rPr>
            </w:pPr>
            <w:r>
              <w:rPr>
                <w:rFonts w:ascii="Times New Roman" w:cs="Times New Roman" w:eastAsia="Times New Roman" w:hAnsi="Times New Roman"/>
                <w:sz w:val="16"/>
                <w:szCs w:val="16"/>
                <w:color w:val="auto"/>
              </w:rPr>
              <w:t>Total interest income from investment securities</w:t>
            </w:r>
          </w:p>
        </w:tc>
        <w:tc>
          <w:tcPr>
            <w:tcW w:w="260" w:type="dxa"/>
            <w:vAlign w:val="bottom"/>
            <w:tcBorders>
              <w:bottom w:val="single" w:sz="8" w:color="auto"/>
            </w:tcBorders>
            <w:shd w:val="clear" w:color="auto" w:fill="CFF0FC"/>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31,185</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34,670</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62,940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69,518</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67" w:lineRule="exact"/>
        <w:rPr>
          <w:sz w:val="20"/>
          <w:szCs w:val="20"/>
          <w:color w:val="auto"/>
        </w:rPr>
      </w:pPr>
    </w:p>
    <w:p>
      <w:pPr>
        <w:ind w:right="160" w:firstLine="432"/>
        <w:spacing w:after="0" w:line="299" w:lineRule="auto"/>
        <w:rPr>
          <w:sz w:val="20"/>
          <w:szCs w:val="20"/>
          <w:color w:val="auto"/>
        </w:rPr>
      </w:pPr>
      <w:r>
        <w:rPr>
          <w:rFonts w:ascii="Times New Roman" w:cs="Times New Roman" w:eastAsia="Times New Roman" w:hAnsi="Times New Roman"/>
          <w:sz w:val="14"/>
          <w:szCs w:val="14"/>
          <w:color w:val="auto"/>
        </w:rPr>
        <w:t>Approximately 90% of the total investment securities portfolio at June 30, 2025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CECL model was zero at June 30, 2025 and December 31, 2024.</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 w:name="page12"/>
    <w:bookmarkEnd w:id="11"/>
    <w:p>
      <w:pPr>
        <w:ind w:right="12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Company’s available-for- sale and held-to-maturity investment securities, by investment category, in an unrealized loss position for which an allowance for credit losses has not been recorded as of June 30, 2025 and December 31,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4"/>
                <w:szCs w:val="14"/>
                <w:color w:val="auto"/>
              </w:rPr>
            </w:pP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4,914</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4,914</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192,892</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1,725,631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(250,072)</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1,918,523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(251,108)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(112,812)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349,609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(112,812)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19,696</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19,696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Total available-for-sale securities</w:t>
            </w:r>
          </w:p>
        </w:tc>
        <w:tc>
          <w:tcPr>
            <w:tcW w:w="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197,806</w:t>
            </w:r>
          </w:p>
        </w:tc>
        <w:tc>
          <w:tcPr>
            <w:tcW w:w="400" w:type="dxa"/>
            <w:vAlign w:val="bottom"/>
            <w:gridSpan w:val="2"/>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(1,038</w:t>
            </w:r>
            <w:r>
              <w:rPr>
                <w:rFonts w:ascii="Times New Roman" w:cs="Times New Roman" w:eastAsia="Times New Roman" w:hAnsi="Times New Roman"/>
                <w:sz w:val="17"/>
                <w:szCs w:val="17"/>
                <w:color w:val="auto"/>
                <w:vertAlign w:val="subscript"/>
              </w:rPr>
              <w:t>)</w:t>
            </w:r>
          </w:p>
        </w:tc>
        <w:tc>
          <w:tcPr>
            <w:tcW w:w="24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2,094,936</w:t>
            </w:r>
          </w:p>
        </w:tc>
        <w:tc>
          <w:tcPr>
            <w:tcW w:w="400" w:type="dxa"/>
            <w:vAlign w:val="bottom"/>
            <w:gridSpan w:val="2"/>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(364,063</w:t>
            </w:r>
            <w:r>
              <w:rPr>
                <w:rFonts w:ascii="Times New Roman" w:cs="Times New Roman" w:eastAsia="Times New Roman" w:hAnsi="Times New Roman"/>
                <w:sz w:val="17"/>
                <w:szCs w:val="17"/>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2,292,742</w:t>
            </w:r>
          </w:p>
        </w:tc>
        <w:tc>
          <w:tcPr>
            <w:tcW w:w="360" w:type="dxa"/>
            <w:vAlign w:val="bottom"/>
            <w:gridSpan w:val="2"/>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(365,101</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414,802</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(91,663)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414,802</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(91,663)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483,518</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(98,097)</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485,440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(98,102)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610,397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(160,170)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610,397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(160,170)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89,306</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(3,976)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292,372</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(38,922)</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381,678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(42,898)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Total held-to-maturity securities</w:t>
            </w:r>
          </w:p>
        </w:tc>
        <w:tc>
          <w:tcPr>
            <w:tcW w:w="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91,228</w:t>
            </w:r>
          </w:p>
        </w:tc>
        <w:tc>
          <w:tcPr>
            <w:tcW w:w="400" w:type="dxa"/>
            <w:vAlign w:val="bottom"/>
            <w:gridSpan w:val="2"/>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(3,981</w:t>
            </w:r>
            <w:r>
              <w:rPr>
                <w:rFonts w:ascii="Times New Roman" w:cs="Times New Roman" w:eastAsia="Times New Roman" w:hAnsi="Times New Roman"/>
                <w:sz w:val="17"/>
                <w:szCs w:val="17"/>
                <w:color w:val="auto"/>
                <w:vertAlign w:val="subscript"/>
              </w:rPr>
              <w:t>)</w:t>
            </w:r>
          </w:p>
        </w:tc>
        <w:tc>
          <w:tcPr>
            <w:tcW w:w="24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1,801,089</w:t>
            </w:r>
          </w:p>
        </w:tc>
        <w:tc>
          <w:tcPr>
            <w:tcW w:w="400" w:type="dxa"/>
            <w:vAlign w:val="bottom"/>
            <w:gridSpan w:val="2"/>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(388,852</w:t>
            </w:r>
            <w:r>
              <w:rPr>
                <w:rFonts w:ascii="Times New Roman" w:cs="Times New Roman" w:eastAsia="Times New Roman" w:hAnsi="Times New Roman"/>
                <w:sz w:val="17"/>
                <w:szCs w:val="17"/>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1,892,317</w:t>
            </w:r>
          </w:p>
        </w:tc>
        <w:tc>
          <w:tcPr>
            <w:tcW w:w="360" w:type="dxa"/>
            <w:vAlign w:val="bottom"/>
            <w:gridSpan w:val="2"/>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(392,833</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4"/>
                <w:szCs w:val="14"/>
                <w:color w:val="auto"/>
              </w:rPr>
            </w:pP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204,428</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1,757,066</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(325,677)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1,961,494</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351,521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line="216" w:lineRule="exact"/>
              <w:rPr>
                <w:sz w:val="20"/>
                <w:szCs w:val="20"/>
                <w:color w:val="auto"/>
              </w:rPr>
            </w:pPr>
            <w:r>
              <w:rPr>
                <w:rFonts w:ascii="Times New Roman" w:cs="Times New Roman" w:eastAsia="Times New Roman" w:hAnsi="Times New Roman"/>
                <w:sz w:val="13"/>
                <w:szCs w:val="13"/>
                <w:color w:val="auto"/>
              </w:rPr>
              <w:t>(120,399</w:t>
            </w:r>
            <w:r>
              <w:rPr>
                <w:rFonts w:ascii="Times New Roman" w:cs="Times New Roman" w:eastAsia="Times New Roman" w:hAnsi="Times New Roman"/>
                <w:sz w:val="25"/>
                <w:szCs w:val="25"/>
                <w:color w:val="auto"/>
                <w:vertAlign w:val="superscript"/>
              </w:rPr>
              <w: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351,522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line="216" w:lineRule="exact"/>
              <w:rPr>
                <w:sz w:val="20"/>
                <w:szCs w:val="20"/>
                <w:color w:val="auto"/>
              </w:rPr>
            </w:pPr>
            <w:r>
              <w:rPr>
                <w:rFonts w:ascii="Times New Roman" w:cs="Times New Roman" w:eastAsia="Times New Roman" w:hAnsi="Times New Roman"/>
                <w:sz w:val="13"/>
                <w:szCs w:val="13"/>
                <w:color w:val="auto"/>
              </w:rPr>
              <w:t>(120,399</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(1,405)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shd w:val="clear" w:color="auto" w:fill="CFF0FC"/>
          </w:tcPr>
          <w:p>
            <w:pPr>
              <w:ind w:left="140"/>
              <w:spacing w:after="0" w:line="148" w:lineRule="exact"/>
              <w:rPr>
                <w:sz w:val="20"/>
                <w:szCs w:val="20"/>
                <w:color w:val="auto"/>
              </w:rPr>
            </w:pPr>
            <w:r>
              <w:rPr>
                <w:rFonts w:ascii="Times New Roman" w:cs="Times New Roman" w:eastAsia="Times New Roman" w:hAnsi="Times New Roman"/>
                <w:sz w:val="14"/>
                <w:szCs w:val="14"/>
                <w:color w:val="auto"/>
              </w:rPr>
              <w:t>Total available-for-sale securities</w:t>
            </w: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207,644</w:t>
            </w:r>
          </w:p>
        </w:tc>
        <w:tc>
          <w:tcPr>
            <w:tcW w:w="400" w:type="dxa"/>
            <w:vAlign w:val="bottom"/>
            <w:gridSpan w:val="2"/>
            <w:shd w:val="clear" w:color="auto" w:fill="CFF0FC"/>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(855</w:t>
            </w:r>
            <w:r>
              <w:rPr>
                <w:rFonts w:ascii="Times New Roman" w:cs="Times New Roman" w:eastAsia="Times New Roman" w:hAnsi="Times New Roman"/>
                <w:sz w:val="17"/>
                <w:szCs w:val="17"/>
                <w:color w:val="auto"/>
                <w:vertAlign w:val="subscript"/>
              </w:rPr>
              <w:t>)</w:t>
            </w:r>
          </w:p>
        </w:tc>
        <w:tc>
          <w:tcPr>
            <w:tcW w:w="24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2,124,849</w:t>
            </w:r>
          </w:p>
        </w:tc>
        <w:tc>
          <w:tcPr>
            <w:tcW w:w="400" w:type="dxa"/>
            <w:vAlign w:val="bottom"/>
            <w:gridSpan w:val="2"/>
            <w:shd w:val="clear" w:color="auto" w:fill="CFF0FC"/>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(447,326</w:t>
            </w:r>
            <w:r>
              <w:rPr>
                <w:rFonts w:ascii="Times New Roman" w:cs="Times New Roman" w:eastAsia="Times New Roman" w:hAnsi="Times New Roman"/>
                <w:sz w:val="17"/>
                <w:szCs w:val="17"/>
                <w:color w:val="auto"/>
                <w:vertAlign w:val="subscript"/>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2,332,493</w:t>
            </w:r>
          </w:p>
        </w:tc>
        <w:tc>
          <w:tcPr>
            <w:tcW w:w="3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(448,181</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Government agency/GSE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408,257</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(106,315)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408,257</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(106,315)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502,292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(109,978)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504,364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(110,020)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613,937</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(170,121)</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613,937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(170,121)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63,668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286,868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(38,958)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350,536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(40,025)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shd w:val="clear" w:color="auto" w:fill="CFF0FC"/>
          </w:tcPr>
          <w:p>
            <w:pPr>
              <w:ind w:left="140"/>
              <w:spacing w:after="0" w:line="148" w:lineRule="exact"/>
              <w:rPr>
                <w:sz w:val="20"/>
                <w:szCs w:val="20"/>
                <w:color w:val="auto"/>
              </w:rPr>
            </w:pPr>
            <w:r>
              <w:rPr>
                <w:rFonts w:ascii="Times New Roman" w:cs="Times New Roman" w:eastAsia="Times New Roman" w:hAnsi="Times New Roman"/>
                <w:sz w:val="14"/>
                <w:szCs w:val="14"/>
                <w:color w:val="auto"/>
              </w:rPr>
              <w:t>Total held-to-maturity securities</w:t>
            </w: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65,740</w:t>
            </w:r>
          </w:p>
        </w:tc>
        <w:tc>
          <w:tcPr>
            <w:tcW w:w="400" w:type="dxa"/>
            <w:vAlign w:val="bottom"/>
            <w:gridSpan w:val="2"/>
            <w:shd w:val="clear" w:color="auto" w:fill="CFF0FC"/>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(1,109</w:t>
            </w:r>
            <w:r>
              <w:rPr>
                <w:rFonts w:ascii="Times New Roman" w:cs="Times New Roman" w:eastAsia="Times New Roman" w:hAnsi="Times New Roman"/>
                <w:sz w:val="17"/>
                <w:szCs w:val="17"/>
                <w:color w:val="auto"/>
                <w:vertAlign w:val="subscript"/>
              </w:rPr>
              <w:t>)</w:t>
            </w:r>
          </w:p>
        </w:tc>
        <w:tc>
          <w:tcPr>
            <w:tcW w:w="24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1,811,354</w:t>
            </w:r>
          </w:p>
        </w:tc>
        <w:tc>
          <w:tcPr>
            <w:tcW w:w="400" w:type="dxa"/>
            <w:vAlign w:val="bottom"/>
            <w:gridSpan w:val="2"/>
            <w:shd w:val="clear" w:color="auto" w:fill="CFF0FC"/>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(425,372</w:t>
            </w:r>
            <w:r>
              <w:rPr>
                <w:rFonts w:ascii="Times New Roman" w:cs="Times New Roman" w:eastAsia="Times New Roman" w:hAnsi="Times New Roman"/>
                <w:sz w:val="17"/>
                <w:szCs w:val="17"/>
                <w:color w:val="auto"/>
                <w:vertAlign w:val="subscript"/>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1,877,094</w:t>
            </w:r>
          </w:p>
        </w:tc>
        <w:tc>
          <w:tcPr>
            <w:tcW w:w="3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(426,481</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firstLine="432"/>
        <w:spacing w:after="0" w:line="247" w:lineRule="auto"/>
        <w:rPr>
          <w:sz w:val="20"/>
          <w:szCs w:val="20"/>
          <w:color w:val="auto"/>
        </w:rPr>
      </w:pPr>
      <w:r>
        <w:rPr>
          <w:rFonts w:ascii="Times New Roman" w:cs="Times New Roman" w:eastAsia="Times New Roman" w:hAnsi="Times New Roman"/>
          <w:sz w:val="16"/>
          <w:szCs w:val="16"/>
          <w:color w:val="auto"/>
        </w:rPr>
        <w:t>At June 30, 2025, investment securities with carrying values of $2.70 billion were pledged to secure various types of deposits, including $1.09 billion of public funds. In addition, investment securities with carrying values of $2.03 billion were pledged to secure $511 million for repurchase agreements, $1.47 billion for unused borrowing capacity and approximately $57 million for other purposes as required or permitted by law.</w:t>
      </w:r>
    </w:p>
    <w:p>
      <w:pPr>
        <w:spacing w:after="0" w:line="152" w:lineRule="exact"/>
        <w:rPr>
          <w:sz w:val="20"/>
          <w:szCs w:val="20"/>
          <w:color w:val="auto"/>
        </w:rPr>
      </w:pPr>
    </w:p>
    <w:p>
      <w:pPr>
        <w:jc w:val="both"/>
        <w:ind w:right="180" w:firstLine="432"/>
        <w:spacing w:after="0" w:line="299" w:lineRule="auto"/>
        <w:rPr>
          <w:sz w:val="20"/>
          <w:szCs w:val="20"/>
          <w:color w:val="auto"/>
        </w:rPr>
      </w:pPr>
      <w:r>
        <w:rPr>
          <w:rFonts w:ascii="Times New Roman" w:cs="Times New Roman" w:eastAsia="Times New Roman" w:hAnsi="Times New Roman"/>
          <w:sz w:val="14"/>
          <w:szCs w:val="14"/>
          <w:color w:val="auto"/>
        </w:rPr>
        <w:t>At December 31, 2024, investment securities with carrying values of $2.79 billion were pledged to secure various types of deposits, including $1.18 billion of public funds. In addition, investment securities with carrying values of $1.63 billion were pledged to secure $372.5 million for repurchase agreements, $1.8 billion for outstanding borrowings, $796 million for unused borrowing capacity and approximately $51 million for other purposes as required or permitted by law.</w:t>
      </w:r>
    </w:p>
    <w:p>
      <w:pPr>
        <w:spacing w:after="0" w:line="119" w:lineRule="exact"/>
        <w:rPr>
          <w:sz w:val="20"/>
          <w:szCs w:val="20"/>
          <w:color w:val="auto"/>
        </w:rPr>
      </w:pPr>
    </w:p>
    <w:p>
      <w:pPr>
        <w:ind w:right="140" w:firstLine="432"/>
        <w:spacing w:after="0" w:line="242" w:lineRule="auto"/>
        <w:rPr>
          <w:sz w:val="20"/>
          <w:szCs w:val="20"/>
          <w:color w:val="auto"/>
        </w:rPr>
      </w:pPr>
      <w:r>
        <w:rPr>
          <w:rFonts w:ascii="Times New Roman" w:cs="Times New Roman" w:eastAsia="Times New Roman" w:hAnsi="Times New Roman"/>
          <w:sz w:val="16"/>
          <w:szCs w:val="16"/>
          <w:color w:val="auto"/>
        </w:rPr>
        <w:t>The amortized cost and fair value of debt securities at June 30, 2025, by contractual maturity, are shown in the table below. Although mortgage-backed and CMO/REMIC securities have weighted average remaining contractual maturities of approximately 24 years, expected maturities will differ from contractual maturities because borrowers may have the right to</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2" w:name="page13"/>
    <w:bookmarkEnd w:id="12"/>
    <w:p>
      <w:pPr>
        <w:ind w:right="180"/>
        <w:spacing w:after="0" w:line="259" w:lineRule="auto"/>
        <w:rPr>
          <w:sz w:val="20"/>
          <w:szCs w:val="20"/>
          <w:color w:val="auto"/>
        </w:rPr>
      </w:pPr>
      <w:r>
        <w:rPr>
          <w:rFonts w:ascii="Times New Roman" w:cs="Times New Roman" w:eastAsia="Times New Roman" w:hAnsi="Times New Roman"/>
          <w:sz w:val="16"/>
          <w:szCs w:val="16"/>
          <w:color w:val="auto"/>
        </w:rPr>
        <w:t>prepay such obligations without penalty. Mortgage-backed and CMO/REMIC securities are included in maturity categories based upon estimated average lives which incorporate estimated prepayment speeds.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6"/>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6"/>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Available-for-sale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gridSpan w:val="6"/>
          </w:tcPr>
          <w:p>
            <w:pPr>
              <w:ind w:left="720"/>
              <w:spacing w:after="0"/>
              <w:rPr>
                <w:sz w:val="20"/>
                <w:szCs w:val="20"/>
                <w:color w:val="auto"/>
              </w:rPr>
            </w:pPr>
            <w:r>
              <w:rPr>
                <w:rFonts w:ascii="Times New Roman" w:cs="Times New Roman" w:eastAsia="Times New Roman" w:hAnsi="Times New Roman"/>
                <w:sz w:val="13"/>
                <w:szCs w:val="13"/>
                <w:b w:val="1"/>
                <w:bCs w:val="1"/>
                <w:color w:val="auto"/>
              </w:rPr>
              <w:t>Held-to-maturity</w:t>
            </w:r>
          </w:p>
        </w:tc>
      </w:tr>
      <w:tr>
        <w:trPr>
          <w:trHeight w:val="156"/>
        </w:trPr>
        <w:tc>
          <w:tcPr>
            <w:tcW w:w="3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0"/>
        </w:trPr>
        <w:tc>
          <w:tcPr>
            <w:tcW w:w="3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6"/>
          </w:tcPr>
          <w:p>
            <w:pPr>
              <w:jc w:val="center"/>
              <w:ind w:right="3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Due in one year or less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40,593</w:t>
            </w:r>
          </w:p>
        </w:tc>
        <w:tc>
          <w:tcPr>
            <w:tcW w:w="32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40,552</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17,109</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16,746</w:t>
            </w:r>
          </w:p>
        </w:tc>
      </w:tr>
      <w:tr>
        <w:trPr>
          <w:trHeight w:val="156"/>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Due after one year through five years</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258,065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243,018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47,915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46,837</w:t>
            </w:r>
          </w:p>
        </w:tc>
      </w:tr>
      <w:tr>
        <w:trPr>
          <w:trHeight w:val="15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Due after five years through ten years</w:t>
            </w:r>
          </w:p>
        </w:tc>
        <w:tc>
          <w:tcPr>
            <w:tcW w:w="1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1,719,933</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1,495,301</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314,931</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280,154</w:t>
            </w:r>
          </w:p>
        </w:tc>
        <w:tc>
          <w:tcPr>
            <w:tcW w:w="80" w:type="dxa"/>
            <w:vAlign w:val="bottom"/>
            <w:shd w:val="clear" w:color="auto" w:fill="CFF0FC"/>
          </w:tcPr>
          <w:p>
            <w:pPr>
              <w:spacing w:after="0"/>
              <w:rPr>
                <w:sz w:val="13"/>
                <w:szCs w:val="13"/>
                <w:color w:val="auto"/>
              </w:rPr>
            </w:pPr>
          </w:p>
        </w:tc>
      </w:tr>
      <w:tr>
        <w:trPr>
          <w:trHeight w:val="156"/>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Due after ten years</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821,859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707,435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1,947,275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1,591,019</w:t>
            </w:r>
          </w:p>
        </w:tc>
        <w:tc>
          <w:tcPr>
            <w:tcW w:w="80" w:type="dxa"/>
            <w:vAlign w:val="bottom"/>
          </w:tcPr>
          <w:p>
            <w:pPr>
              <w:spacing w:after="0"/>
              <w:rPr>
                <w:sz w:val="13"/>
                <w:szCs w:val="13"/>
                <w:color w:val="auto"/>
              </w:rPr>
            </w:pPr>
          </w:p>
        </w:tc>
      </w:tr>
      <w:tr>
        <w:trPr>
          <w:trHeight w:val="176"/>
        </w:trPr>
        <w:tc>
          <w:tcPr>
            <w:tcW w:w="3520" w:type="dxa"/>
            <w:vAlign w:val="bottom"/>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color w:val="auto"/>
              </w:rPr>
              <w:t>Total investment securities</w:t>
            </w:r>
          </w:p>
        </w:tc>
        <w:tc>
          <w:tcPr>
            <w:tcW w:w="15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2,840,450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2,486,306</w:t>
            </w:r>
          </w:p>
        </w:tc>
        <w:tc>
          <w:tcPr>
            <w:tcW w:w="1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2,327,230</w:t>
            </w:r>
          </w:p>
        </w:tc>
        <w:tc>
          <w:tcPr>
            <w:tcW w:w="1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1,934,756</w:t>
            </w:r>
          </w:p>
        </w:tc>
        <w:tc>
          <w:tcPr>
            <w:tcW w:w="80" w:type="dxa"/>
            <w:vAlign w:val="bottom"/>
            <w:shd w:val="clear" w:color="auto" w:fill="CFF0FC"/>
          </w:tcPr>
          <w:p>
            <w:pPr>
              <w:spacing w:after="0"/>
              <w:rPr>
                <w:sz w:val="15"/>
                <w:szCs w:val="15"/>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jc w:val="both"/>
        <w:ind w:right="120" w:firstLine="432"/>
        <w:spacing w:after="0" w:line="247" w:lineRule="auto"/>
        <w:rPr>
          <w:sz w:val="20"/>
          <w:szCs w:val="20"/>
          <w:color w:val="auto"/>
        </w:rPr>
      </w:pPr>
      <w:r>
        <w:rPr>
          <w:rFonts w:ascii="Times New Roman" w:cs="Times New Roman" w:eastAsia="Times New Roman" w:hAnsi="Times New Roman"/>
          <w:sz w:val="16"/>
          <w:szCs w:val="16"/>
          <w:color w:val="auto"/>
        </w:rPr>
        <w:t>The Bank is a member of the FHLB and members are required to own a certain amount of FHLB stock based on the level of borrowings and other factors. The investment in FHLB stock is periodically evaluated for impairment based on, among other things, the capital adequacy of the FHLB and its overall financial condition. No impairment losses have been recorded through June 30, 2025.</w:t>
      </w:r>
    </w:p>
    <w:p>
      <w:pPr>
        <w:spacing w:after="0" w:line="330" w:lineRule="exact"/>
        <w:rPr>
          <w:sz w:val="20"/>
          <w:szCs w:val="20"/>
          <w:color w:val="auto"/>
        </w:rPr>
      </w:pPr>
    </w:p>
    <w:p>
      <w:pPr>
        <w:ind w:left="440" w:right="3820" w:hanging="434"/>
        <w:spacing w:after="0" w:line="554" w:lineRule="auto"/>
        <w:tabs>
          <w:tab w:leader="none" w:pos="281"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LOANS AND LEASE FINANCE RECEIVABLES AND ALLOWANCE FOR CREDIT LOSSES </w:t>
      </w:r>
      <w:r>
        <w:rPr>
          <w:rFonts w:ascii="Times New Roman" w:cs="Times New Roman" w:eastAsia="Times New Roman" w:hAnsi="Times New Roman"/>
          <w:sz w:val="14"/>
          <w:szCs w:val="14"/>
          <w:color w:val="auto"/>
        </w:rPr>
        <w:t>The following table provides a summary of total loans and lease finance receivables by type.</w:t>
      </w: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2"/>
          </w:tcPr>
          <w:p>
            <w:pPr>
              <w:jc w:val="right"/>
              <w:ind w:right="680"/>
              <w:spacing w:after="0" w:line="181" w:lineRule="exact"/>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gridSpan w:val="6"/>
          </w:tcPr>
          <w:p>
            <w:pPr>
              <w:jc w:val="right"/>
              <w:ind w:right="13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6,517,415</w:t>
            </w:r>
          </w:p>
        </w:tc>
        <w:tc>
          <w:tcPr>
            <w:tcW w:w="2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6,507,452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28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17,658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Small Business Administration ("SBA")</w:t>
            </w:r>
          </w:p>
        </w:tc>
        <w:tc>
          <w:tcPr>
            <w:tcW w:w="28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271,735</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273,013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SBA - Paycheck Protection Program ("PPP")</w:t>
            </w:r>
          </w:p>
        </w:tc>
        <w:tc>
          <w:tcPr>
            <w:tcW w:w="28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28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912,427</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925,178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280" w:type="dxa"/>
            <w:vAlign w:val="bottom"/>
          </w:tcPr>
          <w:p>
            <w:pPr>
              <w:spacing w:after="0"/>
              <w:rPr>
                <w:sz w:val="15"/>
                <w:szCs w:val="15"/>
                <w:color w:val="auto"/>
              </w:rPr>
            </w:pPr>
          </w:p>
        </w:tc>
        <w:tc>
          <w:tcPr>
            <w:tcW w:w="17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233,772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419,904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Municipal lease finance receivables</w:t>
            </w: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63,652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66,114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SFR mortgage</w:t>
            </w:r>
          </w:p>
        </w:tc>
        <w:tc>
          <w:tcPr>
            <w:tcW w:w="280" w:type="dxa"/>
            <w:vAlign w:val="bottom"/>
          </w:tcPr>
          <w:p>
            <w:pPr>
              <w:spacing w:after="0"/>
              <w:rPr>
                <w:sz w:val="15"/>
                <w:szCs w:val="15"/>
                <w:color w:val="auto"/>
              </w:rPr>
            </w:pPr>
          </w:p>
        </w:tc>
        <w:tc>
          <w:tcPr>
            <w:tcW w:w="17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288,435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269,172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Consumer and other loans</w:t>
            </w: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53,322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58,743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loans, at amortized cost</w:t>
            </w:r>
          </w:p>
        </w:tc>
        <w:tc>
          <w:tcPr>
            <w:tcW w:w="28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8,358,501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8,536,432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28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(78,003)</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(80,122)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ind w:left="260"/>
              <w:spacing w:after="0" w:line="160" w:lineRule="exact"/>
              <w:rPr>
                <w:sz w:val="20"/>
                <w:szCs w:val="20"/>
                <w:color w:val="auto"/>
              </w:rPr>
            </w:pPr>
            <w:r>
              <w:rPr>
                <w:rFonts w:ascii="Times New Roman" w:cs="Times New Roman" w:eastAsia="Times New Roman" w:hAnsi="Times New Roman"/>
                <w:sz w:val="16"/>
                <w:szCs w:val="16"/>
                <w:color w:val="auto"/>
              </w:rPr>
              <w:t>Total loans and lease finance receivables, net</w:t>
            </w:r>
          </w:p>
        </w:tc>
        <w:tc>
          <w:tcPr>
            <w:tcW w:w="28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8,280,498</w:t>
            </w:r>
          </w:p>
        </w:tc>
        <w:tc>
          <w:tcPr>
            <w:tcW w:w="240" w:type="dxa"/>
            <w:vAlign w:val="bottom"/>
          </w:tcPr>
          <w:p>
            <w:pPr>
              <w:spacing w:after="0"/>
              <w:rPr>
                <w:sz w:val="15"/>
                <w:szCs w:val="15"/>
                <w:color w:val="auto"/>
              </w:rPr>
            </w:pPr>
          </w:p>
        </w:tc>
        <w:tc>
          <w:tcPr>
            <w:tcW w:w="34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8,456,310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700" w:firstLine="432"/>
        <w:spacing w:after="0" w:line="237" w:lineRule="auto"/>
        <w:rPr>
          <w:sz w:val="20"/>
          <w:szCs w:val="20"/>
          <w:color w:val="auto"/>
        </w:rPr>
      </w:pPr>
      <w:r>
        <w:rPr>
          <w:rFonts w:ascii="Times New Roman" w:cs="Times New Roman" w:eastAsia="Times New Roman" w:hAnsi="Times New Roman"/>
          <w:sz w:val="16"/>
          <w:szCs w:val="16"/>
          <w:color w:val="auto"/>
        </w:rPr>
        <w:t>As of June 30, 2025, 81.64% of the Company’s total loan portfolio consisted of real estate loans, with commercial real estate loans representing 78.0% of total loans. The Company’s real estate loans and construction loans are secured by real properties primarily located in California. As of June 30, 2025, $417.2 million, or 6.40% of the total commercial real estate loans included loans secured by farmland, compared to $449.8 million, or 6.91%, at December 31, 2024. The loans secured by farmland included $104.6 million for loans secured by dairy &amp; livestock land and $312.6 million for loans secured by agricultural land at June 30, 2025, compared to $109.1 million for loans secured by dairy &amp; livestock land and $340.7 million for loans secured by agricultural land at December 31, 2024. As of June 30, 2025, dairy &amp; livestock and agribusiness loans of $233.8 million were comprised of $199.4 million of dairy &amp; livestock loans and $34.4 million of agribusiness loans, compared to $419.9 million comprised of $385.3 million of dairy &amp; livestock loans and $34.6 million of agribusiness loans December 31, 2024.</w:t>
      </w:r>
    </w:p>
    <w:p>
      <w:pPr>
        <w:spacing w:after="0" w:line="164"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6"/>
          <w:szCs w:val="16"/>
          <w:color w:val="auto"/>
        </w:rPr>
        <w:t>At June 30, 2025 and December 31, 2024, loans with carrying value of $6.31 billion were pledged to secure the borrowings and available lines of credit from the FHLB and the Federal Reserve Bank totaling $4.48 billion and $4.44 billion, respectively.</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There were no outstanding loans held-for-sale as of June 30, 2025 and December 31,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i w:val="1"/>
          <w:iCs w:val="1"/>
          <w:color w:val="auto"/>
        </w:rPr>
        <w:t>Credit Quality Indicators</w:t>
      </w:r>
    </w:p>
    <w:p>
      <w:pPr>
        <w:spacing w:after="0" w:line="180" w:lineRule="exact"/>
        <w:rPr>
          <w:sz w:val="20"/>
          <w:szCs w:val="20"/>
          <w:color w:val="auto"/>
        </w:rPr>
      </w:pPr>
    </w:p>
    <w:p>
      <w:pPr>
        <w:ind w:right="240" w:firstLine="432"/>
        <w:spacing w:after="0" w:line="259" w:lineRule="auto"/>
        <w:rPr>
          <w:sz w:val="20"/>
          <w:szCs w:val="20"/>
          <w:color w:val="auto"/>
        </w:rPr>
      </w:pPr>
      <w:r>
        <w:rPr>
          <w:rFonts w:ascii="Times New Roman" w:cs="Times New Roman" w:eastAsia="Times New Roman" w:hAnsi="Times New Roman"/>
          <w:sz w:val="16"/>
          <w:szCs w:val="16"/>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43" w:lineRule="exact"/>
        <w:rPr>
          <w:sz w:val="20"/>
          <w:szCs w:val="20"/>
          <w:color w:val="auto"/>
        </w:rPr>
      </w:pPr>
    </w:p>
    <w:p>
      <w:pPr>
        <w:ind w:firstLine="432"/>
        <w:spacing w:after="0" w:line="241" w:lineRule="auto"/>
        <w:rPr>
          <w:sz w:val="20"/>
          <w:szCs w:val="20"/>
          <w:color w:val="auto"/>
        </w:rPr>
      </w:pPr>
      <w:r>
        <w:rPr>
          <w:rFonts w:ascii="Times New Roman" w:cs="Times New Roman" w:eastAsia="Times New Roman" w:hAnsi="Times New Roman"/>
          <w:sz w:val="16"/>
          <w:szCs w:val="16"/>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57"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43" w:lineRule="exact"/>
        <w:rPr>
          <w:sz w:val="20"/>
          <w:szCs w:val="20"/>
          <w:color w:val="auto"/>
        </w:rPr>
      </w:pPr>
    </w:p>
    <w:p>
      <w:pPr>
        <w:ind w:right="400" w:firstLine="432"/>
        <w:spacing w:after="0" w:line="299" w:lineRule="auto"/>
        <w:rPr>
          <w:sz w:val="20"/>
          <w:szCs w:val="20"/>
          <w:color w:val="auto"/>
        </w:rPr>
      </w:pPr>
      <w:r>
        <w:rPr>
          <w:rFonts w:ascii="Times New Roman" w:cs="Times New Roman" w:eastAsia="Times New Roman" w:hAnsi="Times New Roman"/>
          <w:sz w:val="14"/>
          <w:szCs w:val="14"/>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19" w:lineRule="exact"/>
        <w:rPr>
          <w:sz w:val="20"/>
          <w:szCs w:val="20"/>
          <w:color w:val="auto"/>
        </w:rPr>
      </w:pPr>
    </w:p>
    <w:p>
      <w:pPr>
        <w:ind w:right="120" w:firstLine="432"/>
        <w:spacing w:after="0" w:line="247" w:lineRule="auto"/>
        <w:rPr>
          <w:sz w:val="20"/>
          <w:szCs w:val="20"/>
          <w:color w:val="auto"/>
        </w:rPr>
      </w:pPr>
      <w:r>
        <w:rPr>
          <w:rFonts w:ascii="Times New Roman" w:cs="Times New Roman" w:eastAsia="Times New Roman" w:hAnsi="Times New Roman"/>
          <w:sz w:val="16"/>
          <w:szCs w:val="16"/>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52" w:lineRule="exact"/>
        <w:rPr>
          <w:sz w:val="20"/>
          <w:szCs w:val="20"/>
          <w:color w:val="auto"/>
        </w:rPr>
      </w:pPr>
    </w:p>
    <w:p>
      <w:pPr>
        <w:ind w:right="140" w:firstLine="432"/>
        <w:spacing w:after="0" w:line="247" w:lineRule="auto"/>
        <w:rPr>
          <w:sz w:val="20"/>
          <w:szCs w:val="20"/>
          <w:color w:val="auto"/>
        </w:rPr>
      </w:pPr>
      <w:r>
        <w:rPr>
          <w:rFonts w:ascii="Times New Roman" w:cs="Times New Roman" w:eastAsia="Times New Roman" w:hAnsi="Times New Roman"/>
          <w:sz w:val="16"/>
          <w:szCs w:val="16"/>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52"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16"/>
          <w:szCs w:val="16"/>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43" w:lineRule="exact"/>
        <w:rPr>
          <w:sz w:val="20"/>
          <w:szCs w:val="20"/>
          <w:color w:val="auto"/>
        </w:rPr>
      </w:pPr>
    </w:p>
    <w:p>
      <w:pPr>
        <w:ind w:right="60" w:firstLine="432"/>
        <w:spacing w:after="0" w:line="247" w:lineRule="auto"/>
        <w:rPr>
          <w:sz w:val="20"/>
          <w:szCs w:val="20"/>
          <w:color w:val="auto"/>
        </w:rPr>
      </w:pPr>
      <w:r>
        <w:rPr>
          <w:rFonts w:ascii="Times New Roman" w:cs="Times New Roman" w:eastAsia="Times New Roman" w:hAnsi="Times New Roman"/>
          <w:sz w:val="16"/>
          <w:szCs w:val="16"/>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6"/>
          <w:szCs w:val="16"/>
          <w:color w:val="auto"/>
        </w:rPr>
        <w:t>The following table summarizes loans by type and origination year, according to our internal risk ratings as of the dates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Revolving loans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3"/>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80" w:type="dxa"/>
            <w:vAlign w:val="bottom"/>
          </w:tcPr>
          <w:p>
            <w:pPr>
              <w:spacing w:after="0"/>
              <w:rPr>
                <w:sz w:val="11"/>
                <w:szCs w:val="11"/>
                <w:color w:val="auto"/>
              </w:rPr>
            </w:pPr>
          </w:p>
        </w:tc>
        <w:tc>
          <w:tcPr>
            <w:tcW w:w="80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540" w:type="dxa"/>
            <w:vAlign w:val="bottom"/>
          </w:tcPr>
          <w:p>
            <w:pPr>
              <w:spacing w:after="0"/>
              <w:rPr>
                <w:sz w:val="11"/>
                <w:szCs w:val="11"/>
                <w:color w:val="auto"/>
              </w:rPr>
            </w:pPr>
          </w:p>
        </w:tc>
        <w:tc>
          <w:tcPr>
            <w:tcW w:w="7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11"/>
                <w:szCs w:val="11"/>
                <w:color w:val="auto"/>
              </w:rPr>
            </w:pPr>
          </w:p>
        </w:tc>
        <w:tc>
          <w:tcPr>
            <w:tcW w:w="7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Pr>
          <w:p>
            <w:pPr>
              <w:spacing w:after="0"/>
              <w:rPr>
                <w:sz w:val="11"/>
                <w:szCs w:val="11"/>
                <w:color w:val="auto"/>
              </w:rPr>
            </w:pPr>
          </w:p>
        </w:tc>
        <w:tc>
          <w:tcPr>
            <w:tcW w:w="72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60" w:type="dxa"/>
            <w:vAlign w:val="bottom"/>
          </w:tcPr>
          <w:p>
            <w:pPr>
              <w:spacing w:after="0"/>
              <w:rPr>
                <w:sz w:val="11"/>
                <w:szCs w:val="11"/>
                <w:color w:val="auto"/>
              </w:rPr>
            </w:pPr>
          </w:p>
        </w:tc>
        <w:tc>
          <w:tcPr>
            <w:tcW w:w="66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2022</w:t>
            </w:r>
          </w:p>
        </w:tc>
        <w:tc>
          <w:tcPr>
            <w:tcW w:w="320" w:type="dxa"/>
            <w:vAlign w:val="bottom"/>
          </w:tcPr>
          <w:p>
            <w:pPr>
              <w:spacing w:after="0"/>
              <w:rPr>
                <w:sz w:val="11"/>
                <w:szCs w:val="11"/>
                <w:color w:val="auto"/>
              </w:rPr>
            </w:pPr>
          </w:p>
        </w:tc>
        <w:tc>
          <w:tcPr>
            <w:tcW w:w="780" w:type="dxa"/>
            <w:vAlign w:val="bottom"/>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2021</w:t>
            </w:r>
          </w:p>
        </w:tc>
        <w:tc>
          <w:tcPr>
            <w:tcW w:w="220" w:type="dxa"/>
            <w:vAlign w:val="bottom"/>
          </w:tcPr>
          <w:p>
            <w:pPr>
              <w:spacing w:after="0"/>
              <w:rPr>
                <w:sz w:val="11"/>
                <w:szCs w:val="11"/>
                <w:color w:val="auto"/>
              </w:rPr>
            </w:pPr>
          </w:p>
        </w:tc>
        <w:tc>
          <w:tcPr>
            <w:tcW w:w="72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00" w:type="dxa"/>
            <w:vAlign w:val="bottom"/>
          </w:tcPr>
          <w:p>
            <w:pPr>
              <w:spacing w:after="0"/>
              <w:rPr>
                <w:sz w:val="11"/>
                <w:szCs w:val="11"/>
                <w:color w:val="auto"/>
              </w:rPr>
            </w:pPr>
          </w:p>
        </w:tc>
        <w:tc>
          <w:tcPr>
            <w:tcW w:w="7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 basis</w:t>
            </w:r>
          </w:p>
        </w:tc>
        <w:tc>
          <w:tcPr>
            <w:tcW w:w="180" w:type="dxa"/>
            <w:vAlign w:val="bottom"/>
          </w:tcPr>
          <w:p>
            <w:pPr>
              <w:spacing w:after="0"/>
              <w:rPr>
                <w:sz w:val="11"/>
                <w:szCs w:val="11"/>
                <w:color w:val="auto"/>
              </w:rPr>
            </w:pPr>
          </w:p>
        </w:tc>
        <w:tc>
          <w:tcPr>
            <w:tcW w:w="80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term loans</w:t>
            </w:r>
          </w:p>
        </w:tc>
        <w:tc>
          <w:tcPr>
            <w:tcW w:w="260" w:type="dxa"/>
            <w:vAlign w:val="bottom"/>
          </w:tcPr>
          <w:p>
            <w:pPr>
              <w:spacing w:after="0"/>
              <w:rPr>
                <w:sz w:val="11"/>
                <w:szCs w:val="11"/>
                <w:color w:val="auto"/>
              </w:rPr>
            </w:pPr>
          </w:p>
        </w:tc>
        <w:tc>
          <w:tcPr>
            <w:tcW w:w="74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Commercial real estate</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284,142</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305,013</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391,978</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1,181,124</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1,021,260</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2,812,471</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208,186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35,810</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6,239,984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9,597</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10,167</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38,965</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23,766</w:t>
            </w:r>
          </w:p>
        </w:tc>
        <w:tc>
          <w:tcPr>
            <w:tcW w:w="2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131,928</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5,068</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6,769</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226,260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1,217</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1,174</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677</w:t>
            </w: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5,533</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3,510</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39,060</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51,171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Commercial real</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estate 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285,359</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315,784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402,822</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1,225,622</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1,048,536</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2,983,459</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213,254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42,579</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6,517,415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Pr>
          <w:p>
            <w:pPr>
              <w:jc w:val="center"/>
              <w:ind w:right="46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Construction loans:</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456</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7,722</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322</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9,158</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17,658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Construction</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456</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7,722</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322</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9,158</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17,658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Pr>
          <w:p>
            <w:pPr>
              <w:jc w:val="center"/>
              <w:ind w:right="46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SBA loans:</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17,212</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26,270</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15,455</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45,606</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45,957</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106,918</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257,418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2"/>
                <w:szCs w:val="12"/>
                <w:color w:val="auto"/>
              </w:rPr>
            </w:pPr>
          </w:p>
        </w:tc>
        <w:tc>
          <w:tcPr>
            <w:tcW w:w="7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7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7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78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6,241</w:t>
            </w:r>
          </w:p>
        </w:tc>
        <w:tc>
          <w:tcPr>
            <w:tcW w:w="200" w:type="dxa"/>
            <w:vAlign w:val="bottom"/>
          </w:tcPr>
          <w:p>
            <w:pPr>
              <w:spacing w:after="0"/>
              <w:rPr>
                <w:sz w:val="12"/>
                <w:szCs w:val="12"/>
                <w:color w:val="auto"/>
              </w:rPr>
            </w:pPr>
          </w:p>
        </w:tc>
        <w:tc>
          <w:tcPr>
            <w:tcW w:w="7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4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6,241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3,365</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1,559</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3,152</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8,076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SBA 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17,212</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29,635</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15,455</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47,165</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45,957</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116,311</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271,735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Pr>
          <w:p>
            <w:pPr>
              <w:jc w:val="center"/>
              <w:ind w:right="46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SBA - PPP loans:</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78</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SBA - PPP 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78</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Pr>
          <w:p>
            <w:pPr>
              <w:jc w:val="center"/>
              <w:ind w:right="46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Commercial and</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shd w:val="clear" w:color="auto" w:fill="CFF0FC"/>
          </w:tcPr>
          <w:p>
            <w:pPr>
              <w:jc w:val="center"/>
              <w:ind w:right="486"/>
              <w:spacing w:after="0"/>
              <w:rPr>
                <w:sz w:val="20"/>
                <w:szCs w:val="20"/>
                <w:color w:val="auto"/>
              </w:rPr>
            </w:pPr>
            <w:r>
              <w:rPr>
                <w:rFonts w:ascii="Times New Roman" w:cs="Times New Roman" w:eastAsia="Times New Roman" w:hAnsi="Times New Roman"/>
                <w:sz w:val="11"/>
                <w:szCs w:val="11"/>
                <w:b w:val="1"/>
                <w:bCs w:val="1"/>
                <w:color w:val="auto"/>
                <w:w w:val="99"/>
              </w:rPr>
              <w:t>industrial loans:</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75,086</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90,849</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104,887</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96,293</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56,974</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167,382</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278,848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10,128</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880,447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99</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149</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1,799</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1,609</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1,328</w:t>
            </w:r>
          </w:p>
        </w:tc>
        <w:tc>
          <w:tcPr>
            <w:tcW w:w="2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3,527</w:t>
            </w:r>
          </w:p>
        </w:tc>
        <w:tc>
          <w:tcPr>
            <w:tcW w:w="2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11,197</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4,989</w:t>
            </w:r>
          </w:p>
        </w:tc>
        <w:tc>
          <w:tcPr>
            <w:tcW w:w="26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24,697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1,543</w:t>
            </w: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389</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219</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294</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1,100</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3,738</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7,283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Commercial and</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shd w:val="clear" w:color="auto" w:fill="CFF0FC"/>
          </w:tcPr>
          <w:p>
            <w:pPr>
              <w:jc w:val="center"/>
              <w:ind w:right="486"/>
              <w:spacing w:after="0"/>
              <w:rPr>
                <w:sz w:val="20"/>
                <w:szCs w:val="20"/>
                <w:color w:val="auto"/>
              </w:rPr>
            </w:pPr>
            <w:r>
              <w:rPr>
                <w:rFonts w:ascii="Times New Roman" w:cs="Times New Roman" w:eastAsia="Times New Roman" w:hAnsi="Times New Roman"/>
                <w:sz w:val="11"/>
                <w:szCs w:val="11"/>
                <w:b w:val="1"/>
                <w:bCs w:val="1"/>
                <w:color w:val="auto"/>
                <w:w w:val="99"/>
              </w:rPr>
              <w:t>industrial 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75,185</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90,998</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108,229</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98,291</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58,521</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171,203</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291,145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18,855</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912,427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Pr>
          <w:p>
            <w:pPr>
              <w:jc w:val="center"/>
              <w:ind w:right="46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392</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413</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5" w:name="page16"/>
    <w:bookmarkEnd w:id="15"/>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100" w:type="dxa"/>
            <w:vAlign w:val="bottom"/>
          </w:tcPr>
          <w:p>
            <w:pPr>
              <w:spacing w:after="0"/>
              <w:rPr>
                <w:sz w:val="11"/>
                <w:szCs w:val="11"/>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amortized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6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cost basis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term loans</w:t>
            </w:r>
          </w:p>
        </w:tc>
        <w:tc>
          <w:tcPr>
            <w:tcW w:w="160" w:type="dxa"/>
            <w:vAlign w:val="bottom"/>
          </w:tcPr>
          <w:p>
            <w:pPr>
              <w:spacing w:after="0"/>
              <w:rPr>
                <w:sz w:val="11"/>
                <w:szCs w:val="11"/>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Dairy &amp; livestock and</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agribusiness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199,473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201,657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(395)</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24,154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1,292</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25,841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6,214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6,274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Dairy &amp; livestock</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and agribusiness</w:t>
            </w:r>
          </w:p>
        </w:tc>
        <w:tc>
          <w:tcPr>
            <w:tcW w:w="16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gridSpan w:val="2"/>
            <w:vMerge w:val="restart"/>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gridSpan w:val="2"/>
            <w:vMerge w:val="restart"/>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vMerge w:val="restart"/>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00" w:type="dxa"/>
            <w:vAlign w:val="bottom"/>
            <w:tcBorders>
              <w:bottom w:val="single" w:sz="8" w:color="CFF0FC"/>
            </w:tcBorders>
            <w:shd w:val="clear" w:color="auto" w:fill="CFF0FC"/>
          </w:tcPr>
          <w:p>
            <w:pPr>
              <w:ind w:left="60"/>
              <w:spacing w:after="0" w:line="114" w:lineRule="exact"/>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tcBorders>
              <w:bottom w:val="single" w:sz="8" w:color="CFF0FC"/>
            </w:tcBorders>
            <w:vMerge w:val="continue"/>
            <w:shd w:val="clear" w:color="auto" w:fill="CFF0FC"/>
          </w:tcPr>
          <w:p>
            <w:pPr>
              <w:spacing w:after="0"/>
              <w:rPr>
                <w:sz w:val="9"/>
                <w:szCs w:val="9"/>
                <w:color w:val="auto"/>
              </w:rPr>
            </w:pPr>
          </w:p>
        </w:tc>
        <w:tc>
          <w:tcPr>
            <w:tcW w:w="60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395</w:t>
            </w:r>
          </w:p>
        </w:tc>
        <w:tc>
          <w:tcPr>
            <w:tcW w:w="10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gridSpan w:val="2"/>
            <w:vMerge w:val="continue"/>
            <w:shd w:val="clear" w:color="auto" w:fill="CFF0FC"/>
          </w:tcPr>
          <w:p>
            <w:pPr>
              <w:spacing w:after="0"/>
              <w:rPr>
                <w:sz w:val="9"/>
                <w:szCs w:val="9"/>
                <w:color w:val="auto"/>
              </w:rPr>
            </w:pPr>
          </w:p>
        </w:tc>
        <w:tc>
          <w:tcPr>
            <w:tcW w:w="60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644</w:t>
            </w:r>
          </w:p>
        </w:tc>
        <w:tc>
          <w:tcPr>
            <w:tcW w:w="10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gridSpan w:val="2"/>
            <w:vMerge w:val="continue"/>
            <w:shd w:val="clear" w:color="auto" w:fill="CFF0FC"/>
          </w:tcPr>
          <w:p>
            <w:pPr>
              <w:spacing w:after="0"/>
              <w:rPr>
                <w:sz w:val="9"/>
                <w:szCs w:val="9"/>
                <w:color w:val="auto"/>
              </w:rPr>
            </w:pPr>
          </w:p>
        </w:tc>
        <w:tc>
          <w:tcPr>
            <w:tcW w:w="820" w:type="dxa"/>
            <w:vAlign w:val="bottom"/>
            <w:tcBorders>
              <w:bottom w:val="single" w:sz="8" w:color="CFF0FC"/>
            </w:tcBorders>
            <w:gridSpan w:val="2"/>
            <w:vMerge w:val="continue"/>
            <w:shd w:val="clear" w:color="auto" w:fill="CFF0FC"/>
          </w:tcPr>
          <w:p>
            <w:pPr>
              <w:spacing w:after="0"/>
              <w:rPr>
                <w:sz w:val="9"/>
                <w:szCs w:val="9"/>
                <w:color w:val="auto"/>
              </w:rPr>
            </w:pPr>
          </w:p>
        </w:tc>
        <w:tc>
          <w:tcPr>
            <w:tcW w:w="160" w:type="dxa"/>
            <w:vAlign w:val="bottom"/>
            <w:tcBorders>
              <w:bottom w:val="single" w:sz="8" w:color="CFF0FC"/>
            </w:tcBorders>
            <w:vMerge w:val="continue"/>
            <w:shd w:val="clear" w:color="auto" w:fill="CFF0FC"/>
          </w:tcPr>
          <w:p>
            <w:pPr>
              <w:spacing w:after="0"/>
              <w:rPr>
                <w:sz w:val="9"/>
                <w:szCs w:val="9"/>
                <w:color w:val="auto"/>
              </w:rPr>
            </w:pPr>
          </w:p>
        </w:tc>
        <w:tc>
          <w:tcPr>
            <w:tcW w:w="660" w:type="dxa"/>
            <w:vAlign w:val="bottom"/>
            <w:tcBorders>
              <w:bottom w:val="single" w:sz="8" w:color="CFF0FC"/>
            </w:tcBorders>
            <w:gridSpan w:val="2"/>
            <w:vMerge w:val="continue"/>
            <w:shd w:val="clear" w:color="auto" w:fill="CFF0FC"/>
          </w:tcPr>
          <w:p>
            <w:pPr>
              <w:spacing w:after="0"/>
              <w:rPr>
                <w:sz w:val="9"/>
                <w:szCs w:val="9"/>
                <w:color w:val="auto"/>
              </w:rPr>
            </w:pPr>
          </w:p>
        </w:tc>
        <w:tc>
          <w:tcPr>
            <w:tcW w:w="320" w:type="dxa"/>
            <w:vAlign w:val="bottom"/>
            <w:tcBorders>
              <w:bottom w:val="single" w:sz="8" w:color="CFF0FC"/>
            </w:tcBorders>
            <w:gridSpan w:val="2"/>
            <w:vMerge w:val="continue"/>
            <w:shd w:val="clear" w:color="auto" w:fill="CFF0FC"/>
          </w:tcPr>
          <w:p>
            <w:pPr>
              <w:spacing w:after="0"/>
              <w:rPr>
                <w:sz w:val="9"/>
                <w:szCs w:val="9"/>
                <w:color w:val="auto"/>
              </w:rPr>
            </w:pPr>
          </w:p>
        </w:tc>
        <w:tc>
          <w:tcPr>
            <w:tcW w:w="62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947</w:t>
            </w:r>
          </w:p>
        </w:tc>
        <w:tc>
          <w:tcPr>
            <w:tcW w:w="22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vMerge w:val="continue"/>
            <w:shd w:val="clear" w:color="auto" w:fill="CFF0FC"/>
          </w:tcPr>
          <w:p>
            <w:pPr>
              <w:spacing w:after="0"/>
              <w:rPr>
                <w:sz w:val="9"/>
                <w:szCs w:val="9"/>
                <w:color w:val="auto"/>
              </w:rPr>
            </w:pPr>
          </w:p>
        </w:tc>
        <w:tc>
          <w:tcPr>
            <w:tcW w:w="60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536</w:t>
            </w:r>
          </w:p>
        </w:tc>
        <w:tc>
          <w:tcPr>
            <w:tcW w:w="2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vMerge w:val="continue"/>
            <w:shd w:val="clear" w:color="auto" w:fill="CFF0FC"/>
          </w:tcPr>
          <w:p>
            <w:pPr>
              <w:spacing w:after="0"/>
              <w:rPr>
                <w:sz w:val="9"/>
                <w:szCs w:val="9"/>
                <w:color w:val="auto"/>
              </w:rPr>
            </w:pPr>
          </w:p>
        </w:tc>
        <w:tc>
          <w:tcPr>
            <w:tcW w:w="760" w:type="dxa"/>
            <w:vAlign w:val="bottom"/>
            <w:tcBorders>
              <w:bottom w:val="single" w:sz="8" w:color="CFF0FC"/>
            </w:tcBorders>
            <w:gridSpan w:val="2"/>
            <w:shd w:val="clear" w:color="auto" w:fill="CFF0FC"/>
          </w:tcPr>
          <w:p>
            <w:pPr>
              <w:jc w:val="right"/>
              <w:ind w:right="80"/>
              <w:spacing w:after="0" w:line="114" w:lineRule="exact"/>
              <w:rPr>
                <w:sz w:val="20"/>
                <w:szCs w:val="20"/>
                <w:color w:val="auto"/>
              </w:rPr>
            </w:pPr>
            <w:r>
              <w:rPr>
                <w:rFonts w:ascii="Times New Roman" w:cs="Times New Roman" w:eastAsia="Times New Roman" w:hAnsi="Times New Roman"/>
                <w:sz w:val="11"/>
                <w:szCs w:val="11"/>
                <w:color w:val="auto"/>
              </w:rPr>
              <w:t>229,841</w:t>
            </w:r>
          </w:p>
        </w:tc>
        <w:tc>
          <w:tcPr>
            <w:tcW w:w="180" w:type="dxa"/>
            <w:vAlign w:val="bottom"/>
            <w:tcBorders>
              <w:bottom w:val="single" w:sz="8" w:color="CFF0FC"/>
            </w:tcBorders>
            <w:gridSpan w:val="2"/>
            <w:vMerge w:val="continue"/>
            <w:shd w:val="clear" w:color="auto" w:fill="CFF0FC"/>
          </w:tcPr>
          <w:p>
            <w:pPr>
              <w:spacing w:after="0"/>
              <w:rPr>
                <w:sz w:val="9"/>
                <w:szCs w:val="9"/>
                <w:color w:val="auto"/>
              </w:rPr>
            </w:pPr>
          </w:p>
        </w:tc>
        <w:tc>
          <w:tcPr>
            <w:tcW w:w="900" w:type="dxa"/>
            <w:vAlign w:val="bottom"/>
            <w:tcBorders>
              <w:bottom w:val="single" w:sz="8" w:color="CFF0FC"/>
            </w:tcBorders>
            <w:gridSpan w:val="2"/>
            <w:shd w:val="clear" w:color="auto" w:fill="CFF0FC"/>
          </w:tcPr>
          <w:p>
            <w:pPr>
              <w:jc w:val="right"/>
              <w:ind w:right="200"/>
              <w:spacing w:after="0" w:line="114" w:lineRule="exact"/>
              <w:rPr>
                <w:sz w:val="20"/>
                <w:szCs w:val="20"/>
                <w:color w:val="auto"/>
              </w:rPr>
            </w:pPr>
            <w:r>
              <w:rPr>
                <w:rFonts w:ascii="Times New Roman" w:cs="Times New Roman" w:eastAsia="Times New Roman" w:hAnsi="Times New Roman"/>
                <w:sz w:val="11"/>
                <w:szCs w:val="11"/>
                <w:color w:val="auto"/>
              </w:rPr>
              <w:t>1,409</w:t>
            </w:r>
          </w:p>
        </w:tc>
        <w:tc>
          <w:tcPr>
            <w:tcW w:w="160" w:type="dxa"/>
            <w:vAlign w:val="bottom"/>
            <w:tcBorders>
              <w:bottom w:val="single" w:sz="8" w:color="CFF0FC"/>
            </w:tcBorders>
            <w:vMerge w:val="continue"/>
            <w:shd w:val="clear" w:color="auto" w:fill="CFF0FC"/>
          </w:tcPr>
          <w:p>
            <w:pPr>
              <w:spacing w:after="0"/>
              <w:rPr>
                <w:sz w:val="9"/>
                <w:szCs w:val="9"/>
                <w:color w:val="auto"/>
              </w:rPr>
            </w:pPr>
          </w:p>
        </w:tc>
        <w:tc>
          <w:tcPr>
            <w:tcW w:w="740" w:type="dxa"/>
            <w:vAlign w:val="bottom"/>
            <w:tcBorders>
              <w:bottom w:val="single" w:sz="8" w:color="CFF0FC"/>
            </w:tcBorders>
            <w:gridSpan w:val="2"/>
            <w:shd w:val="clear" w:color="auto" w:fill="CFF0FC"/>
          </w:tcPr>
          <w:p>
            <w:pPr>
              <w:jc w:val="right"/>
              <w:ind w:right="80"/>
              <w:spacing w:after="0" w:line="114" w:lineRule="exact"/>
              <w:rPr>
                <w:sz w:val="20"/>
                <w:szCs w:val="20"/>
                <w:color w:val="auto"/>
              </w:rPr>
            </w:pPr>
            <w:r>
              <w:rPr>
                <w:rFonts w:ascii="Times New Roman" w:cs="Times New Roman" w:eastAsia="Times New Roman" w:hAnsi="Times New Roman"/>
                <w:sz w:val="11"/>
                <w:szCs w:val="11"/>
                <w:color w:val="auto"/>
              </w:rPr>
              <w:t>233,772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Municipal lease finance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receivables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2,788</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4,843</w:t>
            </w: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24,586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31,325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63,598</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Municipal lease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finance receivables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2,788</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4,843</w:t>
            </w: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24,586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31,379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63,652</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SFR mortgage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29,363</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18,220</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19,901</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58,504</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40,186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121,279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287,453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SFR mortgage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29,363</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18,220</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19,901</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58,504</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40,186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121,990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288,435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Consumer and other</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1,445</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4,700</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2,452</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39,607</w:t>
            </w:r>
          </w:p>
        </w:tc>
        <w:tc>
          <w:tcPr>
            <w:tcW w:w="8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2,610</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52,945</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Consumer and</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other 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1,445</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4,700</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2,452</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1,018</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39,612</w:t>
            </w:r>
          </w:p>
        </w:tc>
        <w:tc>
          <w:tcPr>
            <w:tcW w:w="8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2,907</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53,322</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Loans, at amortized cost: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407,760</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456,206</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534,995</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1,396,196</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1,190,536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3,240,773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726,114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48,665</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8,001,245</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9,746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11,966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40,574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25,564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141,745</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13,321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283,834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1,217</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4,539</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2,220</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7,481</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3,729</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42,887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7,314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4,035</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73,422</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0" w:type="dxa"/>
            <w:vAlign w:val="bottom"/>
            <w:tcBorders>
              <w:bottom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Loans at amortized cost:</w:t>
            </w: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409,471</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470,491</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549,181</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1,444,251</w:t>
            </w: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1,219,829</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3,425,405</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773,852</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66,021</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8,358,501</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00" w:type="dxa"/>
            <w:vAlign w:val="bottom"/>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restart"/>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restart"/>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22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vMerge w:val="restart"/>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2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0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80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b w:val="1"/>
                <w:bCs w:val="1"/>
                <w:color w:val="auto"/>
              </w:rPr>
              <w:t>Total gross charge-offs</w:t>
            </w: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 w:name="page17"/>
    <w:bookmarkEnd w:id="16"/>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Revolving loans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gridSpan w:val="3"/>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6"/>
              </w:rPr>
              <w:t>amortized</w:t>
            </w:r>
          </w:p>
        </w:tc>
        <w:tc>
          <w:tcPr>
            <w:tcW w:w="180" w:type="dxa"/>
            <w:vAlign w:val="bottom"/>
          </w:tcPr>
          <w:p>
            <w:pPr>
              <w:spacing w:after="0"/>
              <w:rPr>
                <w:sz w:val="11"/>
                <w:szCs w:val="11"/>
                <w:color w:val="auto"/>
              </w:rPr>
            </w:pPr>
          </w:p>
        </w:tc>
        <w:tc>
          <w:tcPr>
            <w:tcW w:w="82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00" w:type="dxa"/>
            <w:vAlign w:val="bottom"/>
          </w:tcPr>
          <w:p>
            <w:pPr>
              <w:spacing w:after="0"/>
              <w:rPr>
                <w:sz w:val="11"/>
                <w:szCs w:val="11"/>
                <w:color w:val="auto"/>
              </w:rPr>
            </w:pPr>
          </w:p>
        </w:tc>
        <w:tc>
          <w:tcPr>
            <w:tcW w:w="7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Pr>
          <w:p>
            <w:pPr>
              <w:spacing w:after="0"/>
              <w:rPr>
                <w:sz w:val="11"/>
                <w:szCs w:val="11"/>
                <w:color w:val="auto"/>
              </w:rPr>
            </w:pPr>
          </w:p>
        </w:tc>
        <w:tc>
          <w:tcPr>
            <w:tcW w:w="72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Pr>
          <w:p>
            <w:pPr>
              <w:spacing w:after="0"/>
              <w:rPr>
                <w:sz w:val="11"/>
                <w:szCs w:val="11"/>
                <w:color w:val="auto"/>
              </w:rPr>
            </w:pPr>
          </w:p>
        </w:tc>
        <w:tc>
          <w:tcPr>
            <w:tcW w:w="72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60" w:type="dxa"/>
            <w:vAlign w:val="bottom"/>
          </w:tcPr>
          <w:p>
            <w:pPr>
              <w:spacing w:after="0"/>
              <w:rPr>
                <w:sz w:val="11"/>
                <w:szCs w:val="11"/>
                <w:color w:val="auto"/>
              </w:rPr>
            </w:pPr>
          </w:p>
        </w:tc>
        <w:tc>
          <w:tcPr>
            <w:tcW w:w="68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2021</w:t>
            </w:r>
          </w:p>
        </w:tc>
        <w:tc>
          <w:tcPr>
            <w:tcW w:w="320" w:type="dxa"/>
            <w:vAlign w:val="bottom"/>
          </w:tcPr>
          <w:p>
            <w:pPr>
              <w:spacing w:after="0"/>
              <w:rPr>
                <w:sz w:val="11"/>
                <w:szCs w:val="11"/>
                <w:color w:val="auto"/>
              </w:rPr>
            </w:pPr>
          </w:p>
        </w:tc>
        <w:tc>
          <w:tcPr>
            <w:tcW w:w="780" w:type="dxa"/>
            <w:vAlign w:val="bottom"/>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2020</w:t>
            </w:r>
          </w:p>
        </w:tc>
        <w:tc>
          <w:tcPr>
            <w:tcW w:w="220" w:type="dxa"/>
            <w:vAlign w:val="bottom"/>
          </w:tcPr>
          <w:p>
            <w:pPr>
              <w:spacing w:after="0"/>
              <w:rPr>
                <w:sz w:val="11"/>
                <w:szCs w:val="11"/>
                <w:color w:val="auto"/>
              </w:rPr>
            </w:pPr>
          </w:p>
        </w:tc>
        <w:tc>
          <w:tcPr>
            <w:tcW w:w="7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00" w:type="dxa"/>
            <w:vAlign w:val="bottom"/>
          </w:tcPr>
          <w:p>
            <w:pPr>
              <w:spacing w:after="0"/>
              <w:rPr>
                <w:sz w:val="11"/>
                <w:szCs w:val="11"/>
                <w:color w:val="auto"/>
              </w:rPr>
            </w:pPr>
          </w:p>
        </w:tc>
        <w:tc>
          <w:tcPr>
            <w:tcW w:w="80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9"/>
              </w:rPr>
              <w:t>cost basis</w:t>
            </w:r>
          </w:p>
        </w:tc>
        <w:tc>
          <w:tcPr>
            <w:tcW w:w="180" w:type="dxa"/>
            <w:vAlign w:val="bottom"/>
          </w:tcPr>
          <w:p>
            <w:pPr>
              <w:spacing w:after="0"/>
              <w:rPr>
                <w:sz w:val="11"/>
                <w:szCs w:val="11"/>
                <w:color w:val="auto"/>
              </w:rPr>
            </w:pPr>
          </w:p>
        </w:tc>
        <w:tc>
          <w:tcPr>
            <w:tcW w:w="82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6"/>
              </w:rPr>
              <w:t>term loans</w:t>
            </w:r>
          </w:p>
        </w:tc>
        <w:tc>
          <w:tcPr>
            <w:tcW w:w="240" w:type="dxa"/>
            <w:vAlign w:val="bottom"/>
          </w:tcPr>
          <w:p>
            <w:pPr>
              <w:spacing w:after="0"/>
              <w:rPr>
                <w:sz w:val="11"/>
                <w:szCs w:val="11"/>
                <w:color w:val="auto"/>
              </w:rPr>
            </w:pPr>
          </w:p>
        </w:tc>
        <w:tc>
          <w:tcPr>
            <w:tcW w:w="7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Commercial real estate</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307,984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419,547</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1,216,126</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1,066,694</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828,493</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2,170,119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197,991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37,704</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6,244,658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1,075</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4,910</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36,505</w:t>
            </w:r>
          </w:p>
        </w:tc>
        <w:tc>
          <w:tcPr>
            <w:tcW w:w="26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21,478</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17,056</w:t>
            </w:r>
          </w:p>
        </w:tc>
        <w:tc>
          <w:tcPr>
            <w:tcW w:w="22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104,201</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3,937</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1,287</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190,449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1,176</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244</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6,775</w:t>
            </w: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9,057</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15,138</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34,259</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5,696</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72,345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Commercial real</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estate loans: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310,235</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424,701</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1,259,406</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1,097,229</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860,687</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2,308,579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207,624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38,991</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6,507,452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jc w:val="center"/>
              <w:ind w:right="44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2,258</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2,258</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Construction loans:</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7,717</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315</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8,050</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16,082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Construction</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7,717</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315</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8,050</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16,082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jc w:val="center"/>
              <w:ind w:right="44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SBA loans:</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33,531</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16,064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46,393</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47,810</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23,733</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92,012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259,543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1,337</w:t>
            </w:r>
          </w:p>
        </w:tc>
        <w:tc>
          <w:tcPr>
            <w:tcW w:w="32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4,716</w:t>
            </w:r>
          </w:p>
        </w:tc>
        <w:tc>
          <w:tcPr>
            <w:tcW w:w="2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1,830</w:t>
            </w:r>
          </w:p>
        </w:tc>
        <w:tc>
          <w:tcPr>
            <w:tcW w:w="20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7,883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1,581</w:t>
            </w: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4,006</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5,587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SBA loans: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33,531</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16,064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47,974</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49,147</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28,449</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97,848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273,013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jc w:val="center"/>
              <w:ind w:right="44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165</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165</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SBA - PPP loans:</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254</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520</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SBA - PPP loans: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254</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520</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jc w:val="center"/>
              <w:ind w:right="44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Commercial and</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shd w:val="clear" w:color="auto" w:fill="CFF0FC"/>
          </w:tcPr>
          <w:p>
            <w:pPr>
              <w:jc w:val="center"/>
              <w:ind w:right="466"/>
              <w:spacing w:after="0"/>
              <w:rPr>
                <w:sz w:val="20"/>
                <w:szCs w:val="20"/>
                <w:color w:val="auto"/>
              </w:rPr>
            </w:pPr>
            <w:r>
              <w:rPr>
                <w:rFonts w:ascii="Times New Roman" w:cs="Times New Roman" w:eastAsia="Times New Roman" w:hAnsi="Times New Roman"/>
                <w:sz w:val="11"/>
                <w:szCs w:val="11"/>
                <w:b w:val="1"/>
                <w:bCs w:val="1"/>
                <w:color w:val="auto"/>
                <w:w w:val="99"/>
              </w:rPr>
              <w:t>industrial loans:</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100,465</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100,242</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111,982</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67,706</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69,084</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118,069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318,147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6,213</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891,908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0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819</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2,213</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1,026</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2,169</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421</w:t>
            </w:r>
          </w:p>
        </w:tc>
        <w:tc>
          <w:tcPr>
            <w:tcW w:w="22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4,175</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8,136</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4,830</w:t>
            </w:r>
          </w:p>
        </w:tc>
        <w:tc>
          <w:tcPr>
            <w:tcW w:w="2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23,789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3,029</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523</w:t>
            </w: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1,997</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3,921</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9,481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Commercial and</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shd w:val="clear" w:color="auto" w:fill="CFF0FC"/>
          </w:tcPr>
          <w:p>
            <w:pPr>
              <w:jc w:val="center"/>
              <w:ind w:right="466"/>
              <w:spacing w:after="0"/>
              <w:rPr>
                <w:sz w:val="20"/>
                <w:szCs w:val="20"/>
                <w:color w:val="auto"/>
              </w:rPr>
            </w:pPr>
            <w:r>
              <w:rPr>
                <w:rFonts w:ascii="Times New Roman" w:cs="Times New Roman" w:eastAsia="Times New Roman" w:hAnsi="Times New Roman"/>
                <w:sz w:val="11"/>
                <w:szCs w:val="11"/>
                <w:b w:val="1"/>
                <w:bCs w:val="1"/>
                <w:color w:val="auto"/>
                <w:w w:val="99"/>
              </w:rPr>
              <w:t>industrial loans: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101,284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105,484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113,531</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69,886</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69,505</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122,244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328,280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14,964</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925,178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jc w:val="center"/>
              <w:ind w:right="44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300</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1,186</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495</w:t>
            </w:r>
          </w:p>
        </w:tc>
        <w:tc>
          <w:tcPr>
            <w:tcW w:w="2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1,981</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 w:name="page18"/>
    <w:bookmarkEnd w:id="17"/>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100" w:type="dxa"/>
            <w:vAlign w:val="bottom"/>
          </w:tcPr>
          <w:p>
            <w:pPr>
              <w:spacing w:after="0"/>
              <w:rPr>
                <w:sz w:val="11"/>
                <w:szCs w:val="11"/>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amortized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6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cost basis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term loans</w:t>
            </w:r>
          </w:p>
        </w:tc>
        <w:tc>
          <w:tcPr>
            <w:tcW w:w="160" w:type="dxa"/>
            <w:vAlign w:val="bottom"/>
          </w:tcPr>
          <w:p>
            <w:pPr>
              <w:spacing w:after="0"/>
              <w:rPr>
                <w:sz w:val="11"/>
                <w:szCs w:val="11"/>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Dairy &amp; livestock and</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agribusiness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812</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596</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327,850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330,198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2,901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1,650</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88,846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860</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Dairy &amp; livestock</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and agribusiness</w:t>
            </w:r>
          </w:p>
        </w:tc>
        <w:tc>
          <w:tcPr>
            <w:tcW w:w="16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3,713</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2,463</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00" w:type="dxa"/>
            <w:vAlign w:val="bottom"/>
            <w:tcBorders>
              <w:bottom w:val="single" w:sz="8" w:color="CFF0FC"/>
            </w:tcBorders>
            <w:shd w:val="clear" w:color="auto" w:fill="CFF0FC"/>
          </w:tcPr>
          <w:p>
            <w:pPr>
              <w:ind w:left="60"/>
              <w:spacing w:after="0" w:line="114" w:lineRule="exact"/>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tcBorders>
              <w:bottom w:val="single" w:sz="8" w:color="CFF0FC"/>
            </w:tcBorders>
            <w:shd w:val="clear" w:color="auto" w:fill="CFF0FC"/>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FF0FC"/>
            </w:tcBorders>
            <w:gridSpan w:val="2"/>
            <w:vMerge w:val="continue"/>
            <w:shd w:val="clear" w:color="auto" w:fill="CFF0FC"/>
          </w:tcPr>
          <w:p>
            <w:pPr>
              <w:spacing w:after="0"/>
              <w:rPr>
                <w:sz w:val="9"/>
                <w:szCs w:val="9"/>
                <w:color w:val="auto"/>
              </w:rPr>
            </w:pPr>
          </w:p>
        </w:tc>
        <w:tc>
          <w:tcPr>
            <w:tcW w:w="280" w:type="dxa"/>
            <w:vAlign w:val="bottom"/>
            <w:tcBorders>
              <w:bottom w:val="single" w:sz="8" w:color="CFF0FC"/>
            </w:tcBorders>
            <w:gridSpan w:val="2"/>
            <w:shd w:val="clear" w:color="auto" w:fill="CFF0FC"/>
          </w:tcPr>
          <w:p>
            <w:pPr>
              <w:jc w:val="right"/>
              <w:ind w:right="93"/>
              <w:spacing w:after="0" w:line="11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FF0FC"/>
            </w:tcBorders>
            <w:gridSpan w:val="2"/>
            <w:shd w:val="clear" w:color="auto" w:fill="CFF0FC"/>
          </w:tcPr>
          <w:p>
            <w:pPr>
              <w:jc w:val="right"/>
              <w:ind w:right="93"/>
              <w:spacing w:after="0" w:line="114"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FF0FC"/>
            </w:tcBorders>
            <w:gridSpan w:val="2"/>
            <w:shd w:val="clear" w:color="auto" w:fill="CFF0FC"/>
          </w:tcPr>
          <w:p>
            <w:pPr>
              <w:jc w:val="right"/>
              <w:ind w:right="2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FF0FC"/>
            </w:tcBorders>
            <w:shd w:val="clear" w:color="auto" w:fill="CFF0FC"/>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596</w:t>
            </w:r>
          </w:p>
        </w:tc>
        <w:tc>
          <w:tcPr>
            <w:tcW w:w="6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CFF0FC"/>
            </w:tcBorders>
            <w:gridSpan w:val="2"/>
            <w:shd w:val="clear" w:color="auto" w:fill="CFF0FC"/>
          </w:tcPr>
          <w:p>
            <w:pPr>
              <w:jc w:val="right"/>
              <w:ind w:right="93"/>
              <w:spacing w:after="0" w:line="11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786</w:t>
            </w:r>
          </w:p>
        </w:tc>
        <w:tc>
          <w:tcPr>
            <w:tcW w:w="22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201</w:t>
            </w:r>
          </w:p>
        </w:tc>
        <w:tc>
          <w:tcPr>
            <w:tcW w:w="2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FF0FC"/>
            </w:tcBorders>
            <w:gridSpan w:val="2"/>
            <w:shd w:val="clear" w:color="auto" w:fill="CFF0FC"/>
          </w:tcPr>
          <w:p>
            <w:pPr>
              <w:jc w:val="right"/>
              <w:ind w:right="80"/>
              <w:spacing w:after="0" w:line="114" w:lineRule="exact"/>
              <w:rPr>
                <w:sz w:val="20"/>
                <w:szCs w:val="20"/>
                <w:color w:val="auto"/>
              </w:rPr>
            </w:pPr>
            <w:r>
              <w:rPr>
                <w:rFonts w:ascii="Times New Roman" w:cs="Times New Roman" w:eastAsia="Times New Roman" w:hAnsi="Times New Roman"/>
                <w:sz w:val="11"/>
                <w:szCs w:val="11"/>
                <w:color w:val="auto"/>
              </w:rPr>
              <w:t>412,145</w:t>
            </w:r>
          </w:p>
        </w:tc>
        <w:tc>
          <w:tcPr>
            <w:tcW w:w="180" w:type="dxa"/>
            <w:vAlign w:val="bottom"/>
            <w:tcBorders>
              <w:bottom w:val="single" w:sz="8" w:color="CFF0FC"/>
            </w:tcBorders>
            <w:gridSpan w:val="2"/>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FF0FC"/>
            </w:tcBorders>
            <w:gridSpan w:val="2"/>
            <w:vMerge w:val="continue"/>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FF0FC"/>
            </w:tcBorders>
            <w:gridSpan w:val="2"/>
            <w:shd w:val="clear" w:color="auto" w:fill="CFF0FC"/>
          </w:tcPr>
          <w:p>
            <w:pPr>
              <w:jc w:val="right"/>
              <w:ind w:right="80"/>
              <w:spacing w:after="0" w:line="114" w:lineRule="exact"/>
              <w:rPr>
                <w:sz w:val="20"/>
                <w:szCs w:val="20"/>
                <w:color w:val="auto"/>
              </w:rPr>
            </w:pPr>
            <w:r>
              <w:rPr>
                <w:rFonts w:ascii="Times New Roman" w:cs="Times New Roman" w:eastAsia="Times New Roman" w:hAnsi="Times New Roman"/>
                <w:sz w:val="11"/>
                <w:szCs w:val="11"/>
                <w:color w:val="auto"/>
              </w:rPr>
              <w:t>419,904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Municipal lease finance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receivables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2,540</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5,111</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24,715</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5,140</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28,510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66,016</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Municipal lease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finance receivables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2,540</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5,111</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24,715</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5,140</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28,608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66,114</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SFR mortgage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20,261</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21,055</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59,763</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41,156</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38,730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85,637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266,602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1,591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979</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SFR mortgage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20,261</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21,055</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59,763</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41,156</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39,626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87,027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269,172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Consumer and other</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7,242</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3,043</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1,521</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1,850</w:t>
            </w: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42,035</w:t>
            </w:r>
          </w:p>
        </w:tc>
        <w:tc>
          <w:tcPr>
            <w:tcW w:w="8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1,855</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58,312</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Consumer and</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other 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7,242</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3,043</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1,521</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1,980</w:t>
            </w: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42,039</w:t>
            </w:r>
          </w:p>
        </w:tc>
        <w:tc>
          <w:tcPr>
            <w:tcW w:w="8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2,152</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58,743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Loans, at amortized cost: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480,552</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560,266</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1,448,946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1,250,781</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966,628</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2,495,112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886,023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45,785</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8,134,093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4,795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7,123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37,531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23,089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110,715</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96,372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8,051</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312,790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1,176</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3,273</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8,879</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9,068</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15,138</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39,304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7,693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5,018</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89,549</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0" w:type="dxa"/>
            <w:vAlign w:val="bottom"/>
            <w:tcBorders>
              <w:bottom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Loans at amortized cost:</w:t>
            </w: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486,523</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570,662</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1,495,356</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1,284,963</w:t>
            </w: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1,004,855</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2,645,131</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990,088</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58,854</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8,536,432</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00" w:type="dxa"/>
            <w:vAlign w:val="bottom"/>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restart"/>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restart"/>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22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vMerge w:val="restart"/>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3,609</w:t>
            </w:r>
          </w:p>
        </w:tc>
        <w:tc>
          <w:tcPr>
            <w:tcW w:w="2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20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4,408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80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b w:val="1"/>
                <w:bCs w:val="1"/>
                <w:color w:val="auto"/>
              </w:rPr>
              <w:t>Gross charge-offs</w:t>
            </w: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i w:val="1"/>
          <w:iCs w:val="1"/>
          <w:color w:val="auto"/>
        </w:rPr>
        <w:t>Allowance for Credit Losses ("ACL")</w:t>
      </w:r>
    </w:p>
    <w:p>
      <w:pPr>
        <w:spacing w:after="0" w:line="180" w:lineRule="exact"/>
        <w:rPr>
          <w:sz w:val="20"/>
          <w:szCs w:val="20"/>
          <w:color w:val="auto"/>
        </w:rPr>
      </w:pPr>
    </w:p>
    <w:p>
      <w:pPr>
        <w:ind w:firstLine="432"/>
        <w:spacing w:after="0" w:line="236" w:lineRule="auto"/>
        <w:rPr>
          <w:sz w:val="20"/>
          <w:szCs w:val="20"/>
          <w:color w:val="auto"/>
        </w:rPr>
      </w:pPr>
      <w:r>
        <w:rPr>
          <w:rFonts w:ascii="Times New Roman" w:cs="Times New Roman" w:eastAsia="Times New Roman" w:hAnsi="Times New Roman"/>
          <w:sz w:val="16"/>
          <w:szCs w:val="16"/>
          <w:color w:val="auto"/>
        </w:rPr>
        <w:t xml:space="preserve">The Company's allowance models calculate reserves over the average life of the loan, which includes the remaining time to maturity, adjusted for estimated prepayments applied as an adjustment to our commercial real estate and commercial and industrial loans. 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A substantial portion of the ACL relates to loans within the Commercial Real Estate and Commercial and Industrial methodologies, each evaluated on a collective basis. Our ACL amounts are largely driven by portfolio characteristics, including loss history, internal risk grading, various risk attributes, and the economic outlook for certain macroeconomic variables. Risk attributes for commercial real estate loans include Original Loan to Value ratios ("OLTV"), origination year, loan 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(excluding Paycheck Protection Program loans) .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The Company’s ACL estimate incorporates a reasonable and supportable forecast of various macroeconomic variables over the remaining average life of our loans. This forecast incorporates an assumption that each macroeconomic variable will revert to a long-term expectation, starting in years two through three, of the reasonable and supportable forecast period, with the reversion largely completed within the first five years of the forecast. The economic forecast is based on probability weighted scenarios to address macroeconomic uncertainty. Our methodology for assessing the appropriateness of the allowance is reviewed on a regular basis and considers overall risks in the Bank’s loan portfolio. Refer to Note 3 – </w:t>
      </w:r>
      <w:r>
        <w:rPr>
          <w:rFonts w:ascii="Times New Roman" w:cs="Times New Roman" w:eastAsia="Times New Roman" w:hAnsi="Times New Roman"/>
          <w:sz w:val="16"/>
          <w:szCs w:val="16"/>
          <w:i w:val="1"/>
          <w:iCs w:val="1"/>
          <w:color w:val="auto"/>
        </w:rPr>
        <w:t>Summary of significant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Policies </w:t>
      </w:r>
      <w:r>
        <w:rPr>
          <w:rFonts w:ascii="Times New Roman" w:cs="Times New Roman" w:eastAsia="Times New Roman" w:hAnsi="Times New Roman"/>
          <w:sz w:val="16"/>
          <w:szCs w:val="16"/>
          <w:color w:val="auto"/>
        </w:rPr>
        <w:t>included in our Annual Report on Form 10-K for the year ended December 31, 2024 for a more detailed discussion concerning the allowance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credit losses.</w:t>
      </w:r>
    </w:p>
    <w:p>
      <w:pPr>
        <w:spacing w:after="0" w:line="161" w:lineRule="exact"/>
        <w:rPr>
          <w:sz w:val="20"/>
          <w:szCs w:val="20"/>
          <w:color w:val="auto"/>
        </w:rPr>
      </w:pPr>
    </w:p>
    <w:p>
      <w:pPr>
        <w:ind w:right="120" w:firstLine="432"/>
        <w:spacing w:after="0" w:line="278" w:lineRule="auto"/>
        <w:rPr>
          <w:sz w:val="20"/>
          <w:szCs w:val="20"/>
          <w:color w:val="auto"/>
        </w:rPr>
      </w:pPr>
      <w:r>
        <w:rPr>
          <w:rFonts w:ascii="Times New Roman" w:cs="Times New Roman" w:eastAsia="Times New Roman" w:hAnsi="Times New Roman"/>
          <w:sz w:val="14"/>
          <w:szCs w:val="14"/>
          <w:color w:val="auto"/>
        </w:rPr>
        <w:t>The ACL totaled $78.0 million at June 30, 2025, compared to $80.1 million at December 31, 2024. The $2.1 million decrease in the ACL from December 31, 2024 to June 30, 2025 was comprised of $0.1 million in net charge-offs and $2 million recapture of provision for credit losses in the first quarter. At June 30, 2025, the ACL as a percentage of total loans and leases, at amortized cost, was 0.93%. This compares to 0.94% at December 31, 2024. Our economic forecast continues to be a blend of multiple forecasts produced by Moody’s. These U.S. economic forecasts include a baseline forecast, as well as downside forecasts. The baseline forecast continues to represent the largest weighting in our multi-weighted forecast scenario, with downside risks weighted among multiple forecasts. As of June 30, 2025, the resulting weighted forecast resulted in Real GDP declining in the second half of 2025. GDP growth is forecasted to be below 1% until the second half of 2026 and will reach over 2% by end of 2027. The unemployment rate is forecasted to reach 5% by the beginning of 2026 and stay elevated through 2028.</w:t>
      </w:r>
    </w:p>
    <w:p>
      <w:pPr>
        <w:spacing w:after="0" w:line="135"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6"/>
          <w:szCs w:val="16"/>
          <w:color w:val="auto"/>
        </w:rPr>
        <w:t>Management believes that the ACL was appropriate at June 30, 2025 and December 31, 2024. Due to inflationary pressures, high interest rates, lower commercial real estate values, international tariffs, and geopolitical events, no assurance can be given that economic conditions that adversely affect the Company’s service areas or other circumstances will not be reflected in increased provisions for credit losses in the future.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19" w:name="page20"/>
    <w:bookmarkEnd w:id="19"/>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tables present the balance and activity related to the allowance for credit losses for held-for-investment loans by type for the periods presented.</w:t>
      </w:r>
    </w:p>
    <w:p>
      <w:pPr>
        <w:sectPr>
          <w:pgSz w:w="11900" w:h="16840" w:orient="portrait"/>
          <w:cols w:equalWidth="0" w:num="1">
            <w:col w:w="10560"/>
          </w:cols>
          <w:pgMar w:left="660" w:top="1440"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Commercial real estate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Construction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SBA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Commercial and industrial</w:t>
      </w:r>
    </w:p>
    <w:p>
      <w:pPr>
        <w:spacing w:after="0" w:line="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3"/>
          <w:szCs w:val="13"/>
          <w:color w:val="auto"/>
        </w:rPr>
        <w:t>Dairy &amp; livestock and agribusiness Municipal lease finance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receivables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SFR mortgage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Consumer and other loans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Total allowance for credit losses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Three Months Ended June 30, 2025</w:t>
            </w:r>
          </w:p>
        </w:tc>
        <w:tc>
          <w:tcPr>
            <w:tcW w:w="80" w:type="dxa"/>
            <w:vAlign w:val="bottom"/>
          </w:tcPr>
          <w:p>
            <w:pPr>
              <w:spacing w:after="0"/>
              <w:rPr>
                <w:sz w:val="15"/>
                <w:szCs w:val="15"/>
                <w:color w:val="auto"/>
              </w:rPr>
            </w:pPr>
          </w:p>
        </w:tc>
        <w:tc>
          <w:tcPr>
            <w:tcW w:w="14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(Recapture of)</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Ending Balance March</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Provision for Credit</w:t>
            </w:r>
          </w:p>
        </w:tc>
        <w:tc>
          <w:tcPr>
            <w:tcW w:w="80" w:type="dxa"/>
            <w:vAlign w:val="bottom"/>
          </w:tcPr>
          <w:p>
            <w:pPr>
              <w:spacing w:after="0"/>
              <w:rPr>
                <w:sz w:val="13"/>
                <w:szCs w:val="13"/>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Ending Balance June</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1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31, 2025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Charge-offs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80" w:type="dxa"/>
            <w:vAlign w:val="bottom"/>
          </w:tcPr>
          <w:p>
            <w:pPr>
              <w:spacing w:after="0"/>
              <w:rPr>
                <w:sz w:val="13"/>
                <w:szCs w:val="13"/>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80" w:type="dxa"/>
            <w:vAlign w:val="bottom"/>
          </w:tcPr>
          <w:p>
            <w:pPr>
              <w:spacing w:after="0"/>
              <w:rPr>
                <w:sz w:val="13"/>
                <w:szCs w:val="13"/>
                <w:color w:val="auto"/>
              </w:rPr>
            </w:pPr>
          </w:p>
        </w:tc>
        <w:tc>
          <w:tcPr>
            <w:tcW w:w="130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30, 2025</w:t>
            </w:r>
          </w:p>
        </w:tc>
        <w:tc>
          <w:tcPr>
            <w:tcW w:w="0" w:type="dxa"/>
            <w:vAlign w:val="bottom"/>
          </w:tcPr>
          <w:p>
            <w:pPr>
              <w:spacing w:after="0"/>
              <w:rPr>
                <w:sz w:val="1"/>
                <w:szCs w:val="1"/>
                <w:color w:val="auto"/>
              </w:rPr>
            </w:pPr>
          </w:p>
        </w:tc>
      </w:tr>
      <w:tr>
        <w:trPr>
          <w:trHeight w:val="158"/>
        </w:trPr>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0" w:type="dxa"/>
            <w:vAlign w:val="bottom"/>
          </w:tcPr>
          <w:p>
            <w:pPr>
              <w:jc w:val="right"/>
              <w:ind w:right="141"/>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65,302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(760)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64,542</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3,066</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6,357</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2,554</w:t>
            </w:r>
          </w:p>
        </w:tc>
        <w:tc>
          <w:tcPr>
            <w:tcW w:w="0" w:type="dxa"/>
            <w:vAlign w:val="bottom"/>
          </w:tcPr>
          <w:p>
            <w:pPr>
              <w:spacing w:after="0"/>
              <w:rPr>
                <w:sz w:val="1"/>
                <w:szCs w:val="1"/>
                <w:color w:val="auto"/>
              </w:rPr>
            </w:pPr>
          </w:p>
        </w:tc>
      </w:tr>
      <w:tr>
        <w:trPr>
          <w:trHeight w:val="228"/>
        </w:trPr>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0" w:type="dxa"/>
            <w:vAlign w:val="bottom"/>
          </w:tcPr>
          <w:p>
            <w:pPr>
              <w:spacing w:after="0"/>
              <w:rPr>
                <w:sz w:val="1"/>
                <w:szCs w:val="1"/>
                <w:color w:val="auto"/>
              </w:rPr>
            </w:pPr>
          </w:p>
        </w:tc>
      </w:tr>
      <w:tr>
        <w:trPr>
          <w:trHeight w:val="168"/>
        </w:trPr>
        <w:tc>
          <w:tcPr>
            <w:tcW w:w="260" w:type="dxa"/>
            <w:vAlign w:val="bottom"/>
          </w:tcPr>
          <w:p>
            <w:pPr>
              <w:jc w:val="right"/>
              <w:ind w:right="141"/>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78,252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(429)</w:t>
            </w:r>
          </w:p>
        </w:tc>
        <w:tc>
          <w:tcPr>
            <w:tcW w:w="3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78,003</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-1012825</wp:posOffset>
            </wp:positionV>
            <wp:extent cx="6707505" cy="99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-814705</wp:posOffset>
            </wp:positionV>
            <wp:extent cx="6707505" cy="99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-616585</wp:posOffset>
            </wp:positionV>
            <wp:extent cx="6707505" cy="99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-319405</wp:posOffset>
            </wp:positionV>
            <wp:extent cx="6707505" cy="99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-121285</wp:posOffset>
            </wp:positionV>
            <wp:extent cx="6707505" cy="121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17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3"/>
          <w:szCs w:val="13"/>
          <w:b w:val="1"/>
          <w:bCs w:val="1"/>
          <w:color w:val="auto"/>
        </w:rPr>
        <w:t>Three Months Ended June 30, 2024</w:t>
      </w:r>
    </w:p>
    <w:p>
      <w:pPr>
        <w:spacing w:after="0" w:line="13" w:lineRule="exact"/>
        <w:rPr>
          <w:sz w:val="20"/>
          <w:szCs w:val="20"/>
          <w:color w:val="auto"/>
        </w:rPr>
      </w:pPr>
    </w:p>
    <w:p>
      <w:pPr>
        <w:sectPr>
          <w:pgSz w:w="11900" w:h="16840" w:orient="portrait"/>
          <w:cols w:equalWidth="0" w:num="2">
            <w:col w:w="1900" w:space="720"/>
            <w:col w:w="7940"/>
          </w:cols>
          <w:pgMar w:left="660" w:top="1440" w:right="680"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Provision for</w:t>
            </w: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5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Ending Balance March</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(Recapture of) Credit</w:t>
            </w:r>
          </w:p>
        </w:tc>
        <w:tc>
          <w:tcPr>
            <w:tcW w:w="6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Ending Balance June</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Charge-offs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14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60" w:type="dxa"/>
            <w:vAlign w:val="bottom"/>
          </w:tcPr>
          <w:p>
            <w:pPr>
              <w:spacing w:after="0"/>
              <w:rPr>
                <w:sz w:val="13"/>
                <w:szCs w:val="13"/>
                <w:color w:val="auto"/>
              </w:rPr>
            </w:pPr>
          </w:p>
        </w:tc>
        <w:tc>
          <w:tcPr>
            <w:tcW w:w="13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30, 2024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 real estate</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69,445</w:t>
            </w:r>
          </w:p>
        </w:tc>
        <w:tc>
          <w:tcPr>
            <w:tcW w:w="1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(40)</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69,405</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Construction</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(510)</w:t>
            </w:r>
          </w:p>
        </w:tc>
        <w:tc>
          <w:tcPr>
            <w:tcW w:w="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SBA</w:t>
            </w:r>
          </w:p>
        </w:tc>
        <w:tc>
          <w:tcPr>
            <w:tcW w:w="100" w:type="dxa"/>
            <w:vAlign w:val="bottom"/>
            <w:shd w:val="clear" w:color="auto" w:fill="CFF0FC"/>
          </w:tcPr>
          <w:p>
            <w:pPr>
              <w:spacing w:after="0"/>
              <w:rPr>
                <w:sz w:val="13"/>
                <w:szCs w:val="13"/>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2,531</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(49)</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0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14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00" w:type="dxa"/>
            <w:vAlign w:val="bottom"/>
            <w:shd w:val="clear" w:color="auto" w:fill="CFF0FC"/>
          </w:tcPr>
          <w:p>
            <w:pPr>
              <w:spacing w:after="0"/>
              <w:rPr>
                <w:sz w:val="13"/>
                <w:szCs w:val="13"/>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3,252</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24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Municipal lease finance</w:t>
            </w: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receivables</w:t>
            </w:r>
          </w:p>
        </w:tc>
        <w:tc>
          <w:tcPr>
            <w:tcW w:w="1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SFR mortgage</w:t>
            </w:r>
          </w:p>
        </w:tc>
        <w:tc>
          <w:tcPr>
            <w:tcW w:w="100" w:type="dxa"/>
            <w:vAlign w:val="bottom"/>
            <w:shd w:val="clear" w:color="auto" w:fill="CFF0FC"/>
          </w:tcPr>
          <w:p>
            <w:pPr>
              <w:spacing w:after="0"/>
              <w:rPr>
                <w:sz w:val="14"/>
                <w:szCs w:val="14"/>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Consumer and other loans</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w:t>
            </w:r>
          </w:p>
        </w:tc>
        <w:tc>
          <w:tcPr>
            <w:tcW w:w="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Total allowance for credit losses</w:t>
            </w:r>
          </w:p>
        </w:tc>
        <w:tc>
          <w:tcPr>
            <w:tcW w:w="1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righ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82,817</w:t>
            </w:r>
          </w:p>
        </w:tc>
        <w:tc>
          <w:tcPr>
            <w:tcW w:w="1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1320" w:type="dxa"/>
            <w:vAlign w:val="bottom"/>
            <w:gridSpan w:val="2"/>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(51)</w:t>
            </w:r>
          </w:p>
        </w:tc>
        <w:tc>
          <w:tcPr>
            <w:tcW w:w="340" w:type="dxa"/>
            <w:vAlign w:val="bottom"/>
            <w:gridSpan w:val="2"/>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righ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20</w:t>
            </w:r>
          </w:p>
        </w:tc>
        <w:tc>
          <w:tcPr>
            <w:tcW w:w="20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right w:val="single" w:sz="8" w:color="CFF0FC"/>
            </w:tcBorders>
            <w:gridSpan w:val="2"/>
            <w:shd w:val="clear" w:color="auto" w:fill="CFF0FC"/>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82,786</w:t>
            </w: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Six Months Ended June 30, 2025</w:t>
            </w:r>
          </w:p>
        </w:tc>
        <w:tc>
          <w:tcPr>
            <w:tcW w:w="140" w:type="dxa"/>
            <w:vAlign w:val="bottom"/>
          </w:tcPr>
          <w:p>
            <w:pPr>
              <w:spacing w:after="0"/>
              <w:rPr>
                <w:sz w:val="24"/>
                <w:szCs w:val="24"/>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(Recapture of)</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Provision for Credit</w:t>
            </w:r>
          </w:p>
        </w:tc>
        <w:tc>
          <w:tcPr>
            <w:tcW w:w="60" w:type="dxa"/>
            <w:vAlign w:val="bottom"/>
          </w:tcPr>
          <w:p>
            <w:pPr>
              <w:spacing w:after="0"/>
              <w:rPr>
                <w:sz w:val="13"/>
                <w:szCs w:val="13"/>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Ending Balance June</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Charge-offs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14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60" w:type="dxa"/>
            <w:vAlign w:val="bottom"/>
          </w:tcPr>
          <w:p>
            <w:pPr>
              <w:spacing w:after="0"/>
              <w:rPr>
                <w:sz w:val="13"/>
                <w:szCs w:val="13"/>
                <w:color w:val="auto"/>
              </w:rPr>
            </w:pPr>
          </w:p>
        </w:tc>
        <w:tc>
          <w:tcPr>
            <w:tcW w:w="13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30, 2025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Commercial real estate</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66,237</w:t>
            </w:r>
          </w:p>
        </w:tc>
        <w:tc>
          <w:tcPr>
            <w:tcW w:w="32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(1,695)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64,542</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Construction</w:t>
            </w:r>
          </w:p>
        </w:tc>
        <w:tc>
          <w:tcPr>
            <w:tcW w:w="100" w:type="dxa"/>
            <w:vAlign w:val="bottom"/>
            <w:shd w:val="clear" w:color="auto" w:fill="CFF0FC"/>
          </w:tcPr>
          <w:p>
            <w:pPr>
              <w:spacing w:after="0"/>
              <w:rPr>
                <w:sz w:val="13"/>
                <w:szCs w:val="13"/>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14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(84)</w:t>
            </w:r>
          </w:p>
        </w:tc>
        <w:tc>
          <w:tcPr>
            <w:tcW w:w="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SBA</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(51)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shd w:val="clear" w:color="auto" w:fill="CFF0FC"/>
          </w:tcPr>
          <w:p>
            <w:pPr>
              <w:spacing w:after="0"/>
              <w:rPr>
                <w:sz w:val="13"/>
                <w:szCs w:val="13"/>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6,093</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(413)</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20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24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6,357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(1,056)</w:t>
            </w:r>
          </w:p>
        </w:tc>
        <w:tc>
          <w:tcPr>
            <w:tcW w:w="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Municipal lease finance</w:t>
            </w:r>
          </w:p>
        </w:tc>
        <w:tc>
          <w:tcPr>
            <w:tcW w:w="100" w:type="dxa"/>
            <w:vAlign w:val="bottom"/>
            <w:shd w:val="clear" w:color="auto" w:fill="CFF0FC"/>
          </w:tcPr>
          <w:p>
            <w:pPr>
              <w:spacing w:after="0"/>
              <w:rPr>
                <w:sz w:val="12"/>
                <w:szCs w:val="12"/>
                <w:color w:val="auto"/>
              </w:rPr>
            </w:pPr>
          </w:p>
        </w:tc>
        <w:tc>
          <w:tcPr>
            <w:tcW w:w="13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gridSpan w:val="2"/>
            <w:vMerge w:val="restart"/>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62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receivables</w:t>
            </w:r>
          </w:p>
        </w:tc>
        <w:tc>
          <w:tcPr>
            <w:tcW w:w="100" w:type="dxa"/>
            <w:vAlign w:val="bottom"/>
            <w:shd w:val="clear" w:color="auto" w:fill="CFF0FC"/>
          </w:tcPr>
          <w:p>
            <w:pPr>
              <w:spacing w:after="0"/>
              <w:rPr>
                <w:sz w:val="7"/>
                <w:szCs w:val="7"/>
                <w:color w:val="auto"/>
              </w:rPr>
            </w:pPr>
          </w:p>
        </w:tc>
        <w:tc>
          <w:tcPr>
            <w:tcW w:w="1300" w:type="dxa"/>
            <w:vAlign w:val="bottom"/>
            <w:tcBorders>
              <w:right w:val="single" w:sz="8" w:color="CFF0FC"/>
            </w:tcBorders>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320" w:type="dxa"/>
            <w:vAlign w:val="bottom"/>
            <w:gridSpan w:val="2"/>
            <w:vMerge w:val="continue"/>
            <w:shd w:val="clear" w:color="auto" w:fill="CFF0FC"/>
          </w:tcPr>
          <w:p>
            <w:pPr>
              <w:spacing w:after="0"/>
              <w:rPr>
                <w:sz w:val="7"/>
                <w:szCs w:val="7"/>
                <w:color w:val="auto"/>
              </w:rPr>
            </w:pPr>
          </w:p>
        </w:tc>
        <w:tc>
          <w:tcPr>
            <w:tcW w:w="14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380" w:type="dxa"/>
            <w:vAlign w:val="bottom"/>
            <w:gridSpan w:val="2"/>
            <w:vMerge w:val="continue"/>
            <w:shd w:val="clear" w:color="auto" w:fill="CFF0FC"/>
          </w:tcPr>
          <w:p>
            <w:pPr>
              <w:spacing w:after="0"/>
              <w:rPr>
                <w:sz w:val="7"/>
                <w:szCs w:val="7"/>
                <w:color w:val="auto"/>
              </w:rPr>
            </w:pPr>
          </w:p>
        </w:tc>
        <w:tc>
          <w:tcPr>
            <w:tcW w:w="140" w:type="dxa"/>
            <w:vAlign w:val="bottom"/>
            <w:tcBorders>
              <w:left w:val="single" w:sz="8" w:color="CFF0FC"/>
            </w:tcBorders>
            <w:shd w:val="clear" w:color="auto" w:fill="CFF0FC"/>
          </w:tcPr>
          <w:p>
            <w:pPr>
              <w:spacing w:after="0"/>
              <w:rPr>
                <w:sz w:val="7"/>
                <w:szCs w:val="7"/>
                <w:color w:val="auto"/>
              </w:rPr>
            </w:pPr>
          </w:p>
        </w:tc>
        <w:tc>
          <w:tcPr>
            <w:tcW w:w="1240" w:type="dxa"/>
            <w:vAlign w:val="bottom"/>
            <w:vMerge w:val="continue"/>
            <w:shd w:val="clear" w:color="auto" w:fill="CFF0FC"/>
          </w:tcPr>
          <w:p>
            <w:pPr>
              <w:spacing w:after="0"/>
              <w:rPr>
                <w:sz w:val="7"/>
                <w:szCs w:val="7"/>
                <w:color w:val="auto"/>
              </w:rPr>
            </w:pPr>
          </w:p>
        </w:tc>
        <w:tc>
          <w:tcPr>
            <w:tcW w:w="240" w:type="dxa"/>
            <w:vAlign w:val="bottom"/>
            <w:tcBorders>
              <w:right w:val="single" w:sz="8" w:color="CFF0FC"/>
            </w:tcBorders>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1300" w:type="dxa"/>
            <w:vAlign w:val="bottom"/>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62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300" w:type="dxa"/>
            <w:vAlign w:val="bottom"/>
            <w:tcBorders>
              <w:right w:val="single" w:sz="8" w:color="CFF0FC"/>
            </w:tcBorders>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 w:type="dxa"/>
            <w:vAlign w:val="bottom"/>
            <w:tcBorders>
              <w:right w:val="single" w:sz="8" w:color="CFF0FC"/>
            </w:tcBorders>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200" w:type="dxa"/>
            <w:vAlign w:val="bottom"/>
            <w:tcBorders>
              <w:right w:val="single" w:sz="8" w:color="CFF0FC"/>
            </w:tcBorders>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tcBorders>
              <w:right w:val="single" w:sz="8" w:color="CFF0FC"/>
            </w:tcBorders>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180" w:type="dxa"/>
            <w:vAlign w:val="bottom"/>
            <w:tcBorders>
              <w:right w:val="single" w:sz="8" w:color="CFF0FC"/>
            </w:tcBorders>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40" w:type="dxa"/>
            <w:vAlign w:val="bottom"/>
            <w:tcBorders>
              <w:left w:val="single" w:sz="8" w:color="CFF0FC"/>
            </w:tcBorders>
            <w:shd w:val="clear" w:color="auto" w:fill="CFF0FC"/>
          </w:tcPr>
          <w:p>
            <w:pPr>
              <w:spacing w:after="0"/>
              <w:rPr>
                <w:sz w:val="6"/>
                <w:szCs w:val="6"/>
                <w:color w:val="auto"/>
              </w:rPr>
            </w:pPr>
          </w:p>
        </w:tc>
        <w:tc>
          <w:tcPr>
            <w:tcW w:w="1240" w:type="dxa"/>
            <w:vAlign w:val="bottom"/>
            <w:shd w:val="clear" w:color="auto" w:fill="CFF0FC"/>
          </w:tcPr>
          <w:p>
            <w:pPr>
              <w:spacing w:after="0"/>
              <w:rPr>
                <w:sz w:val="6"/>
                <w:szCs w:val="6"/>
                <w:color w:val="auto"/>
              </w:rPr>
            </w:pPr>
          </w:p>
        </w:tc>
        <w:tc>
          <w:tcPr>
            <w:tcW w:w="240" w:type="dxa"/>
            <w:vAlign w:val="bottom"/>
            <w:tcBorders>
              <w:right w:val="single" w:sz="8" w:color="CFF0FC"/>
            </w:tcBorders>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13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SFR mortgage</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Consumer and other loans</w:t>
            </w:r>
          </w:p>
        </w:tc>
        <w:tc>
          <w:tcPr>
            <w:tcW w:w="100" w:type="dxa"/>
            <w:vAlign w:val="bottom"/>
            <w:shd w:val="clear" w:color="auto" w:fill="CFF0FC"/>
          </w:tcPr>
          <w:p>
            <w:pPr>
              <w:spacing w:after="0"/>
              <w:rPr>
                <w:sz w:val="13"/>
                <w:szCs w:val="13"/>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3"/>
                <w:szCs w:val="13"/>
                <w:color w:val="auto"/>
              </w:rPr>
            </w:pPr>
          </w:p>
        </w:tc>
        <w:tc>
          <w:tcPr>
            <w:tcW w:w="14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(60)</w:t>
            </w:r>
          </w:p>
        </w:tc>
        <w:tc>
          <w:tcPr>
            <w:tcW w:w="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Total allowance for credit losses</w:t>
            </w: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80,122</w:t>
            </w:r>
          </w:p>
        </w:tc>
        <w:tc>
          <w:tcPr>
            <w:tcW w:w="320" w:type="dxa"/>
            <w:vAlign w:val="bottom"/>
            <w:gridSpan w:val="2"/>
          </w:tcPr>
          <w:p>
            <w:pPr>
              <w:jc w:val="right"/>
              <w:ind w:right="98"/>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(469)</w:t>
            </w:r>
          </w:p>
        </w:tc>
        <w:tc>
          <w:tcPr>
            <w:tcW w:w="340" w:type="dxa"/>
            <w:vAlign w:val="bottom"/>
            <w:gridSpan w:val="2"/>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350</w:t>
            </w:r>
          </w:p>
        </w:tc>
        <w:tc>
          <w:tcPr>
            <w:tcW w:w="200" w:type="dxa"/>
            <w:vAlign w:val="bottom"/>
          </w:tcPr>
          <w:p>
            <w:pPr>
              <w:spacing w:after="0"/>
              <w:rPr>
                <w:sz w:val="13"/>
                <w:szCs w:val="13"/>
                <w:color w:val="auto"/>
              </w:rPr>
            </w:pP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(2,000)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78,003</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Six Months Ended June 30, 2024</w:t>
            </w:r>
          </w:p>
        </w:tc>
        <w:tc>
          <w:tcPr>
            <w:tcW w:w="140" w:type="dxa"/>
            <w:vAlign w:val="bottom"/>
          </w:tcPr>
          <w:p>
            <w:pPr>
              <w:spacing w:after="0"/>
              <w:rPr>
                <w:sz w:val="24"/>
                <w:szCs w:val="24"/>
                <w:color w:val="auto"/>
              </w:rPr>
            </w:pPr>
          </w:p>
        </w:tc>
        <w:tc>
          <w:tcPr>
            <w:tcW w:w="14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Provision for</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(Recapture of) Credit</w:t>
            </w:r>
          </w:p>
        </w:tc>
        <w:tc>
          <w:tcPr>
            <w:tcW w:w="6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Ending Balance June</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Charge-offs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14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60" w:type="dxa"/>
            <w:vAlign w:val="bottom"/>
          </w:tcPr>
          <w:p>
            <w:pPr>
              <w:spacing w:after="0"/>
              <w:rPr>
                <w:sz w:val="13"/>
                <w:szCs w:val="13"/>
                <w:color w:val="auto"/>
              </w:rPr>
            </w:pPr>
          </w:p>
        </w:tc>
        <w:tc>
          <w:tcPr>
            <w:tcW w:w="13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30, 2024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 real estate</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69,466</w:t>
            </w:r>
          </w:p>
        </w:tc>
        <w:tc>
          <w:tcPr>
            <w:tcW w:w="1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(2,258)</w:t>
            </w:r>
          </w:p>
        </w:tc>
        <w:tc>
          <w:tcPr>
            <w:tcW w:w="340" w:type="dxa"/>
            <w:vAlign w:val="bottom"/>
            <w:gridSpan w:val="2"/>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2,197</w:t>
            </w:r>
          </w:p>
        </w:tc>
        <w:tc>
          <w:tcPr>
            <w:tcW w:w="24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69,405</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Construction</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(494)</w:t>
            </w:r>
          </w:p>
        </w:tc>
        <w:tc>
          <w:tcPr>
            <w:tcW w:w="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6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SBA</w:t>
            </w:r>
          </w:p>
        </w:tc>
        <w:tc>
          <w:tcPr>
            <w:tcW w:w="100" w:type="dxa"/>
            <w:vAlign w:val="bottom"/>
            <w:shd w:val="clear" w:color="auto" w:fill="CFF0FC"/>
          </w:tcPr>
          <w:p>
            <w:pPr>
              <w:spacing w:after="0"/>
              <w:rPr>
                <w:sz w:val="14"/>
                <w:szCs w:val="14"/>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2,679</w:t>
            </w: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gridSpan w:val="2"/>
            <w:vMerge w:val="restart"/>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(139)</w:t>
            </w:r>
          </w:p>
        </w:tc>
        <w:tc>
          <w:tcPr>
            <w:tcW w:w="14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20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48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(125)</w:t>
            </w:r>
          </w:p>
        </w:tc>
        <w:tc>
          <w:tcPr>
            <w:tcW w:w="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620" w:type="dxa"/>
            <w:vAlign w:val="bottom"/>
            <w:tcBorders>
              <w:bottom w:val="single" w:sz="8" w:color="CFF0FC"/>
            </w:tcBorders>
            <w:vMerge w:val="continue"/>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1300" w:type="dxa"/>
            <w:vAlign w:val="bottom"/>
            <w:tcBorders>
              <w:bottom w:val="single" w:sz="8" w:color="CFF0FC"/>
              <w:right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right w:val="single" w:sz="8" w:color="CFF0FC"/>
            </w:tcBorders>
            <w:shd w:val="clear" w:color="auto" w:fill="CFF0FC"/>
          </w:tcPr>
          <w:p>
            <w:pPr>
              <w:spacing w:after="0"/>
              <w:rPr>
                <w:sz w:val="7"/>
                <w:szCs w:val="7"/>
                <w:color w:val="auto"/>
              </w:rPr>
            </w:pPr>
          </w:p>
        </w:tc>
        <w:tc>
          <w:tcPr>
            <w:tcW w:w="200" w:type="dxa"/>
            <w:vAlign w:val="bottom"/>
            <w:tcBorders>
              <w:bottom w:val="single" w:sz="8" w:color="CFF0FC"/>
            </w:tcBorders>
            <w:shd w:val="clear" w:color="auto" w:fill="CFF0FC"/>
          </w:tcPr>
          <w:p>
            <w:pPr>
              <w:spacing w:after="0"/>
              <w:rPr>
                <w:sz w:val="7"/>
                <w:szCs w:val="7"/>
                <w:color w:val="auto"/>
              </w:rPr>
            </w:pPr>
          </w:p>
        </w:tc>
        <w:tc>
          <w:tcPr>
            <w:tcW w:w="1320" w:type="dxa"/>
            <w:vAlign w:val="bottom"/>
            <w:tcBorders>
              <w:bottom w:val="single" w:sz="8" w:color="CFF0FC"/>
            </w:tcBorders>
            <w:gridSpan w:val="2"/>
            <w:vMerge w:val="continue"/>
            <w:shd w:val="clear" w:color="auto" w:fill="CFF0FC"/>
          </w:tcPr>
          <w:p>
            <w:pPr>
              <w:spacing w:after="0"/>
              <w:rPr>
                <w:sz w:val="7"/>
                <w:szCs w:val="7"/>
                <w:color w:val="auto"/>
              </w:rPr>
            </w:pPr>
          </w:p>
        </w:tc>
        <w:tc>
          <w:tcPr>
            <w:tcW w:w="140" w:type="dxa"/>
            <w:vAlign w:val="bottom"/>
            <w:tcBorders>
              <w:bottom w:val="single" w:sz="8" w:color="CFF0FC"/>
              <w:right w:val="single" w:sz="8" w:color="CFF0FC"/>
            </w:tcBorders>
            <w:shd w:val="clear" w:color="auto" w:fill="CFF0FC"/>
          </w:tcPr>
          <w:p>
            <w:pPr>
              <w:spacing w:after="0"/>
              <w:rPr>
                <w:sz w:val="7"/>
                <w:szCs w:val="7"/>
                <w:color w:val="auto"/>
              </w:rPr>
            </w:pPr>
          </w:p>
        </w:tc>
        <w:tc>
          <w:tcPr>
            <w:tcW w:w="200" w:type="dxa"/>
            <w:vAlign w:val="bottom"/>
            <w:tcBorders>
              <w:bottom w:val="single" w:sz="8" w:color="CFF0FC"/>
            </w:tcBorders>
            <w:shd w:val="clear" w:color="auto" w:fill="CFF0FC"/>
          </w:tcPr>
          <w:p>
            <w:pPr>
              <w:spacing w:after="0"/>
              <w:rPr>
                <w:sz w:val="7"/>
                <w:szCs w:val="7"/>
                <w:color w:val="auto"/>
              </w:rPr>
            </w:pPr>
          </w:p>
        </w:tc>
        <w:tc>
          <w:tcPr>
            <w:tcW w:w="1180" w:type="dxa"/>
            <w:vAlign w:val="bottom"/>
            <w:tcBorders>
              <w:bottom w:val="single" w:sz="8" w:color="CFF0FC"/>
              <w:right w:val="single" w:sz="8" w:color="CFF0FC"/>
            </w:tcBorders>
            <w:vMerge w:val="continue"/>
            <w:shd w:val="clear" w:color="auto" w:fill="CFF0FC"/>
          </w:tcPr>
          <w:p>
            <w:pPr>
              <w:spacing w:after="0"/>
              <w:rPr>
                <w:sz w:val="7"/>
                <w:szCs w:val="7"/>
                <w:color w:val="auto"/>
              </w:rPr>
            </w:pPr>
          </w:p>
        </w:tc>
        <w:tc>
          <w:tcPr>
            <w:tcW w:w="200" w:type="dxa"/>
            <w:vAlign w:val="bottom"/>
            <w:tcBorders>
              <w:bottom w:val="single" w:sz="8" w:color="CFF0FC"/>
            </w:tcBorders>
            <w:shd w:val="clear" w:color="auto" w:fill="CFF0FC"/>
          </w:tcPr>
          <w:p>
            <w:pPr>
              <w:spacing w:after="0"/>
              <w:rPr>
                <w:sz w:val="7"/>
                <w:szCs w:val="7"/>
                <w:color w:val="auto"/>
              </w:rPr>
            </w:pPr>
          </w:p>
        </w:tc>
        <w:tc>
          <w:tcPr>
            <w:tcW w:w="140" w:type="dxa"/>
            <w:vAlign w:val="bottom"/>
            <w:tcBorders>
              <w:left w:val="single" w:sz="8" w:color="CFF0FC"/>
              <w:bottom w:val="single" w:sz="8" w:color="CFF0FC"/>
            </w:tcBorders>
            <w:shd w:val="clear" w:color="auto" w:fill="CFF0FC"/>
          </w:tcPr>
          <w:p>
            <w:pPr>
              <w:spacing w:after="0"/>
              <w:rPr>
                <w:sz w:val="7"/>
                <w:szCs w:val="7"/>
                <w:color w:val="auto"/>
              </w:rPr>
            </w:pPr>
          </w:p>
        </w:tc>
        <w:tc>
          <w:tcPr>
            <w:tcW w:w="1480" w:type="dxa"/>
            <w:vAlign w:val="bottom"/>
            <w:tcBorders>
              <w:bottom w:val="single" w:sz="8" w:color="CFF0FC"/>
              <w:right w:val="single" w:sz="8" w:color="CFF0FC"/>
            </w:tcBorders>
            <w:gridSpan w:val="2"/>
            <w:vMerge w:val="continue"/>
            <w:shd w:val="clear" w:color="auto" w:fill="CFF0FC"/>
          </w:tcPr>
          <w:p>
            <w:pPr>
              <w:spacing w:after="0"/>
              <w:rPr>
                <w:sz w:val="7"/>
                <w:szCs w:val="7"/>
                <w:color w:val="auto"/>
              </w:rPr>
            </w:pPr>
          </w:p>
        </w:tc>
        <w:tc>
          <w:tcPr>
            <w:tcW w:w="60" w:type="dxa"/>
            <w:vAlign w:val="bottom"/>
            <w:tcBorders>
              <w:bottom w:val="single" w:sz="8" w:color="CFF0FC"/>
            </w:tcBorders>
            <w:shd w:val="clear" w:color="auto" w:fill="CFF0FC"/>
          </w:tcPr>
          <w:p>
            <w:pPr>
              <w:spacing w:after="0"/>
              <w:rPr>
                <w:sz w:val="7"/>
                <w:szCs w:val="7"/>
                <w:color w:val="auto"/>
              </w:rPr>
            </w:pPr>
          </w:p>
        </w:tc>
        <w:tc>
          <w:tcPr>
            <w:tcW w:w="1300" w:type="dxa"/>
            <w:vAlign w:val="bottom"/>
            <w:tcBorders>
              <w:bottom w:val="single" w:sz="8" w:color="CFF0FC"/>
            </w:tcBorders>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(1,917)</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(2,272)</w:t>
            </w:r>
          </w:p>
        </w:tc>
        <w:tc>
          <w:tcPr>
            <w:tcW w:w="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00" w:type="dxa"/>
            <w:vAlign w:val="bottom"/>
            <w:shd w:val="clear" w:color="auto" w:fill="CFF0FC"/>
          </w:tcPr>
          <w:p>
            <w:pPr>
              <w:spacing w:after="0"/>
              <w:rPr>
                <w:sz w:val="13"/>
                <w:szCs w:val="13"/>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3,098</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24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Municipal lease finance</w:t>
            </w: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(24)</w:t>
            </w:r>
          </w:p>
        </w:tc>
        <w:tc>
          <w:tcPr>
            <w:tcW w:w="6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receivables</w:t>
            </w:r>
          </w:p>
        </w:tc>
        <w:tc>
          <w:tcPr>
            <w:tcW w:w="10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SFR mortgage</w:t>
            </w:r>
          </w:p>
        </w:tc>
        <w:tc>
          <w:tcPr>
            <w:tcW w:w="100" w:type="dxa"/>
            <w:vAlign w:val="bottom"/>
            <w:shd w:val="clear" w:color="auto" w:fill="CFF0FC"/>
          </w:tcPr>
          <w:p>
            <w:pPr>
              <w:spacing w:after="0"/>
              <w:rPr>
                <w:sz w:val="13"/>
                <w:szCs w:val="13"/>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3"/>
                <w:szCs w:val="13"/>
                <w:color w:val="auto"/>
              </w:rPr>
            </w:pPr>
          </w:p>
        </w:tc>
        <w:tc>
          <w:tcPr>
            <w:tcW w:w="14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(37)</w:t>
            </w:r>
          </w:p>
        </w:tc>
        <w:tc>
          <w:tcPr>
            <w:tcW w:w="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Consumer and other loans</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Total allowance for credit losses</w:t>
            </w:r>
          </w:p>
        </w:tc>
        <w:tc>
          <w:tcPr>
            <w:tcW w:w="1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righ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86,842</w:t>
            </w:r>
          </w:p>
        </w:tc>
        <w:tc>
          <w:tcPr>
            <w:tcW w:w="1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1320" w:type="dxa"/>
            <w:vAlign w:val="bottom"/>
            <w:gridSpan w:val="2"/>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(4,318)</w:t>
            </w:r>
          </w:p>
        </w:tc>
        <w:tc>
          <w:tcPr>
            <w:tcW w:w="340" w:type="dxa"/>
            <w:vAlign w:val="bottom"/>
            <w:gridSpan w:val="2"/>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righ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262</w:t>
            </w:r>
          </w:p>
        </w:tc>
        <w:tc>
          <w:tcPr>
            <w:tcW w:w="20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right w:val="single" w:sz="8" w:color="CFF0FC"/>
            </w:tcBorders>
            <w:gridSpan w:val="2"/>
            <w:shd w:val="clear" w:color="auto" w:fill="CFF0FC"/>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82,786</w:t>
            </w: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i w:val="1"/>
          <w:iCs w:val="1"/>
          <w:color w:val="auto"/>
        </w:rPr>
        <w:t>Past Due and Nonperforming Loans</w:t>
      </w:r>
    </w:p>
    <w:p>
      <w:pPr>
        <w:spacing w:after="0" w:line="180" w:lineRule="exact"/>
        <w:rPr>
          <w:sz w:val="20"/>
          <w:szCs w:val="20"/>
          <w:color w:val="auto"/>
        </w:rPr>
      </w:pPr>
    </w:p>
    <w:p>
      <w:pPr>
        <w:ind w:right="40" w:firstLine="432"/>
        <w:spacing w:after="0" w:line="239" w:lineRule="auto"/>
        <w:rPr>
          <w:sz w:val="20"/>
          <w:szCs w:val="20"/>
          <w:color w:val="auto"/>
        </w:rPr>
      </w:pPr>
      <w:r>
        <w:rPr>
          <w:rFonts w:ascii="Times New Roman" w:cs="Times New Roman" w:eastAsia="Times New Roman" w:hAnsi="Times New Roman"/>
          <w:sz w:val="16"/>
          <w:szCs w:val="16"/>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responsible for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included in our Annual Report on Form 10-K for the year ended December 31, 2024, for additional discussion concerning the Bank’s policy for past due and nonperforming loans.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table presents the recorded investment in, and the aging of, past due loans (including nonaccrual loans), by type of loans as of the dates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8"/>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Greater than 89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Total Loans and</w:t>
            </w:r>
          </w:p>
        </w:tc>
      </w:t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30-59 Days Past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60-89 Days Past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Days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Financing</w:t>
            </w:r>
          </w:p>
        </w:tc>
      </w:t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Due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Due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9"/>
              </w:rPr>
              <w:t>Total Past Due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Receivables</w:t>
            </w:r>
          </w:p>
        </w:tc>
      </w:tr>
      <w:tr>
        <w:trPr>
          <w:trHeight w:val="170"/>
        </w:trPr>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8"/>
          </w:tcPr>
          <w:p>
            <w:pPr>
              <w:jc w:val="right"/>
              <w:ind w:right="70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 real estate</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Owner occupied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2,289,898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2,289,898</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Non-owner occupied</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23,707</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23,707</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4,203,810</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4,227,517</w:t>
            </w: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Construction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3"/>
                <w:szCs w:val="13"/>
                <w:color w:val="auto"/>
              </w:rPr>
              <w:t xml:space="preserve">Speculative </w:t>
            </w:r>
            <w:r>
              <w:rPr>
                <w:rFonts w:ascii="Times New Roman" w:cs="Times New Roman" w:eastAsia="Times New Roman" w:hAnsi="Times New Roman"/>
                <w:sz w:val="16"/>
                <w:szCs w:val="16"/>
                <w:color w:val="auto"/>
                <w:vertAlign w:val="superscript"/>
              </w:rPr>
              <w:t>(1)</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9,261</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9,261</w:t>
            </w: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Non-speculative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8,397</w:t>
            </w:r>
          </w:p>
        </w:tc>
        <w:tc>
          <w:tcPr>
            <w:tcW w:w="80" w:type="dxa"/>
            <w:vAlign w:val="bottom"/>
          </w:tcPr>
          <w:p>
            <w:pPr>
              <w:spacing w:after="0"/>
              <w:rPr>
                <w:sz w:val="13"/>
                <w:szCs w:val="13"/>
                <w:color w:val="auto"/>
              </w:rPr>
            </w:pPr>
          </w:p>
        </w:tc>
      </w:tr>
      <w:tr>
        <w:trPr>
          <w:trHeight w:val="196"/>
        </w:trPr>
        <w:tc>
          <w:tcPr>
            <w:tcW w:w="2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SBA</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4,070</w:t>
            </w: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267,665</w:t>
            </w: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271,735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SBA - PPP</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912,322</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912,427</w:t>
            </w: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233,712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233,772</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63,652</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63,652</w:t>
            </w: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SFR mortgage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288,435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288,435</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Consumer and other loans</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53,322</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53,322</w:t>
            </w:r>
          </w:p>
        </w:tc>
      </w:tr>
      <w:tr>
        <w:trPr>
          <w:trHeight w:val="156"/>
        </w:trPr>
        <w:tc>
          <w:tcPr>
            <w:tcW w:w="2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loans at amortized cost</w:t>
            </w: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24,523</w:t>
            </w:r>
          </w:p>
        </w:tc>
        <w:tc>
          <w:tcPr>
            <w:tcW w:w="160" w:type="dxa"/>
            <w:vAlign w:val="bottom"/>
          </w:tcPr>
          <w:p>
            <w:pPr>
              <w:spacing w:after="0"/>
              <w:rPr>
                <w:sz w:val="13"/>
                <w:szCs w:val="13"/>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27,942</w:t>
            </w:r>
          </w:p>
        </w:tc>
        <w:tc>
          <w:tcPr>
            <w:tcW w:w="80" w:type="dxa"/>
            <w:vAlign w:val="bottom"/>
          </w:tcPr>
          <w:p>
            <w:pPr>
              <w:spacing w:after="0"/>
              <w:rPr>
                <w:sz w:val="13"/>
                <w:szCs w:val="13"/>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8,330,559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8,358,501</w:t>
            </w:r>
          </w:p>
        </w:tc>
        <w:tc>
          <w:tcPr>
            <w:tcW w:w="80" w:type="dxa"/>
            <w:vAlign w:val="bottom"/>
          </w:tcPr>
          <w:p>
            <w:pPr>
              <w:spacing w:after="0"/>
              <w:rPr>
                <w:sz w:val="13"/>
                <w:szCs w:val="13"/>
                <w:color w:val="auto"/>
              </w:rPr>
            </w:pPr>
          </w:p>
        </w:tc>
      </w:tr>
      <w:tr>
        <w:trPr>
          <w:trHeight w:val="20"/>
        </w:trPr>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6780" w:type="dxa"/>
            <w:vAlign w:val="bottom"/>
            <w:gridSpan w:val="15"/>
          </w:tcPr>
          <w:p>
            <w:pPr>
              <w:ind w:left="360"/>
              <w:spacing w:after="0"/>
              <w:rPr>
                <w:sz w:val="20"/>
                <w:szCs w:val="20"/>
                <w:color w:val="auto"/>
              </w:rPr>
            </w:pPr>
            <w:r>
              <w:rPr>
                <w:rFonts w:ascii="Times New Roman" w:cs="Times New Roman" w:eastAsia="Times New Roman" w:hAnsi="Times New Roman"/>
                <w:sz w:val="13"/>
                <w:szCs w:val="13"/>
                <w:color w:val="auto"/>
              </w:rPr>
              <w:t>(1)Speculative construction loans are generally for properties where there is no identified buyer or renter.</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8"/>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Greater than 89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 Loans and</w:t>
            </w:r>
          </w:p>
        </w:tc>
      </w:t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30-59 Days Past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60-89 Days Past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Days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Financing</w:t>
            </w:r>
          </w:p>
        </w:tc>
      </w:t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Due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Receivables</w:t>
            </w:r>
          </w:p>
        </w:tc>
      </w:tr>
      <w:tr>
        <w:trPr>
          <w:trHeight w:val="170"/>
        </w:trPr>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8"/>
          </w:tcPr>
          <w:p>
            <w:pPr>
              <w:jc w:val="right"/>
              <w:ind w:right="7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 real estate</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Owner occupied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Pr>
          <w:p>
            <w:pPr>
              <w:spacing w:after="0"/>
              <w:rPr>
                <w:sz w:val="13"/>
                <w:szCs w:val="13"/>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2,329,380</w:t>
            </w:r>
          </w:p>
        </w:tc>
        <w:tc>
          <w:tcPr>
            <w:tcW w:w="6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2,329,576</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Non-owner occupied</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24,430</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24,430</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4,153,446</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4,177,876</w:t>
            </w: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Construction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3"/>
                <w:szCs w:val="13"/>
                <w:color w:val="auto"/>
              </w:rPr>
              <w:t xml:space="preserve">Speculative </w:t>
            </w:r>
            <w:r>
              <w:rPr>
                <w:rFonts w:ascii="Times New Roman" w:cs="Times New Roman" w:eastAsia="Times New Roman" w:hAnsi="Times New Roman"/>
                <w:sz w:val="16"/>
                <w:szCs w:val="16"/>
                <w:color w:val="auto"/>
                <w:vertAlign w:val="superscript"/>
              </w:rPr>
              <w:t>(1)</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8,091</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8,091</w:t>
            </w: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Non-speculative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7,991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7,991</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SBA</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190</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1,617</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271,396</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273,013</w:t>
            </w: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SBA - PPP</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774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924,639</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925,178</w:t>
            </w: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419,844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419,904</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66,114</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66,114</w:t>
            </w: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SFR mortgage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269,172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269,172</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Consumer and other loans</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58,743</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58,743</w:t>
            </w:r>
          </w:p>
        </w:tc>
      </w:tr>
      <w:tr>
        <w:trPr>
          <w:trHeight w:val="156"/>
        </w:trPr>
        <w:tc>
          <w:tcPr>
            <w:tcW w:w="2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loans at amortized cost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20" w:type="dxa"/>
            <w:vAlign w:val="bottom"/>
          </w:tcPr>
          <w:p>
            <w:pPr>
              <w:spacing w:after="0"/>
              <w:rPr>
                <w:sz w:val="13"/>
                <w:szCs w:val="13"/>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190</w:t>
            </w:r>
          </w:p>
        </w:tc>
        <w:tc>
          <w:tcPr>
            <w:tcW w:w="18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26,253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26,842</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8,509,590</w:t>
            </w:r>
          </w:p>
        </w:tc>
        <w:tc>
          <w:tcPr>
            <w:tcW w:w="6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8,536,432</w:t>
            </w:r>
          </w:p>
        </w:tc>
        <w:tc>
          <w:tcPr>
            <w:tcW w:w="80" w:type="dxa"/>
            <w:vAlign w:val="bottom"/>
          </w:tcPr>
          <w:p>
            <w:pPr>
              <w:spacing w:after="0"/>
              <w:rPr>
                <w:sz w:val="13"/>
                <w:szCs w:val="13"/>
                <w:color w:val="auto"/>
              </w:rPr>
            </w:pPr>
          </w:p>
        </w:tc>
      </w:tr>
      <w:tr>
        <w:trPr>
          <w:trHeight w:val="20"/>
        </w:trPr>
        <w:tc>
          <w:tcPr>
            <w:tcW w:w="2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(1)Speculative construction loans are generally for properties where there is no identified buyer or renter.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21" w:name="page22"/>
    <w:bookmarkEnd w:id="21"/>
    <w:p>
      <w:pPr>
        <w:ind w:right="460" w:firstLine="432"/>
        <w:spacing w:after="0" w:line="259" w:lineRule="auto"/>
        <w:rPr>
          <w:sz w:val="20"/>
          <w:szCs w:val="20"/>
          <w:color w:val="auto"/>
        </w:rPr>
      </w:pPr>
      <w:r>
        <w:rPr>
          <w:rFonts w:ascii="Times New Roman" w:cs="Times New Roman" w:eastAsia="Times New Roman" w:hAnsi="Times New Roman"/>
          <w:sz w:val="16"/>
          <w:szCs w:val="16"/>
          <w:color w:val="auto"/>
        </w:rPr>
        <w:t>Amortized cost of our finance receivables and loans that are on nonaccrual status, including loans with no allowance are presented as of June 30, 2025 and December 31, 2024 by type of loan.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Nonaccrual with</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June 30, 2025</w:t>
            </w:r>
          </w:p>
        </w:tc>
        <w:tc>
          <w:tcPr>
            <w:tcW w:w="100" w:type="dxa"/>
            <w:vAlign w:val="bottom"/>
          </w:tcPr>
          <w:p>
            <w:pPr>
              <w:spacing w:after="0"/>
              <w:rPr>
                <w:sz w:val="17"/>
                <w:szCs w:val="17"/>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Loans Past Due</w:t>
            </w: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3"/>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No Allowance for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Total Nonaccrual</w:t>
            </w:r>
          </w:p>
        </w:tc>
        <w:tc>
          <w:tcPr>
            <w:tcW w:w="136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Over 89 Days Still</w:t>
            </w:r>
          </w:p>
        </w:tc>
        <w:tc>
          <w:tcPr>
            <w:tcW w:w="0" w:type="dxa"/>
            <w:vAlign w:val="bottom"/>
          </w:tcPr>
          <w:p>
            <w:pPr>
              <w:spacing w:after="0"/>
              <w:rPr>
                <w:sz w:val="1"/>
                <w:szCs w:val="1"/>
                <w:color w:val="auto"/>
              </w:rPr>
            </w:pPr>
          </w:p>
        </w:tc>
      </w:tr>
      <w:tr>
        <w:trPr>
          <w:trHeight w:val="193"/>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Credit Losses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w w:val="96"/>
              </w:rPr>
              <w:t>(1) (2)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Accruing</w:t>
            </w:r>
          </w:p>
        </w:tc>
        <w:tc>
          <w:tcPr>
            <w:tcW w:w="0" w:type="dxa"/>
            <w:vAlign w:val="bottom"/>
          </w:tcPr>
          <w:p>
            <w:pPr>
              <w:spacing w:after="0"/>
              <w:rPr>
                <w:sz w:val="1"/>
                <w:szCs w:val="1"/>
                <w:color w:val="auto"/>
              </w:rPr>
            </w:pPr>
          </w:p>
        </w:tc>
      </w:tr>
      <w:tr>
        <w:trPr>
          <w:trHeight w:val="182"/>
        </w:trPr>
        <w:tc>
          <w:tcPr>
            <w:tcW w:w="5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Owner occupied</w:t>
            </w:r>
          </w:p>
        </w:tc>
        <w:tc>
          <w:tcPr>
            <w:tcW w:w="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672</w:t>
            </w:r>
          </w:p>
        </w:tc>
        <w:tc>
          <w:tcPr>
            <w:tcW w:w="140" w:type="dxa"/>
            <w:vAlign w:val="bottom"/>
          </w:tcPr>
          <w:p>
            <w:pPr>
              <w:spacing w:after="0"/>
              <w:rPr>
                <w:sz w:val="15"/>
                <w:szCs w:val="15"/>
                <w:color w:val="auto"/>
              </w:rPr>
            </w:pPr>
          </w:p>
        </w:tc>
        <w:tc>
          <w:tcPr>
            <w:tcW w:w="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672</w:t>
            </w:r>
          </w:p>
        </w:tc>
        <w:tc>
          <w:tcPr>
            <w:tcW w:w="28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7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Non-owner occupied</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23,707</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23,707</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7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SBA</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1,265</w:t>
            </w:r>
          </w:p>
        </w:tc>
        <w:tc>
          <w:tcPr>
            <w:tcW w:w="100" w:type="dxa"/>
            <w:vAlign w:val="bottom"/>
          </w:tcPr>
          <w:p>
            <w:pPr>
              <w:spacing w:after="0"/>
              <w:rPr>
                <w:sz w:val="15"/>
                <w:szCs w:val="15"/>
                <w:color w:val="auto"/>
              </w:rPr>
            </w:pPr>
          </w:p>
        </w:tc>
        <w:tc>
          <w:tcPr>
            <w:tcW w:w="1260" w:type="dxa"/>
            <w:vAlign w:val="bottom"/>
            <w:gridSpan w:val="2"/>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7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SBA - PPP</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7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7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78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loans at amortized cost</w:t>
            </w:r>
          </w:p>
        </w:tc>
        <w:tc>
          <w:tcPr>
            <w:tcW w:w="8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25,245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25,969</w:t>
            </w:r>
          </w:p>
        </w:tc>
        <w:tc>
          <w:tcPr>
            <w:tcW w:w="28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ind w:left="10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220" w:type="dxa"/>
            <w:vAlign w:val="bottom"/>
            <w:gridSpan w:val="5"/>
          </w:tcPr>
          <w:p>
            <w:pPr>
              <w:ind w:left="360"/>
              <w:spacing w:after="0"/>
              <w:rPr>
                <w:sz w:val="20"/>
                <w:szCs w:val="20"/>
                <w:color w:val="auto"/>
              </w:rPr>
            </w:pPr>
            <w:r>
              <w:rPr>
                <w:rFonts w:ascii="Times New Roman" w:cs="Times New Roman" w:eastAsia="Times New Roman" w:hAnsi="Times New Roman"/>
                <w:sz w:val="13"/>
                <w:szCs w:val="13"/>
                <w:color w:val="auto"/>
              </w:rPr>
              <w:t>(1)As of June 30, 2025, $1.4 million of nonaccruing loans were current, $24.5 million were 90+ days past due.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7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(2)Excludes $3,000 of guaranteed portion of nonaccrual SBA loans that are in process of collection.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0"/>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Nonaccrual with</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100" w:type="dxa"/>
            <w:vAlign w:val="bottom"/>
          </w:tcPr>
          <w:p>
            <w:pPr>
              <w:spacing w:after="0"/>
              <w:rPr>
                <w:sz w:val="24"/>
                <w:szCs w:val="24"/>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Loans Past Due</w:t>
            </w: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3"/>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No Allowance for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Total Nonaccrual</w:t>
            </w:r>
          </w:p>
        </w:tc>
        <w:tc>
          <w:tcPr>
            <w:tcW w:w="136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Over 89 Days Still</w:t>
            </w:r>
          </w:p>
        </w:tc>
        <w:tc>
          <w:tcPr>
            <w:tcW w:w="0" w:type="dxa"/>
            <w:vAlign w:val="bottom"/>
          </w:tcPr>
          <w:p>
            <w:pPr>
              <w:spacing w:after="0"/>
              <w:rPr>
                <w:sz w:val="1"/>
                <w:szCs w:val="1"/>
                <w:color w:val="auto"/>
              </w:rPr>
            </w:pPr>
          </w:p>
        </w:tc>
      </w:tr>
      <w:tr>
        <w:trPr>
          <w:trHeight w:val="193"/>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Credit Losses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Accruing</w:t>
            </w:r>
          </w:p>
        </w:tc>
        <w:tc>
          <w:tcPr>
            <w:tcW w:w="0" w:type="dxa"/>
            <w:vAlign w:val="bottom"/>
          </w:tcPr>
          <w:p>
            <w:pPr>
              <w:spacing w:after="0"/>
              <w:rPr>
                <w:sz w:val="1"/>
                <w:szCs w:val="1"/>
                <w:color w:val="auto"/>
              </w:rPr>
            </w:pPr>
          </w:p>
        </w:tc>
      </w:tr>
      <w:tr>
        <w:trPr>
          <w:trHeight w:val="182"/>
        </w:trPr>
        <w:tc>
          <w:tcPr>
            <w:tcW w:w="5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Owner occupied</w:t>
            </w:r>
          </w:p>
        </w:tc>
        <w:tc>
          <w:tcPr>
            <w:tcW w:w="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1,436</w:t>
            </w:r>
          </w:p>
        </w:tc>
        <w:tc>
          <w:tcPr>
            <w:tcW w:w="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1,436</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7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Non-owner occupied</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24,430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24,430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SBA</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1,146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Pr>
          <w:p>
            <w:pPr>
              <w:spacing w:after="0"/>
              <w:rPr>
                <w:sz w:val="17"/>
                <w:szCs w:val="17"/>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5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7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SBA - PPP</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7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7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78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loans at amortized cost</w:t>
            </w:r>
          </w:p>
        </w:tc>
        <w:tc>
          <w:tcPr>
            <w:tcW w:w="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27,273</w:t>
            </w:r>
          </w:p>
        </w:tc>
        <w:tc>
          <w:tcPr>
            <w:tcW w:w="140" w:type="dxa"/>
            <w:vAlign w:val="bottom"/>
          </w:tcPr>
          <w:p>
            <w:pPr>
              <w:spacing w:after="0"/>
              <w:rPr>
                <w:sz w:val="15"/>
                <w:szCs w:val="15"/>
                <w:color w:val="auto"/>
              </w:rPr>
            </w:pPr>
          </w:p>
        </w:tc>
        <w:tc>
          <w:tcPr>
            <w:tcW w:w="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27,795</w:t>
            </w:r>
          </w:p>
        </w:tc>
        <w:tc>
          <w:tcPr>
            <w:tcW w:w="28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(1)As of December 31, 2024, $1.4 million of nonaccruing loans were current, $102,000 were 60-89 days past due, and $26.3 million were 90+ days past due.</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(2)Speculative construction loans are generally for properties where there is no identified buyer or renter.</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Collateral Dependent Loans</w:t>
      </w:r>
    </w:p>
    <w:p>
      <w:pPr>
        <w:spacing w:after="0" w:line="180" w:lineRule="exact"/>
        <w:rPr>
          <w:sz w:val="20"/>
          <w:szCs w:val="20"/>
          <w:color w:val="auto"/>
        </w:rPr>
      </w:pPr>
    </w:p>
    <w:p>
      <w:pPr>
        <w:ind w:right="140" w:firstLine="432"/>
        <w:spacing w:after="0" w:line="331" w:lineRule="auto"/>
        <w:rPr>
          <w:sz w:val="20"/>
          <w:szCs w:val="20"/>
          <w:color w:val="auto"/>
        </w:rPr>
      </w:pPr>
      <w:r>
        <w:rPr>
          <w:rFonts w:ascii="Times New Roman" w:cs="Times New Roman" w:eastAsia="Times New Roman" w:hAnsi="Times New Roman"/>
          <w:sz w:val="14"/>
          <w:szCs w:val="14"/>
          <w:color w:val="auto"/>
        </w:rPr>
        <w:t>A loan is considered collateral -dependent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 presented.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Loans</w:t>
            </w:r>
          </w:p>
        </w:tc>
      </w:tr>
      <w:tr>
        <w:trPr>
          <w:trHeight w:val="168"/>
        </w:trPr>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Dependent on</w:t>
            </w:r>
          </w:p>
        </w:tc>
      </w:tr>
      <w:tr>
        <w:trPr>
          <w:trHeight w:val="168"/>
        </w:trPr>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Business Assets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Collateral</w:t>
            </w:r>
          </w:p>
        </w:tc>
      </w:tr>
      <w:tr>
        <w:trPr>
          <w:trHeight w:val="182"/>
        </w:trPr>
        <w:tc>
          <w:tcPr>
            <w:tcW w:w="2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98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4,815</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4"/>
                <w:szCs w:val="14"/>
                <w:color w:val="auto"/>
              </w:rPr>
            </w:pPr>
          </w:p>
        </w:tc>
      </w:tr>
      <w:tr>
        <w:trPr>
          <w:trHeight w:val="16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SBA</w:t>
            </w: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r>
      <w:tr>
        <w:trPr>
          <w:trHeight w:val="16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9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4"/>
                <w:szCs w:val="14"/>
                <w:color w:val="auto"/>
              </w:rPr>
            </w:pPr>
          </w:p>
        </w:tc>
      </w:tr>
      <w:tr>
        <w:trPr>
          <w:trHeight w:val="16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r>
      <w:tr>
        <w:trPr>
          <w:trHeight w:val="188"/>
        </w:trPr>
        <w:tc>
          <w:tcPr>
            <w:tcW w:w="2920" w:type="dxa"/>
            <w:vAlign w:val="bottom"/>
            <w:shd w:val="clear" w:color="auto" w:fill="CFF0FC"/>
          </w:tcPr>
          <w:p>
            <w:pPr>
              <w:ind w:left="60"/>
              <w:spacing w:after="0" w:line="148" w:lineRule="exact"/>
              <w:rPr>
                <w:sz w:val="20"/>
                <w:szCs w:val="20"/>
                <w:color w:val="auto"/>
              </w:rPr>
            </w:pPr>
            <w:r>
              <w:rPr>
                <w:rFonts w:ascii="Times New Roman" w:cs="Times New Roman" w:eastAsia="Times New Roman" w:hAnsi="Times New Roman"/>
                <w:sz w:val="14"/>
                <w:szCs w:val="14"/>
                <w:color w:val="auto"/>
              </w:rPr>
              <w:t>Total collateral-dependent loans</w:t>
            </w:r>
          </w:p>
        </w:tc>
        <w:tc>
          <w:tcPr>
            <w:tcW w:w="9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9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6,140</w:t>
            </w:r>
          </w:p>
        </w:tc>
        <w:tc>
          <w:tcPr>
            <w:tcW w:w="44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161</w:t>
            </w:r>
          </w:p>
        </w:tc>
        <w:tc>
          <w:tcPr>
            <w:tcW w:w="18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103</w:t>
            </w:r>
          </w:p>
        </w:tc>
        <w:tc>
          <w:tcPr>
            <w:tcW w:w="178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FF0FC"/>
          </w:tcPr>
          <w:p>
            <w:pPr>
              <w:spacing w:after="0"/>
              <w:rPr>
                <w:sz w:val="16"/>
                <w:szCs w:val="16"/>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22" w:name="page23"/>
    <w:bookmarkEnd w:id="22"/>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Loans</w:t>
            </w:r>
          </w:p>
        </w:tc>
      </w:tr>
      <w:tr>
        <w:trPr>
          <w:trHeight w:val="168"/>
        </w:trPr>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Dependent on</w:t>
            </w:r>
          </w:p>
        </w:tc>
      </w:tr>
      <w:tr>
        <w:trPr>
          <w:trHeight w:val="168"/>
        </w:trPr>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Business Assets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Collateral</w:t>
            </w:r>
          </w:p>
        </w:tc>
      </w:tr>
      <w:tr>
        <w:trPr>
          <w:trHeight w:val="182"/>
        </w:trPr>
        <w:tc>
          <w:tcPr>
            <w:tcW w:w="2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25,866</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FF0FC"/>
          </w:tcPr>
          <w:p>
            <w:pPr>
              <w:spacing w:after="0"/>
              <w:rPr>
                <w:sz w:val="14"/>
                <w:szCs w:val="14"/>
                <w:color w:val="auto"/>
              </w:rPr>
            </w:pPr>
          </w:p>
        </w:tc>
      </w:tr>
      <w:tr>
        <w:trPr>
          <w:trHeight w:val="16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SBA</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r>
      <w:tr>
        <w:trPr>
          <w:trHeight w:val="16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4"/>
                <w:szCs w:val="14"/>
                <w:color w:val="auto"/>
              </w:rPr>
            </w:pPr>
          </w:p>
        </w:tc>
      </w:tr>
      <w:tr>
        <w:trPr>
          <w:trHeight w:val="16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r>
      <w:tr>
        <w:trPr>
          <w:trHeight w:val="188"/>
        </w:trPr>
        <w:tc>
          <w:tcPr>
            <w:tcW w:w="2920" w:type="dxa"/>
            <w:vAlign w:val="bottom"/>
            <w:shd w:val="clear" w:color="auto" w:fill="CFF0FC"/>
          </w:tcPr>
          <w:p>
            <w:pPr>
              <w:ind w:left="60"/>
              <w:spacing w:after="0" w:line="148" w:lineRule="exact"/>
              <w:rPr>
                <w:sz w:val="20"/>
                <w:szCs w:val="20"/>
                <w:color w:val="auto"/>
              </w:rPr>
            </w:pPr>
            <w:r>
              <w:rPr>
                <w:rFonts w:ascii="Times New Roman" w:cs="Times New Roman" w:eastAsia="Times New Roman" w:hAnsi="Times New Roman"/>
                <w:sz w:val="14"/>
                <w:szCs w:val="14"/>
                <w:color w:val="auto"/>
              </w:rPr>
              <w:t>Total collateral-dependent loans</w:t>
            </w: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27,466</w:t>
            </w:r>
          </w:p>
        </w:tc>
        <w:tc>
          <w:tcPr>
            <w:tcW w:w="400" w:type="dxa"/>
            <w:vAlign w:val="bottom"/>
            <w:gridSpan w:val="2"/>
            <w:shd w:val="clear" w:color="auto" w:fill="CFF0FC"/>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327</w:t>
            </w:r>
          </w:p>
        </w:tc>
        <w:tc>
          <w:tcPr>
            <w:tcW w:w="18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ind w:left="960"/>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FF0FC"/>
          </w:tcPr>
          <w:p>
            <w:pPr>
              <w:spacing w:after="0"/>
              <w:rPr>
                <w:sz w:val="16"/>
                <w:szCs w:val="16"/>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Reserve for Unfunded Loan Commitments</w:t>
      </w:r>
    </w:p>
    <w:p>
      <w:pPr>
        <w:spacing w:after="0" w:line="180" w:lineRule="exact"/>
        <w:rPr>
          <w:sz w:val="20"/>
          <w:szCs w:val="20"/>
          <w:color w:val="auto"/>
        </w:rPr>
      </w:pPr>
    </w:p>
    <w:p>
      <w:pPr>
        <w:ind w:right="140" w:firstLine="432"/>
        <w:spacing w:after="0" w:line="284" w:lineRule="auto"/>
        <w:rPr>
          <w:sz w:val="20"/>
          <w:szCs w:val="20"/>
          <w:color w:val="auto"/>
        </w:rPr>
      </w:pPr>
      <w:r>
        <w:rPr>
          <w:rFonts w:ascii="Times New Roman" w:cs="Times New Roman" w:eastAsia="Times New Roman" w:hAnsi="Times New Roman"/>
          <w:sz w:val="14"/>
          <w:szCs w:val="14"/>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$6.8 million for the off-balance sheet credit exposures as of June 30, 2025. There was a $500,000 provision for unfunded loan commitments for the six months ended June 30, 2025, compared to a $500,000 recapture of provision for the six months ended June 30, 2024. As of June 30, 2025 and December 31, 2024, the balance in this reserve was $6.8 million and $6.3 million, respectively, and was included in other liabilities.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Modifications of Loans to Borrowers Experiencing Financial Difficulty</w:t>
      </w:r>
    </w:p>
    <w:p>
      <w:pPr>
        <w:spacing w:after="0" w:line="180" w:lineRule="exact"/>
        <w:rPr>
          <w:sz w:val="20"/>
          <w:szCs w:val="20"/>
          <w:color w:val="auto"/>
        </w:rPr>
      </w:pPr>
    </w:p>
    <w:p>
      <w:pPr>
        <w:ind w:right="320" w:firstLine="432"/>
        <w:spacing w:after="0" w:line="247" w:lineRule="auto"/>
        <w:rPr>
          <w:sz w:val="20"/>
          <w:szCs w:val="20"/>
          <w:color w:val="auto"/>
        </w:rPr>
      </w:pPr>
      <w:r>
        <w:rPr>
          <w:rFonts w:ascii="Times New Roman" w:cs="Times New Roman" w:eastAsia="Times New Roman" w:hAnsi="Times New Roman"/>
          <w:sz w:val="16"/>
          <w:szCs w:val="16"/>
          <w:color w:val="auto"/>
        </w:rPr>
        <w:t>There were four loans to borrowers experiencing financial difficulty that were modified during the six months ended June 30, 2025 with an amortized cost totaling $6.1 million as of June 30, 2025, including three commercial real estate loans totaling $5.7 million and one dairy &amp; livestock and agribusiness loans of $0.4 million.</w:t>
      </w:r>
    </w:p>
    <w:p>
      <w:pPr>
        <w:spacing w:after="0" w:line="152" w:lineRule="exact"/>
        <w:rPr>
          <w:sz w:val="20"/>
          <w:szCs w:val="20"/>
          <w:color w:val="auto"/>
        </w:rPr>
      </w:pPr>
    </w:p>
    <w:p>
      <w:pPr>
        <w:ind w:right="420" w:firstLine="432"/>
        <w:spacing w:after="0" w:line="259" w:lineRule="auto"/>
        <w:rPr>
          <w:sz w:val="20"/>
          <w:szCs w:val="20"/>
          <w:color w:val="auto"/>
        </w:rPr>
      </w:pPr>
      <w:r>
        <w:rPr>
          <w:rFonts w:ascii="Times New Roman" w:cs="Times New Roman" w:eastAsia="Times New Roman" w:hAnsi="Times New Roman"/>
          <w:sz w:val="16"/>
          <w:szCs w:val="16"/>
          <w:color w:val="auto"/>
        </w:rPr>
        <w:t>The tables below reflect the amortized cost of loans by type made to borrowers experiencing financial difficulty that were modified as of June 30, 2025 and December 31, 2024.</w:t>
      </w:r>
    </w:p>
    <w:p>
      <w:pPr>
        <w:sectPr>
          <w:pgSz w:w="11900" w:h="16840" w:orient="portrait"/>
          <w:cols w:equalWidth="0" w:num="1">
            <w:col w:w="10560"/>
          </w:cols>
          <w:pgMar w:left="660" w:top="1440" w:right="680" w:bottom="1440" w:gutter="0" w:footer="0" w:header="0"/>
        </w:sectPr>
      </w:pP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of Total Class</w:t>
            </w:r>
          </w:p>
        </w:tc>
        <w:tc>
          <w:tcPr>
            <w:tcW w:w="0" w:type="dxa"/>
            <w:vAlign w:val="bottom"/>
          </w:tcPr>
          <w:p>
            <w:pPr>
              <w:spacing w:after="0"/>
              <w:rPr>
                <w:sz w:val="1"/>
                <w:szCs w:val="1"/>
                <w:color w:val="auto"/>
              </w:rPr>
            </w:pPr>
          </w:p>
        </w:tc>
      </w:tr>
      <w:tr>
        <w:trPr>
          <w:trHeight w:val="180"/>
        </w:trPr>
        <w:tc>
          <w:tcPr>
            <w:tcW w:w="2880" w:type="dxa"/>
            <w:vAlign w:val="bottom"/>
          </w:tcPr>
          <w:p>
            <w:pPr>
              <w:spacing w:after="0"/>
              <w:rPr>
                <w:sz w:val="15"/>
                <w:szCs w:val="15"/>
                <w:color w:val="auto"/>
              </w:rPr>
            </w:pPr>
          </w:p>
        </w:tc>
        <w:tc>
          <w:tcPr>
            <w:tcW w:w="7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5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of Financing</w:t>
            </w:r>
          </w:p>
        </w:tc>
        <w:tc>
          <w:tcPr>
            <w:tcW w:w="0" w:type="dxa"/>
            <w:vAlign w:val="bottom"/>
          </w:tcPr>
          <w:p>
            <w:pPr>
              <w:spacing w:after="0"/>
              <w:rPr>
                <w:sz w:val="1"/>
                <w:szCs w:val="1"/>
                <w:color w:val="auto"/>
              </w:rPr>
            </w:pPr>
          </w:p>
        </w:tc>
      </w:tr>
      <w:tr>
        <w:trPr>
          <w:trHeight w:val="205"/>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Cost Basis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Receivables</w:t>
            </w:r>
          </w:p>
        </w:tc>
        <w:tc>
          <w:tcPr>
            <w:tcW w:w="0" w:type="dxa"/>
            <w:vAlign w:val="bottom"/>
          </w:tcPr>
          <w:p>
            <w:pPr>
              <w:spacing w:after="0"/>
              <w:rPr>
                <w:sz w:val="1"/>
                <w:szCs w:val="1"/>
                <w:color w:val="auto"/>
              </w:rPr>
            </w:pPr>
          </w:p>
        </w:tc>
      </w:tr>
      <w:tr>
        <w:trPr>
          <w:trHeight w:val="155"/>
        </w:trPr>
        <w:tc>
          <w:tcPr>
            <w:tcW w:w="2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36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6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76"/>
        </w:trPr>
        <w:tc>
          <w:tcPr>
            <w:tcW w:w="2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 Extension and Interest Rate</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54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37"/>
        </w:trPr>
        <w:tc>
          <w:tcPr>
            <w:tcW w:w="2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120"/>
              <w:spacing w:after="0" w:line="173" w:lineRule="exact"/>
              <w:rPr>
                <w:sz w:val="20"/>
                <w:szCs w:val="20"/>
                <w:color w:val="auto"/>
              </w:rPr>
            </w:pPr>
            <w:r>
              <w:rPr>
                <w:rFonts w:ascii="Times New Roman" w:cs="Times New Roman" w:eastAsia="Times New Roman" w:hAnsi="Times New Roman"/>
                <w:sz w:val="16"/>
                <w:szCs w:val="16"/>
                <w:b w:val="1"/>
                <w:bCs w:val="1"/>
                <w:color w:val="auto"/>
              </w:rPr>
              <w:t>Total Modified</w:t>
            </w:r>
          </w:p>
        </w:tc>
        <w:tc>
          <w:tcPr>
            <w:tcW w:w="240" w:type="dxa"/>
            <w:vAlign w:val="bottom"/>
            <w:tcBorders>
              <w:bottom w:val="single" w:sz="8" w:color="auto"/>
            </w:tcBorders>
          </w:tcPr>
          <w:p>
            <w:pPr>
              <w:jc w:val="right"/>
              <w:ind w:right="82"/>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9,529</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Financial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6985</wp:posOffset>
            </wp:positionV>
            <wp:extent cx="6707505"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338" w:lineRule="exact"/>
        <w:rPr>
          <w:sz w:val="20"/>
          <w:szCs w:val="20"/>
          <w:color w:val="auto"/>
        </w:rPr>
      </w:pPr>
    </w:p>
    <w:p>
      <w:pPr>
        <w:ind w:left="80" w:right="240" w:firstLine="39"/>
        <w:spacing w:after="0" w:line="246" w:lineRule="auto"/>
        <w:rPr>
          <w:sz w:val="20"/>
          <w:szCs w:val="20"/>
          <w:color w:val="auto"/>
        </w:rPr>
      </w:pPr>
      <w:r>
        <w:rPr>
          <w:rFonts w:ascii="Times New Roman" w:cs="Times New Roman" w:eastAsia="Times New Roman" w:hAnsi="Times New Roman"/>
          <w:sz w:val="16"/>
          <w:szCs w:val="16"/>
          <w:color w:val="auto"/>
        </w:rPr>
        <w:t>Added a weighted-average 1.9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-230505</wp:posOffset>
            </wp:positionV>
            <wp:extent cx="6707505" cy="228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left="80" w:right="240" w:firstLine="39"/>
        <w:spacing w:after="0" w:line="234" w:lineRule="auto"/>
        <w:rPr>
          <w:sz w:val="20"/>
          <w:szCs w:val="20"/>
          <w:color w:val="auto"/>
        </w:rPr>
      </w:pPr>
      <w:r>
        <w:rPr>
          <w:rFonts w:ascii="Times New Roman" w:cs="Times New Roman" w:eastAsia="Times New Roman" w:hAnsi="Times New Roman"/>
          <w:sz w:val="16"/>
          <w:szCs w:val="16"/>
          <w:color w:val="auto"/>
        </w:rPr>
        <w:t>Added a weighted-average 1.2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-1905</wp:posOffset>
            </wp:positionV>
            <wp:extent cx="6707505" cy="228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left="80" w:right="240" w:firstLine="39"/>
        <w:spacing w:after="0" w:line="238" w:lineRule="auto"/>
        <w:rPr>
          <w:sz w:val="20"/>
          <w:szCs w:val="20"/>
          <w:color w:val="auto"/>
        </w:rPr>
      </w:pPr>
      <w:r>
        <w:rPr>
          <w:rFonts w:ascii="Times New Roman" w:cs="Times New Roman" w:eastAsia="Times New Roman" w:hAnsi="Times New Roman"/>
          <w:sz w:val="16"/>
          <w:szCs w:val="16"/>
          <w:color w:val="auto"/>
        </w:rPr>
        <w:t>Added a weighted-average 1.6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107950</wp:posOffset>
            </wp:positionV>
            <wp:extent cx="6707505" cy="114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0" w:right="100"/>
        <w:spacing w:after="0" w:line="242" w:lineRule="auto"/>
        <w:rPr>
          <w:sz w:val="20"/>
          <w:szCs w:val="20"/>
          <w:color w:val="auto"/>
        </w:rPr>
      </w:pPr>
      <w:r>
        <w:rPr>
          <w:rFonts w:ascii="Times New Roman" w:cs="Times New Roman" w:eastAsia="Times New Roman" w:hAnsi="Times New Roman"/>
          <w:sz w:val="16"/>
          <w:szCs w:val="16"/>
          <w:color w:val="auto"/>
        </w:rPr>
        <w:t>Added a weighted -average 7.6 years to the life of loans, which reduced monthly payment amounts for the borrowers; reduced weighted-average contractual interest rate from 10.00% to 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-344805</wp:posOffset>
            </wp:positionV>
            <wp:extent cx="6707505"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7505" cy="342900"/>
                    </a:xfrm>
                    <a:prstGeom prst="rect">
                      <a:avLst/>
                    </a:prstGeom>
                    <a:noFill/>
                  </pic:spPr>
                </pic:pic>
              </a:graphicData>
            </a:graphic>
          </wp:anchor>
        </w:drawing>
      </w:r>
    </w:p>
    <w:p>
      <w:pPr>
        <w:ind w:left="80" w:right="100"/>
        <w:spacing w:after="0" w:line="237" w:lineRule="auto"/>
        <w:rPr>
          <w:sz w:val="20"/>
          <w:szCs w:val="20"/>
          <w:color w:val="auto"/>
        </w:rPr>
      </w:pPr>
      <w:r>
        <w:rPr>
          <w:rFonts w:ascii="Times New Roman" w:cs="Times New Roman" w:eastAsia="Times New Roman" w:hAnsi="Times New Roman"/>
          <w:sz w:val="16"/>
          <w:szCs w:val="16"/>
          <w:color w:val="auto"/>
        </w:rPr>
        <w:t>Added a weighted -average 1.1 years to the life of loans, which reduced monthly payment amounts for the borrowers; reduced weighted-average contractual interest rate from 8.50% to 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-5715</wp:posOffset>
            </wp:positionV>
            <wp:extent cx="6707505" cy="114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-3310255</wp:posOffset>
            </wp:positionH>
            <wp:positionV relativeFrom="paragraph">
              <wp:posOffset>534035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5160" w:space="40"/>
            <w:col w:w="5360"/>
          </w:cols>
          <w:pgMar w:left="660" w:top="1440" w:right="680" w:bottom="1440" w:gutter="0" w:footer="0" w:header="0"/>
          <w:type w:val="continuous"/>
        </w:sectPr>
      </w:pPr>
    </w:p>
    <w:bookmarkStart w:id="23" w:name="page24"/>
    <w:bookmarkEnd w:id="23"/>
    <w:p>
      <w:pPr>
        <w:spacing w:after="0" w:line="161" w:lineRule="exact"/>
        <w:rPr>
          <w:sz w:val="20"/>
          <w:szCs w:val="20"/>
          <w:color w:val="auto"/>
        </w:rPr>
      </w:pPr>
    </w:p>
    <w:p>
      <w:pPr>
        <w:ind w:right="26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describes the financial effect of the loan modifications made to borrowers experiencing financial difficulty during the three months ended June 30, 2025.</w:t>
      </w:r>
    </w:p>
    <w:p>
      <w:pPr>
        <w:sectPr>
          <w:pgSz w:w="11900" w:h="16840" w:orient="portrait"/>
          <w:cols w:equalWidth="0" w:num="1">
            <w:col w:w="10560"/>
          </w:cols>
          <w:pgMar w:left="660" w:top="1440" w:right="680" w:bottom="1440" w:gutter="0" w:footer="0" w:header="0"/>
        </w:sectPr>
      </w:pP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of Total Class</w:t>
            </w:r>
          </w:p>
        </w:tc>
        <w:tc>
          <w:tcPr>
            <w:tcW w:w="0" w:type="dxa"/>
            <w:vAlign w:val="bottom"/>
          </w:tcPr>
          <w:p>
            <w:pPr>
              <w:spacing w:after="0"/>
              <w:rPr>
                <w:sz w:val="1"/>
                <w:szCs w:val="1"/>
                <w:color w:val="auto"/>
              </w:rPr>
            </w:pPr>
          </w:p>
        </w:tc>
      </w:tr>
      <w:tr>
        <w:trPr>
          <w:trHeight w:val="180"/>
        </w:trPr>
        <w:tc>
          <w:tcPr>
            <w:tcW w:w="2880" w:type="dxa"/>
            <w:vAlign w:val="bottom"/>
          </w:tcPr>
          <w:p>
            <w:pPr>
              <w:spacing w:after="0"/>
              <w:rPr>
                <w:sz w:val="15"/>
                <w:szCs w:val="15"/>
                <w:color w:val="auto"/>
              </w:rPr>
            </w:pPr>
          </w:p>
        </w:tc>
        <w:tc>
          <w:tcPr>
            <w:tcW w:w="7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5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of Financing</w:t>
            </w:r>
          </w:p>
        </w:tc>
        <w:tc>
          <w:tcPr>
            <w:tcW w:w="0" w:type="dxa"/>
            <w:vAlign w:val="bottom"/>
          </w:tcPr>
          <w:p>
            <w:pPr>
              <w:spacing w:after="0"/>
              <w:rPr>
                <w:sz w:val="1"/>
                <w:szCs w:val="1"/>
                <w:color w:val="auto"/>
              </w:rPr>
            </w:pPr>
          </w:p>
        </w:tc>
      </w:tr>
      <w:tr>
        <w:trPr>
          <w:trHeight w:val="205"/>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Cost Basis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Receivables</w:t>
            </w:r>
          </w:p>
        </w:tc>
        <w:tc>
          <w:tcPr>
            <w:tcW w:w="0" w:type="dxa"/>
            <w:vAlign w:val="bottom"/>
          </w:tcPr>
          <w:p>
            <w:pPr>
              <w:spacing w:after="0"/>
              <w:rPr>
                <w:sz w:val="1"/>
                <w:szCs w:val="1"/>
                <w:color w:val="auto"/>
              </w:rPr>
            </w:pPr>
          </w:p>
        </w:tc>
      </w:tr>
      <w:tr>
        <w:trPr>
          <w:trHeight w:val="155"/>
        </w:trPr>
        <w:tc>
          <w:tcPr>
            <w:tcW w:w="2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24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0.03</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401"/>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240" w:type="dxa"/>
            <w:vAlign w:val="bottom"/>
            <w:vMerge w:val="continue"/>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36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76"/>
        </w:trPr>
        <w:tc>
          <w:tcPr>
            <w:tcW w:w="2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 Extension and Interest Rate</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37"/>
        </w:trPr>
        <w:tc>
          <w:tcPr>
            <w:tcW w:w="2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120"/>
              <w:spacing w:after="0" w:line="173" w:lineRule="exact"/>
              <w:rPr>
                <w:sz w:val="20"/>
                <w:szCs w:val="20"/>
                <w:color w:val="auto"/>
              </w:rPr>
            </w:pPr>
            <w:r>
              <w:rPr>
                <w:rFonts w:ascii="Times New Roman" w:cs="Times New Roman" w:eastAsia="Times New Roman" w:hAnsi="Times New Roman"/>
                <w:sz w:val="16"/>
                <w:szCs w:val="16"/>
                <w:b w:val="1"/>
                <w:bCs w:val="1"/>
                <w:color w:val="auto"/>
              </w:rPr>
              <w:t>Total Modified</w:t>
            </w:r>
          </w:p>
        </w:tc>
        <w:tc>
          <w:tcPr>
            <w:tcW w:w="240" w:type="dxa"/>
            <w:vAlign w:val="bottom"/>
            <w:tcBorders>
              <w:bottom w:val="single" w:sz="8" w:color="auto"/>
            </w:tcBorders>
          </w:tcPr>
          <w:p>
            <w:pPr>
              <w:jc w:val="right"/>
              <w:ind w:right="82"/>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6,467</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Financial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6985</wp:posOffset>
            </wp:positionV>
            <wp:extent cx="6707505" cy="114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338" w:lineRule="exact"/>
        <w:rPr>
          <w:sz w:val="20"/>
          <w:szCs w:val="20"/>
          <w:color w:val="auto"/>
        </w:rPr>
      </w:pPr>
    </w:p>
    <w:p>
      <w:pPr>
        <w:ind w:right="240" w:firstLine="39"/>
        <w:spacing w:after="0" w:line="246" w:lineRule="auto"/>
        <w:rPr>
          <w:sz w:val="20"/>
          <w:szCs w:val="20"/>
          <w:color w:val="auto"/>
        </w:rPr>
      </w:pPr>
      <w:r>
        <w:rPr>
          <w:rFonts w:ascii="Times New Roman" w:cs="Times New Roman" w:eastAsia="Times New Roman" w:hAnsi="Times New Roman"/>
          <w:sz w:val="16"/>
          <w:szCs w:val="16"/>
          <w:color w:val="auto"/>
        </w:rPr>
        <w:t>Added a weighted-average 1.7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-230505</wp:posOffset>
            </wp:positionV>
            <wp:extent cx="6707505" cy="228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right="240" w:firstLine="39"/>
        <w:spacing w:after="0" w:line="234" w:lineRule="auto"/>
        <w:rPr>
          <w:sz w:val="20"/>
          <w:szCs w:val="20"/>
          <w:color w:val="auto"/>
        </w:rPr>
      </w:pPr>
      <w:r>
        <w:rPr>
          <w:rFonts w:ascii="Times New Roman" w:cs="Times New Roman" w:eastAsia="Times New Roman" w:hAnsi="Times New Roman"/>
          <w:sz w:val="16"/>
          <w:szCs w:val="16"/>
          <w:color w:val="auto"/>
        </w:rPr>
        <w:t>Added a weighted-average 1.2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-1905</wp:posOffset>
            </wp:positionV>
            <wp:extent cx="6707505" cy="228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right="240" w:firstLine="39"/>
        <w:spacing w:after="0" w:line="238" w:lineRule="auto"/>
        <w:rPr>
          <w:sz w:val="20"/>
          <w:szCs w:val="20"/>
          <w:color w:val="auto"/>
        </w:rPr>
      </w:pPr>
      <w:r>
        <w:rPr>
          <w:rFonts w:ascii="Times New Roman" w:cs="Times New Roman" w:eastAsia="Times New Roman" w:hAnsi="Times New Roman"/>
          <w:sz w:val="16"/>
          <w:szCs w:val="16"/>
          <w:color w:val="auto"/>
        </w:rPr>
        <w:t>Added a weighted-average 0.9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222250</wp:posOffset>
            </wp:positionV>
            <wp:extent cx="6707505" cy="228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firstLine="39"/>
        <w:spacing w:after="0" w:line="247" w:lineRule="auto"/>
        <w:rPr>
          <w:sz w:val="20"/>
          <w:szCs w:val="20"/>
          <w:color w:val="auto"/>
        </w:rPr>
      </w:pPr>
      <w:r>
        <w:rPr>
          <w:rFonts w:ascii="Times New Roman" w:cs="Times New Roman" w:eastAsia="Times New Roman" w:hAnsi="Times New Roman"/>
          <w:sz w:val="16"/>
          <w:szCs w:val="16"/>
          <w:color w:val="auto"/>
        </w:rPr>
        <w:t>Added a weighted-average 7.6 years to the life of loans, which reduced monthly payment amounts for the borrowers; reduced weighted-average contractual interest rate from 10.00% to 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-8890</wp:posOffset>
            </wp:positionV>
            <wp:extent cx="6707505" cy="114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581" w:lineRule="exact"/>
        <w:rPr>
          <w:sz w:val="20"/>
          <w:szCs w:val="20"/>
          <w:color w:val="auto"/>
        </w:rPr>
      </w:pPr>
    </w:p>
    <w:p>
      <w:pPr>
        <w:sectPr>
          <w:pgSz w:w="11900" w:h="16840" w:orient="portrait"/>
          <w:cols w:equalWidth="0" w:num="2">
            <w:col w:w="5160" w:space="120"/>
            <w:col w:w="5280"/>
          </w:cols>
          <w:pgMar w:left="660" w:top="1440" w:right="680" w:bottom="1440" w:gutter="0" w:footer="0" w:header="0"/>
          <w:type w:val="continuous"/>
        </w:sectPr>
      </w:pPr>
    </w:p>
    <w:p>
      <w:pPr>
        <w:spacing w:after="0" w:line="75" w:lineRule="exact"/>
        <w:rPr>
          <w:sz w:val="20"/>
          <w:szCs w:val="20"/>
          <w:color w:val="auto"/>
        </w:rPr>
      </w:pPr>
    </w:p>
    <w:p>
      <w:pPr>
        <w:ind w:right="140" w:firstLine="471"/>
        <w:spacing w:after="0" w:line="331" w:lineRule="auto"/>
        <w:rPr>
          <w:sz w:val="20"/>
          <w:szCs w:val="20"/>
          <w:color w:val="auto"/>
        </w:rPr>
      </w:pPr>
      <w:r>
        <w:rPr>
          <w:rFonts w:ascii="Times New Roman" w:cs="Times New Roman" w:eastAsia="Times New Roman" w:hAnsi="Times New Roman"/>
          <w:sz w:val="14"/>
          <w:szCs w:val="14"/>
          <w:color w:val="auto"/>
        </w:rPr>
        <w:t>As of June 30, 2025, the Company did not have any loans made to borrowers experiencing financial difficulty that were modified during the first six months of 2025 that subsequently defaulted. Payment default is defined as movement to nonaccrual (nonperforming) status, foreclosure or charge-off, whichever occurs first.</w:t>
      </w:r>
    </w:p>
    <w:p>
      <w:pPr>
        <w:spacing w:after="0" w:line="96"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recorded investment in, and the aging of, past due loans at amortized cost (including nonaccrual loans), by type of loans, made to borrowers experiencing financial difficulty as of June 30,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Payment Status (amortized cost basis)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3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5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30-89 Days</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b w:val="1"/>
                <w:bCs w:val="1"/>
                <w:color w:val="auto"/>
              </w:rPr>
              <w:t>90+ Days</w:t>
            </w:r>
          </w:p>
        </w:tc>
      </w:tr>
      <w:tr>
        <w:trPr>
          <w:trHeight w:val="180"/>
        </w:trPr>
        <w:tc>
          <w:tcPr>
            <w:tcW w:w="3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Current</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5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Past Due</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ind w:left="260"/>
              <w:spacing w:after="0" w:line="180" w:lineRule="exact"/>
              <w:rPr>
                <w:sz w:val="20"/>
                <w:szCs w:val="20"/>
                <w:color w:val="auto"/>
              </w:rPr>
            </w:pPr>
            <w:r>
              <w:rPr>
                <w:rFonts w:ascii="Times New Roman" w:cs="Times New Roman" w:eastAsia="Times New Roman" w:hAnsi="Times New Roman"/>
                <w:sz w:val="16"/>
                <w:szCs w:val="16"/>
                <w:b w:val="1"/>
                <w:bCs w:val="1"/>
                <w:color w:val="auto"/>
              </w:rPr>
              <w:t>Past Due</w:t>
            </w:r>
          </w:p>
        </w:tc>
      </w:tr>
      <w:tr>
        <w:trPr>
          <w:trHeight w:val="195"/>
        </w:trPr>
        <w:tc>
          <w:tcPr>
            <w:tcW w:w="3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340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2100" w:type="dxa"/>
            <w:vAlign w:val="bottom"/>
            <w:gridSpan w:val="2"/>
            <w:shd w:val="clear" w:color="auto" w:fill="CFF0FC"/>
          </w:tcPr>
          <w:p>
            <w:pPr>
              <w:jc w:val="right"/>
              <w:ind w:right="1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7,870</w:t>
            </w:r>
          </w:p>
        </w:tc>
        <w:tc>
          <w:tcPr>
            <w:tcW w:w="5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80" w:type="dxa"/>
            <w:vAlign w:val="bottom"/>
            <w:gridSpan w:val="2"/>
            <w:shd w:val="clear" w:color="auto" w:fill="CFF0FC"/>
          </w:tcPr>
          <w:p>
            <w:pPr>
              <w:ind w:left="15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400" w:type="dxa"/>
            <w:vAlign w:val="bottom"/>
          </w:tcPr>
          <w:p>
            <w:pPr>
              <w:ind w:left="40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1,264</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ind w:left="15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40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8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80" w:type="dxa"/>
            <w:vAlign w:val="bottom"/>
            <w:gridSpan w:val="2"/>
            <w:shd w:val="clear" w:color="auto" w:fill="CFF0FC"/>
          </w:tcPr>
          <w:p>
            <w:pPr>
              <w:ind w:left="15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400" w:type="dxa"/>
            <w:vAlign w:val="bottom"/>
          </w:tcPr>
          <w:p>
            <w:pPr>
              <w:ind w:left="50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2100" w:type="dxa"/>
            <w:vAlign w:val="bottom"/>
            <w:gridSpan w:val="2"/>
          </w:tcPr>
          <w:p>
            <w:pPr>
              <w:jc w:val="right"/>
              <w:ind w:right="1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rPr>
              <w:t>9,529</w:t>
            </w:r>
          </w:p>
        </w:tc>
        <w:tc>
          <w:tcPr>
            <w:tcW w:w="56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080" w:type="dxa"/>
            <w:vAlign w:val="bottom"/>
            <w:gridSpan w:val="2"/>
          </w:tcPr>
          <w:p>
            <w:pPr>
              <w:ind w:left="15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ind w:left="1280"/>
              <w:spacing w:after="0" w:line="16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86"/>
        </w:trPr>
        <w:tc>
          <w:tcPr>
            <w:tcW w:w="3400" w:type="dxa"/>
            <w:vAlign w:val="bottom"/>
          </w:tcPr>
          <w:p>
            <w:pPr>
              <w:spacing w:after="0"/>
              <w:rPr>
                <w:sz w:val="24"/>
                <w:szCs w:val="24"/>
                <w:color w:val="auto"/>
              </w:rPr>
            </w:pPr>
          </w:p>
        </w:tc>
        <w:tc>
          <w:tcPr>
            <w:tcW w:w="21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24</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54"/>
        </w:trPr>
        <w:tc>
          <w:tcPr>
            <w:tcW w:w="34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24" w:name="page25"/>
    <w:bookmarkEnd w:id="24"/>
    <w:p>
      <w:pPr>
        <w:spacing w:after="0" w:line="315" w:lineRule="exact"/>
        <w:rPr>
          <w:sz w:val="20"/>
          <w:szCs w:val="20"/>
          <w:color w:val="auto"/>
        </w:rPr>
      </w:pPr>
    </w:p>
    <w:p>
      <w:pPr>
        <w:ind w:left="280" w:hanging="274"/>
        <w:spacing w:after="0"/>
        <w:tabs>
          <w:tab w:leader="none" w:pos="28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BORROWINGS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Repurchase Agreements</w:t>
      </w:r>
    </w:p>
    <w:p>
      <w:pPr>
        <w:spacing w:after="0" w:line="180" w:lineRule="exact"/>
        <w:rPr>
          <w:sz w:val="20"/>
          <w:szCs w:val="20"/>
          <w:color w:val="auto"/>
        </w:rPr>
      </w:pPr>
    </w:p>
    <w:p>
      <w:pPr>
        <w:ind w:right="60" w:firstLine="432"/>
        <w:spacing w:after="0" w:line="241" w:lineRule="auto"/>
        <w:rPr>
          <w:sz w:val="20"/>
          <w:szCs w:val="20"/>
          <w:color w:val="auto"/>
        </w:rPr>
      </w:pPr>
      <w:r>
        <w:rPr>
          <w:rFonts w:ascii="Times New Roman" w:cs="Times New Roman" w:eastAsia="Times New Roman" w:hAnsi="Times New Roman"/>
          <w:sz w:val="16"/>
          <w:szCs w:val="16"/>
          <w:color w:val="auto"/>
        </w:rPr>
        <w:t>The Bank offers a repurchase agreement product to its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 determined balance in a demand deposit account, in order to earn interest. As of June 30, 2025, total funds borrowed under these agreements were $404.2 million with a weighted average interest rate of 1.66%, compared to $261.9 million with a weighted average interest rate of 0.72% at December 31,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Federal Home Loan Bank Advances and Other Borrowings</w:t>
      </w:r>
    </w:p>
    <w:p>
      <w:pPr>
        <w:spacing w:after="0" w:line="180" w:lineRule="exact"/>
        <w:rPr>
          <w:sz w:val="20"/>
          <w:szCs w:val="20"/>
          <w:color w:val="auto"/>
        </w:rPr>
      </w:pPr>
    </w:p>
    <w:p>
      <w:pPr>
        <w:ind w:right="420" w:firstLine="432"/>
        <w:spacing w:after="0" w:line="259" w:lineRule="auto"/>
        <w:rPr>
          <w:sz w:val="20"/>
          <w:szCs w:val="20"/>
          <w:color w:val="auto"/>
        </w:rPr>
      </w:pPr>
      <w:r>
        <w:rPr>
          <w:rFonts w:ascii="Times New Roman" w:cs="Times New Roman" w:eastAsia="Times New Roman" w:hAnsi="Times New Roman"/>
          <w:sz w:val="16"/>
          <w:szCs w:val="16"/>
          <w:color w:val="auto"/>
        </w:rPr>
        <w:t>As of June 30, 2025, borrowings totaled $500 million, which consisted of FHLB advances at an average rate of 4.55%. The FHLB advances included $300 million, at a fixed rate of 4.73%, maturing in May 2026, and $200 million, at a fixed rate of 4.27%, maturing in May 2027.</w:t>
      </w:r>
    </w:p>
    <w:p>
      <w:pPr>
        <w:spacing w:after="0" w:line="143" w:lineRule="exact"/>
        <w:rPr>
          <w:sz w:val="20"/>
          <w:szCs w:val="20"/>
          <w:color w:val="auto"/>
        </w:rPr>
      </w:pPr>
    </w:p>
    <w:p>
      <w:pPr>
        <w:ind w:right="480" w:firstLine="432"/>
        <w:spacing w:after="0" w:line="259" w:lineRule="auto"/>
        <w:rPr>
          <w:sz w:val="20"/>
          <w:szCs w:val="20"/>
          <w:color w:val="auto"/>
        </w:rPr>
      </w:pPr>
      <w:r>
        <w:rPr>
          <w:rFonts w:ascii="Times New Roman" w:cs="Times New Roman" w:eastAsia="Times New Roman" w:hAnsi="Times New Roman"/>
          <w:sz w:val="16"/>
          <w:szCs w:val="16"/>
          <w:color w:val="auto"/>
        </w:rPr>
        <w:t>As of June 30, 2025 $ 6.31 billion of loans and $ 4.74 billion of investment securities, at carrying value, were pledged to secure public deposits, repurchase agreements, borrowing lines, and for other purposes as required or permitted by law.</w:t>
      </w:r>
    </w:p>
    <w:p>
      <w:pPr>
        <w:spacing w:after="0" w:line="200" w:lineRule="exact"/>
        <w:rPr>
          <w:sz w:val="20"/>
          <w:szCs w:val="20"/>
          <w:color w:val="auto"/>
        </w:rPr>
      </w:pPr>
    </w:p>
    <w:p>
      <w:pPr>
        <w:spacing w:after="0" w:line="301" w:lineRule="exact"/>
        <w:rPr>
          <w:sz w:val="20"/>
          <w:szCs w:val="20"/>
          <w:color w:val="auto"/>
        </w:rPr>
      </w:pPr>
    </w:p>
    <w:p>
      <w:pPr>
        <w:ind w:left="280" w:hanging="274"/>
        <w:spacing w:after="0"/>
        <w:tabs>
          <w:tab w:leader="none" w:pos="28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 RECONCILIATION</w:t>
      </w:r>
    </w:p>
    <w:p>
      <w:pPr>
        <w:spacing w:after="0" w:line="178" w:lineRule="exact"/>
        <w:rPr>
          <w:sz w:val="20"/>
          <w:szCs w:val="20"/>
          <w:color w:val="auto"/>
        </w:rPr>
      </w:pPr>
    </w:p>
    <w:p>
      <w:pPr>
        <w:ind w:right="80" w:firstLine="432"/>
        <w:spacing w:after="0" w:line="239" w:lineRule="auto"/>
        <w:rPr>
          <w:sz w:val="20"/>
          <w:szCs w:val="20"/>
          <w:color w:val="auto"/>
        </w:rPr>
      </w:pPr>
      <w:r>
        <w:rPr>
          <w:rFonts w:ascii="Times New Roman" w:cs="Times New Roman" w:eastAsia="Times New Roman" w:hAnsi="Times New Roman"/>
          <w:sz w:val="16"/>
          <w:szCs w:val="16"/>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and six months ended June 30, 2025, shares deemed to be antidilutive, and thus excluded from the computation of earnings per common share, were 762,000 and 746,000, respectively. For the three and six months ended June 30, 2024, shares deemed to be antidilutive, and thus excluded from the computation of earnings per common share, were 1,181,000 and 1,167,000, respectively.</w:t>
      </w:r>
    </w:p>
    <w:p>
      <w:pPr>
        <w:spacing w:after="0" w:line="161" w:lineRule="exact"/>
        <w:rPr>
          <w:sz w:val="20"/>
          <w:szCs w:val="20"/>
          <w:color w:val="auto"/>
        </w:rPr>
      </w:pPr>
    </w:p>
    <w:p>
      <w:pPr>
        <w:ind w:right="200" w:firstLine="432"/>
        <w:spacing w:after="0" w:line="259" w:lineRule="auto"/>
        <w:rPr>
          <w:sz w:val="20"/>
          <w:szCs w:val="20"/>
          <w:color w:val="auto"/>
        </w:rPr>
      </w:pPr>
      <w:r>
        <w:rPr>
          <w:rFonts w:ascii="Times New Roman" w:cs="Times New Roman" w:eastAsia="Times New Roman" w:hAnsi="Times New Roman"/>
          <w:sz w:val="16"/>
          <w:szCs w:val="16"/>
          <w:color w:val="auto"/>
        </w:rPr>
        <w:t>The table below shows earnings per common share and diluted earnings per common share and reconciles the numerator and denominator of both earnings per common share calculations.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252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3"/>
          </w:tcPr>
          <w:p>
            <w:pPr>
              <w:jc w:val="right"/>
              <w:ind w:right="101"/>
              <w:spacing w:after="0" w:line="180" w:lineRule="exact"/>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4"/>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6"/>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50,564</w:t>
            </w:r>
          </w:p>
        </w:tc>
        <w:tc>
          <w:tcPr>
            <w:tcW w:w="280" w:type="dxa"/>
            <w:vAlign w:val="bottom"/>
          </w:tcPr>
          <w:p>
            <w:pPr>
              <w:spacing w:after="0"/>
              <w:rPr>
                <w:sz w:val="15"/>
                <w:szCs w:val="15"/>
                <w:color w:val="auto"/>
              </w:rPr>
            </w:pPr>
          </w:p>
        </w:tc>
        <w:tc>
          <w:tcPr>
            <w:tcW w:w="300" w:type="dxa"/>
            <w:vAlign w:val="bottom"/>
          </w:tcPr>
          <w:p>
            <w:pPr>
              <w:jc w:val="right"/>
              <w:ind w:right="181"/>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50,035</w:t>
            </w:r>
          </w:p>
        </w:tc>
        <w:tc>
          <w:tcPr>
            <w:tcW w:w="260" w:type="dxa"/>
            <w:vAlign w:val="bottom"/>
          </w:tcPr>
          <w:p>
            <w:pPr>
              <w:spacing w:after="0"/>
              <w:rPr>
                <w:sz w:val="15"/>
                <w:szCs w:val="15"/>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101,668</w:t>
            </w:r>
          </w:p>
        </w:tc>
        <w:tc>
          <w:tcPr>
            <w:tcW w:w="4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98,634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Less: Net earnings allocated to restricted stock</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340</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373</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Net earnings allocated to common shareholders</w:t>
            </w:r>
          </w:p>
        </w:tc>
        <w:tc>
          <w:tcPr>
            <w:tcW w:w="28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50,224</w:t>
            </w:r>
          </w:p>
        </w:tc>
        <w:tc>
          <w:tcPr>
            <w:tcW w:w="280" w:type="dxa"/>
            <w:vAlign w:val="bottom"/>
          </w:tcPr>
          <w:p>
            <w:pPr>
              <w:spacing w:after="0"/>
              <w:rPr>
                <w:sz w:val="15"/>
                <w:szCs w:val="15"/>
                <w:color w:val="auto"/>
              </w:rPr>
            </w:pPr>
          </w:p>
        </w:tc>
        <w:tc>
          <w:tcPr>
            <w:tcW w:w="300" w:type="dxa"/>
            <w:vAlign w:val="bottom"/>
          </w:tcPr>
          <w:p>
            <w:pPr>
              <w:jc w:val="right"/>
              <w:ind w:right="181"/>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49,662</w:t>
            </w:r>
          </w:p>
        </w:tc>
        <w:tc>
          <w:tcPr>
            <w:tcW w:w="260" w:type="dxa"/>
            <w:vAlign w:val="bottom"/>
          </w:tcPr>
          <w:p>
            <w:pPr>
              <w:spacing w:after="0"/>
              <w:rPr>
                <w:sz w:val="15"/>
                <w:szCs w:val="15"/>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100,993</w:t>
            </w:r>
          </w:p>
        </w:tc>
        <w:tc>
          <w:tcPr>
            <w:tcW w:w="44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97,937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6"/>
                <w:szCs w:val="16"/>
                <w:color w:val="auto"/>
              </w:rPr>
              <w:t>Weighted average shares outstanding</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136,999</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138,584</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137,615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138,419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Basic earnings per common share</w:t>
            </w:r>
          </w:p>
        </w:tc>
        <w:tc>
          <w:tcPr>
            <w:tcW w:w="28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0.37</w:t>
            </w:r>
          </w:p>
        </w:tc>
        <w:tc>
          <w:tcPr>
            <w:tcW w:w="280" w:type="dxa"/>
            <w:vAlign w:val="bottom"/>
          </w:tcPr>
          <w:p>
            <w:pPr>
              <w:spacing w:after="0"/>
              <w:rPr>
                <w:sz w:val="15"/>
                <w:szCs w:val="15"/>
                <w:color w:val="auto"/>
              </w:rPr>
            </w:pPr>
          </w:p>
        </w:tc>
        <w:tc>
          <w:tcPr>
            <w:tcW w:w="300" w:type="dxa"/>
            <w:vAlign w:val="bottom"/>
          </w:tcPr>
          <w:p>
            <w:pPr>
              <w:jc w:val="right"/>
              <w:ind w:right="181"/>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0.36</w:t>
            </w:r>
          </w:p>
        </w:tc>
        <w:tc>
          <w:tcPr>
            <w:tcW w:w="260" w:type="dxa"/>
            <w:vAlign w:val="bottom"/>
          </w:tcPr>
          <w:p>
            <w:pPr>
              <w:spacing w:after="0"/>
              <w:rPr>
                <w:sz w:val="15"/>
                <w:szCs w:val="15"/>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0.73</w:t>
            </w:r>
          </w:p>
        </w:tc>
        <w:tc>
          <w:tcPr>
            <w:tcW w:w="120" w:type="dxa"/>
            <w:vAlign w:val="bottom"/>
          </w:tcPr>
          <w:p>
            <w:pPr>
              <w:spacing w:after="0"/>
              <w:rPr>
                <w:sz w:val="15"/>
                <w:szCs w:val="15"/>
                <w:color w:val="auto"/>
              </w:rPr>
            </w:pPr>
          </w:p>
        </w:tc>
        <w:tc>
          <w:tcPr>
            <w:tcW w:w="44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0.71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Diluted earnings per common share:</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Net income allocated to common shareholders</w:t>
            </w:r>
          </w:p>
        </w:tc>
        <w:tc>
          <w:tcPr>
            <w:tcW w:w="28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50,224</w:t>
            </w:r>
          </w:p>
        </w:tc>
        <w:tc>
          <w:tcPr>
            <w:tcW w:w="280" w:type="dxa"/>
            <w:vAlign w:val="bottom"/>
          </w:tcPr>
          <w:p>
            <w:pPr>
              <w:spacing w:after="0"/>
              <w:rPr>
                <w:sz w:val="15"/>
                <w:szCs w:val="15"/>
                <w:color w:val="auto"/>
              </w:rPr>
            </w:pPr>
          </w:p>
        </w:tc>
        <w:tc>
          <w:tcPr>
            <w:tcW w:w="300" w:type="dxa"/>
            <w:vAlign w:val="bottom"/>
          </w:tcPr>
          <w:p>
            <w:pPr>
              <w:jc w:val="right"/>
              <w:ind w:right="181"/>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49,662</w:t>
            </w:r>
          </w:p>
        </w:tc>
        <w:tc>
          <w:tcPr>
            <w:tcW w:w="260" w:type="dxa"/>
            <w:vAlign w:val="bottom"/>
          </w:tcPr>
          <w:p>
            <w:pPr>
              <w:spacing w:after="0"/>
              <w:rPr>
                <w:sz w:val="15"/>
                <w:szCs w:val="15"/>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100,993</w:t>
            </w:r>
          </w:p>
        </w:tc>
        <w:tc>
          <w:tcPr>
            <w:tcW w:w="44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97,937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shd w:val="clear" w:color="auto" w:fill="CFF0FC"/>
          </w:tcPr>
          <w:p>
            <w:pPr>
              <w:ind w:left="160"/>
              <w:spacing w:after="0" w:line="156" w:lineRule="exact"/>
              <w:rPr>
                <w:sz w:val="20"/>
                <w:szCs w:val="20"/>
                <w:color w:val="auto"/>
              </w:rPr>
            </w:pPr>
            <w:r>
              <w:rPr>
                <w:rFonts w:ascii="Times New Roman" w:cs="Times New Roman" w:eastAsia="Times New Roman" w:hAnsi="Times New Roman"/>
                <w:sz w:val="16"/>
                <w:szCs w:val="16"/>
                <w:color w:val="auto"/>
              </w:rPr>
              <w:t>Weighted average shares outstanding</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136,999</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138,584</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137,615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138,419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tcPr>
          <w:p>
            <w:pPr>
              <w:ind w:left="160"/>
              <w:spacing w:after="0" w:line="167" w:lineRule="exact"/>
              <w:rPr>
                <w:sz w:val="20"/>
                <w:szCs w:val="20"/>
                <w:color w:val="auto"/>
              </w:rPr>
            </w:pPr>
            <w:r>
              <w:rPr>
                <w:rFonts w:ascii="Times New Roman" w:cs="Times New Roman" w:eastAsia="Times New Roman" w:hAnsi="Times New Roman"/>
                <w:sz w:val="16"/>
                <w:szCs w:val="16"/>
                <w:color w:val="auto"/>
              </w:rPr>
              <w:t>Incremental shares from assumed exercise of</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outstanding options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137,173</w:t>
            </w: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138,669</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137,889</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138,561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Diluted earnings per common share</w:t>
            </w:r>
          </w:p>
        </w:tc>
        <w:tc>
          <w:tcPr>
            <w:tcW w:w="28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0.37</w:t>
            </w:r>
          </w:p>
        </w:tc>
        <w:tc>
          <w:tcPr>
            <w:tcW w:w="280" w:type="dxa"/>
            <w:vAlign w:val="bottom"/>
          </w:tcPr>
          <w:p>
            <w:pPr>
              <w:spacing w:after="0"/>
              <w:rPr>
                <w:sz w:val="15"/>
                <w:szCs w:val="15"/>
                <w:color w:val="auto"/>
              </w:rPr>
            </w:pPr>
          </w:p>
        </w:tc>
        <w:tc>
          <w:tcPr>
            <w:tcW w:w="300" w:type="dxa"/>
            <w:vAlign w:val="bottom"/>
          </w:tcPr>
          <w:p>
            <w:pPr>
              <w:jc w:val="right"/>
              <w:ind w:right="181"/>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0.36</w:t>
            </w:r>
          </w:p>
        </w:tc>
        <w:tc>
          <w:tcPr>
            <w:tcW w:w="260" w:type="dxa"/>
            <w:vAlign w:val="bottom"/>
          </w:tcPr>
          <w:p>
            <w:pPr>
              <w:spacing w:after="0"/>
              <w:rPr>
                <w:sz w:val="15"/>
                <w:szCs w:val="15"/>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0.73</w:t>
            </w:r>
          </w:p>
        </w:tc>
        <w:tc>
          <w:tcPr>
            <w:tcW w:w="120" w:type="dxa"/>
            <w:vAlign w:val="bottom"/>
          </w:tcPr>
          <w:p>
            <w:pPr>
              <w:spacing w:after="0"/>
              <w:rPr>
                <w:sz w:val="15"/>
                <w:szCs w:val="15"/>
                <w:color w:val="auto"/>
              </w:rPr>
            </w:pPr>
          </w:p>
        </w:tc>
        <w:tc>
          <w:tcPr>
            <w:tcW w:w="44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0.71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20" w:type="dxa"/>
            <w:vAlign w:val="bottom"/>
          </w:tcPr>
          <w:p>
            <w:pPr>
              <w:spacing w:after="0"/>
              <w:rPr>
                <w:sz w:val="24"/>
                <w:szCs w:val="24"/>
                <w:color w:val="auto"/>
              </w:rPr>
            </w:pPr>
          </w:p>
        </w:tc>
        <w:tc>
          <w:tcPr>
            <w:tcW w:w="47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 w:name="page26"/>
    <w:bookmarkEnd w:id="25"/>
    <w:p>
      <w:pPr>
        <w:spacing w:after="0" w:line="159" w:lineRule="exact"/>
        <w:rPr>
          <w:sz w:val="20"/>
          <w:szCs w:val="20"/>
          <w:color w:val="auto"/>
        </w:rPr>
      </w:pPr>
    </w:p>
    <w:p>
      <w:pPr>
        <w:ind w:left="280" w:hanging="274"/>
        <w:spacing w:after="0"/>
        <w:tabs>
          <w:tab w:leader="none" w:pos="28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Hierarchy</w:t>
      </w:r>
    </w:p>
    <w:p>
      <w:pPr>
        <w:spacing w:after="0" w:line="180" w:lineRule="exact"/>
        <w:rPr>
          <w:sz w:val="20"/>
          <w:szCs w:val="20"/>
          <w:color w:val="auto"/>
        </w:rPr>
      </w:pPr>
    </w:p>
    <w:p>
      <w:pPr>
        <w:ind w:right="120" w:firstLine="432"/>
        <w:spacing w:after="0" w:line="259" w:lineRule="auto"/>
        <w:rPr>
          <w:sz w:val="20"/>
          <w:szCs w:val="20"/>
          <w:color w:val="auto"/>
        </w:rPr>
      </w:pPr>
      <w:r>
        <w:rPr>
          <w:rFonts w:ascii="Times New Roman" w:cs="Times New Roman" w:eastAsia="Times New Roman" w:hAnsi="Times New Roman"/>
          <w:sz w:val="16"/>
          <w:szCs w:val="16"/>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41" w:lineRule="exact"/>
        <w:rPr>
          <w:sz w:val="20"/>
          <w:szCs w:val="20"/>
          <w:color w:val="auto"/>
        </w:rPr>
      </w:pPr>
    </w:p>
    <w:p>
      <w:pPr>
        <w:ind w:right="300" w:firstLine="432"/>
        <w:spacing w:after="0" w:line="262" w:lineRule="auto"/>
        <w:rPr>
          <w:sz w:val="20"/>
          <w:szCs w:val="20"/>
          <w:color w:val="auto"/>
        </w:rPr>
      </w:pPr>
      <w:r>
        <w:rPr>
          <w:rFonts w:ascii="Times New Roman" w:cs="Times New Roman" w:eastAsia="Times New Roman" w:hAnsi="Times New Roman"/>
          <w:sz w:val="16"/>
          <w:szCs w:val="16"/>
          <w:color w:val="auto"/>
        </w:rPr>
        <w:t xml:space="preserve">The valuation methodologies for financial assets and liabilities measured at fair value on a recurring and non-recurring basis are described in Note 17 — </w:t>
      </w:r>
      <w:r>
        <w:rPr>
          <w:rFonts w:ascii="Times New Roman" w:cs="Times New Roman" w:eastAsia="Times New Roman" w:hAnsi="Times New Roman"/>
          <w:sz w:val="16"/>
          <w:szCs w:val="16"/>
          <w:i w:val="1"/>
          <w:iCs w:val="1"/>
          <w:color w:val="auto"/>
        </w:rPr>
        <w:t>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Value Information, </w:t>
      </w:r>
      <w:r>
        <w:rPr>
          <w:rFonts w:ascii="Times New Roman" w:cs="Times New Roman" w:eastAsia="Times New Roman" w:hAnsi="Times New Roman"/>
          <w:sz w:val="16"/>
          <w:szCs w:val="16"/>
          <w:color w:val="auto"/>
        </w:rPr>
        <w:t>included in our Annual Report on Form 10-K for the year ended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tables below present the balances of assets and liabilities measured at fair value on a recurring basis as of the dates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Quoted Prices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in Active</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Markets for</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Significant Other</w:t>
            </w:r>
          </w:p>
        </w:tc>
        <w:tc>
          <w:tcPr>
            <w:tcW w:w="200" w:type="dxa"/>
            <w:vAlign w:val="bottom"/>
          </w:tcPr>
          <w:p>
            <w:pPr>
              <w:spacing w:after="0"/>
              <w:rPr>
                <w:sz w:val="15"/>
                <w:szCs w:val="15"/>
                <w:color w:val="auto"/>
              </w:rPr>
            </w:pPr>
          </w:p>
        </w:tc>
        <w:tc>
          <w:tcPr>
            <w:tcW w:w="128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Carrying Value at</w:t>
            </w:r>
          </w:p>
        </w:tc>
        <w:tc>
          <w:tcPr>
            <w:tcW w:w="132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Identical Assets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Observable Inputs</w:t>
            </w:r>
          </w:p>
        </w:tc>
        <w:tc>
          <w:tcPr>
            <w:tcW w:w="14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Unobservable Inputs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June 30, 2025</w:t>
            </w:r>
          </w:p>
        </w:tc>
        <w:tc>
          <w:tcPr>
            <w:tcW w:w="1320" w:type="dxa"/>
            <w:vAlign w:val="bottom"/>
          </w:tcPr>
          <w:p>
            <w:pPr>
              <w:jc w:val="center"/>
              <w:ind w:left="1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(Level 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(Level 2)</w:t>
            </w:r>
          </w:p>
        </w:tc>
        <w:tc>
          <w:tcPr>
            <w:tcW w:w="200" w:type="dxa"/>
            <w:vAlign w:val="bottom"/>
          </w:tcPr>
          <w:p>
            <w:pPr>
              <w:spacing w:after="0"/>
              <w:rPr>
                <w:sz w:val="15"/>
                <w:szCs w:val="15"/>
                <w:color w:val="auto"/>
              </w:rPr>
            </w:pPr>
          </w:p>
        </w:tc>
        <w:tc>
          <w:tcPr>
            <w:tcW w:w="128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6"/>
          </w:tcPr>
          <w:p>
            <w:pPr>
              <w:ind w:left="8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Description of assets</w:t>
            </w: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Investment securities - AFS: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5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34,372</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34,372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2,080,184</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2,080,184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349,610</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349,610</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20,619</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20,619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Other securities</w:t>
            </w: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1,521</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1,521</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Total investment securities - AFS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2,486,306</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2,486,306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FF0FC"/>
          </w:tcPr>
          <w:p>
            <w:pPr>
              <w:ind w:left="40"/>
              <w:spacing w:after="0" w:line="167" w:lineRule="exact"/>
              <w:rPr>
                <w:sz w:val="20"/>
                <w:szCs w:val="20"/>
                <w:color w:val="auto"/>
              </w:rPr>
            </w:pPr>
            <w:r>
              <w:rPr>
                <w:rFonts w:ascii="Times New Roman" w:cs="Times New Roman" w:eastAsia="Times New Roman" w:hAnsi="Times New Roman"/>
                <w:sz w:val="16"/>
                <w:szCs w:val="16"/>
                <w:color w:val="auto"/>
              </w:rPr>
              <w:t>Derivatives not designated as hedging</w:t>
            </w: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instruments:</w:t>
            </w: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Cash flow hedges: interest rate swaps</w:t>
            </w: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5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2,486,494</w:t>
            </w:r>
          </w:p>
        </w:tc>
        <w:tc>
          <w:tcPr>
            <w:tcW w:w="280" w:type="dxa"/>
            <w:vAlign w:val="bottom"/>
          </w:tcPr>
          <w:p>
            <w:pPr>
              <w:spacing w:after="0"/>
              <w:rPr>
                <w:sz w:val="15"/>
                <w:szCs w:val="15"/>
                <w:color w:val="auto"/>
              </w:rPr>
            </w:pPr>
          </w:p>
        </w:tc>
        <w:tc>
          <w:tcPr>
            <w:tcW w:w="1320" w:type="dxa"/>
            <w:vAlign w:val="bottom"/>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2,486,494</w:t>
            </w:r>
          </w:p>
        </w:tc>
        <w:tc>
          <w:tcPr>
            <w:tcW w:w="260" w:type="dxa"/>
            <w:vAlign w:val="bottom"/>
          </w:tcPr>
          <w:p>
            <w:pPr>
              <w:spacing w:after="0"/>
              <w:rPr>
                <w:sz w:val="15"/>
                <w:szCs w:val="15"/>
                <w:color w:val="auto"/>
              </w:rPr>
            </w:pPr>
          </w:p>
        </w:tc>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3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ind w:left="40"/>
              <w:spacing w:after="0" w:line="167" w:lineRule="exact"/>
              <w:rPr>
                <w:sz w:val="20"/>
                <w:szCs w:val="20"/>
                <w:color w:val="auto"/>
              </w:rPr>
            </w:pPr>
            <w:r>
              <w:rPr>
                <w:rFonts w:ascii="Times New Roman" w:cs="Times New Roman" w:eastAsia="Times New Roman" w:hAnsi="Times New Roman"/>
                <w:sz w:val="16"/>
                <w:szCs w:val="16"/>
                <w:color w:val="auto"/>
              </w:rPr>
              <w:t>Derivatives not designated as hedging</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instruments: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2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28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9,585</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9,585</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Cash flow hedges: interest rate swaps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2,855</w:t>
            </w: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2,855</w:t>
            </w: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liabilities</w:t>
            </w:r>
          </w:p>
        </w:tc>
        <w:tc>
          <w:tcPr>
            <w:tcW w:w="5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12,628</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12,628</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26</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20" w:type="dxa"/>
            <w:vAlign w:val="bottom"/>
          </w:tcPr>
          <w:p>
            <w:pPr>
              <w:spacing w:after="0"/>
              <w:rPr>
                <w:sz w:val="24"/>
                <w:szCs w:val="24"/>
                <w:color w:val="auto"/>
              </w:rPr>
            </w:pPr>
          </w:p>
        </w:tc>
        <w:tc>
          <w:tcPr>
            <w:tcW w:w="33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 w:name="page27"/>
    <w:bookmarkEnd w:id="26"/>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Quoted Prices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in Active</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Markets for</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Significant Other</w:t>
            </w:r>
          </w:p>
        </w:tc>
        <w:tc>
          <w:tcPr>
            <w:tcW w:w="200" w:type="dxa"/>
            <w:vAlign w:val="bottom"/>
          </w:tcPr>
          <w:p>
            <w:pPr>
              <w:spacing w:after="0"/>
              <w:rPr>
                <w:sz w:val="15"/>
                <w:szCs w:val="15"/>
                <w:color w:val="auto"/>
              </w:rPr>
            </w:pPr>
          </w:p>
        </w:tc>
        <w:tc>
          <w:tcPr>
            <w:tcW w:w="128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Carrying Value at</w:t>
            </w:r>
          </w:p>
        </w:tc>
        <w:tc>
          <w:tcPr>
            <w:tcW w:w="132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Identical Assets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Observable Inputs</w:t>
            </w:r>
          </w:p>
        </w:tc>
        <w:tc>
          <w:tcPr>
            <w:tcW w:w="14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Unobservable Inputs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1320" w:type="dxa"/>
            <w:vAlign w:val="bottom"/>
          </w:tcPr>
          <w:p>
            <w:pPr>
              <w:jc w:val="center"/>
              <w:ind w:left="1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(Level 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(Level 2)</w:t>
            </w:r>
          </w:p>
        </w:tc>
        <w:tc>
          <w:tcPr>
            <w:tcW w:w="200" w:type="dxa"/>
            <w:vAlign w:val="bottom"/>
          </w:tcPr>
          <w:p>
            <w:pPr>
              <w:spacing w:after="0"/>
              <w:rPr>
                <w:sz w:val="15"/>
                <w:szCs w:val="15"/>
                <w:color w:val="auto"/>
              </w:rPr>
            </w:pPr>
          </w:p>
        </w:tc>
        <w:tc>
          <w:tcPr>
            <w:tcW w:w="128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6"/>
          </w:tcPr>
          <w:p>
            <w:pPr>
              <w:ind w:left="8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Description of assets</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Investment securities - AFS: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34,255</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34,255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2,134,534</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2,134,534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351,522</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351,522</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20,377</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20,377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Other securities</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investment securities - AFS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2,542,115</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2,542,115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FF0FC"/>
          </w:tcPr>
          <w:p>
            <w:pPr>
              <w:ind w:left="40"/>
              <w:spacing w:after="0" w:line="167" w:lineRule="exact"/>
              <w:rPr>
                <w:sz w:val="20"/>
                <w:szCs w:val="20"/>
                <w:color w:val="auto"/>
              </w:rPr>
            </w:pPr>
            <w:r>
              <w:rPr>
                <w:rFonts w:ascii="Times New Roman" w:cs="Times New Roman" w:eastAsia="Times New Roman" w:hAnsi="Times New Roman"/>
                <w:sz w:val="16"/>
                <w:szCs w:val="16"/>
                <w:color w:val="auto"/>
              </w:rPr>
              <w:t>Derivatives not designated as hedging</w:t>
            </w: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instruments:</w:t>
            </w: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4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Cash flow hedges: interest rate swaps</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5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2,549,367</w:t>
            </w:r>
          </w:p>
        </w:tc>
        <w:tc>
          <w:tcPr>
            <w:tcW w:w="280" w:type="dxa"/>
            <w:vAlign w:val="bottom"/>
          </w:tcPr>
          <w:p>
            <w:pPr>
              <w:spacing w:after="0"/>
              <w:rPr>
                <w:sz w:val="15"/>
                <w:szCs w:val="15"/>
                <w:color w:val="auto"/>
              </w:rPr>
            </w:pPr>
          </w:p>
        </w:tc>
        <w:tc>
          <w:tcPr>
            <w:tcW w:w="1320" w:type="dxa"/>
            <w:vAlign w:val="bottom"/>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2,549,367</w:t>
            </w:r>
          </w:p>
        </w:tc>
        <w:tc>
          <w:tcPr>
            <w:tcW w:w="260" w:type="dxa"/>
            <w:vAlign w:val="bottom"/>
          </w:tcPr>
          <w:p>
            <w:pPr>
              <w:spacing w:after="0"/>
              <w:rPr>
                <w:sz w:val="15"/>
                <w:szCs w:val="15"/>
                <w:color w:val="auto"/>
              </w:rPr>
            </w:pPr>
          </w:p>
        </w:tc>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3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ind w:left="40"/>
              <w:spacing w:after="0" w:line="167" w:lineRule="exact"/>
              <w:rPr>
                <w:sz w:val="20"/>
                <w:szCs w:val="20"/>
                <w:color w:val="auto"/>
              </w:rPr>
            </w:pPr>
            <w:r>
              <w:rPr>
                <w:rFonts w:ascii="Times New Roman" w:cs="Times New Roman" w:eastAsia="Times New Roman" w:hAnsi="Times New Roman"/>
                <w:sz w:val="16"/>
                <w:szCs w:val="16"/>
                <w:color w:val="auto"/>
              </w:rPr>
              <w:t>Derivatives not designated as hedging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instruments: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Cash flow hedges: interest rate swaps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517</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liabilities</w:t>
            </w:r>
          </w:p>
        </w:tc>
        <w:tc>
          <w:tcPr>
            <w:tcW w:w="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547</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Non-Recurring Basis</w:t>
      </w:r>
    </w:p>
    <w:p>
      <w:pPr>
        <w:spacing w:after="0" w:line="180" w:lineRule="exact"/>
        <w:rPr>
          <w:sz w:val="20"/>
          <w:szCs w:val="20"/>
          <w:color w:val="auto"/>
        </w:rPr>
      </w:pPr>
    </w:p>
    <w:p>
      <w:pPr>
        <w:jc w:val="both"/>
        <w:ind w:right="20" w:firstLine="432"/>
        <w:spacing w:after="0" w:line="259" w:lineRule="auto"/>
        <w:rPr>
          <w:sz w:val="20"/>
          <w:szCs w:val="20"/>
          <w:color w:val="auto"/>
        </w:rPr>
      </w:pPr>
      <w:r>
        <w:rPr>
          <w:rFonts w:ascii="Times New Roman" w:cs="Times New Roman" w:eastAsia="Times New Roman" w:hAnsi="Times New Roman"/>
          <w:sz w:val="16"/>
          <w:szCs w:val="16"/>
          <w:color w:val="auto"/>
        </w:rPr>
        <w:t>We may be required to measure certain assets at fair value on a non-recurring basis in accordance with GAAP. These adjustments to fair value usually result from application of lower of cost or fair value accounting or impairment write-downs of individual assets.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 w:name="page28"/>
    <w:bookmarkEnd w:id="27"/>
    <w:p>
      <w:pPr>
        <w:ind w:right="400" w:firstLine="432"/>
        <w:spacing w:after="0" w:line="331" w:lineRule="auto"/>
        <w:rPr>
          <w:sz w:val="20"/>
          <w:szCs w:val="20"/>
          <w:color w:val="auto"/>
        </w:rPr>
      </w:pPr>
      <w:r>
        <w:rPr>
          <w:rFonts w:ascii="Times New Roman" w:cs="Times New Roman" w:eastAsia="Times New Roman" w:hAnsi="Times New Roman"/>
          <w:sz w:val="14"/>
          <w:szCs w:val="14"/>
          <w:color w:val="auto"/>
        </w:rPr>
        <w:t>For assets measured at fair value on a non-recurring basis that were held on the balance sheet at June 30, 2025 and December 31, 2024, the following tables provide the level of valuation assumptions used to determine each adjustment and the carrying value of the related assets that had losses during the period.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0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Losses For The</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8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0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Description of assets</w:t>
            </w:r>
          </w:p>
        </w:tc>
        <w:tc>
          <w:tcPr>
            <w:tcW w:w="100" w:type="dxa"/>
            <w:vAlign w:val="bottom"/>
            <w:shd w:val="clear" w:color="auto" w:fill="CFF0FC"/>
          </w:tcPr>
          <w:p>
            <w:pPr>
              <w:spacing w:after="0"/>
              <w:rPr>
                <w:sz w:val="14"/>
                <w:szCs w:val="14"/>
                <w:color w:val="auto"/>
              </w:rPr>
            </w:pPr>
          </w:p>
        </w:tc>
        <w:tc>
          <w:tcPr>
            <w:tcW w:w="1300" w:type="dxa"/>
            <w:vAlign w:val="bottom"/>
            <w:tcBorders>
              <w:right w:val="single" w:sz="8" w:color="CFF0FC"/>
            </w:tcBorders>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spacing w:after="0"/>
              <w:rPr>
                <w:sz w:val="14"/>
                <w:szCs w:val="14"/>
                <w:color w:val="auto"/>
              </w:rPr>
            </w:pPr>
          </w:p>
        </w:tc>
        <w:tc>
          <w:tcPr>
            <w:tcW w:w="300" w:type="dxa"/>
            <w:vAlign w:val="bottom"/>
            <w:tcBorders>
              <w:right w:val="single" w:sz="8" w:color="CFF0FC"/>
            </w:tcBorders>
            <w:shd w:val="clear" w:color="auto" w:fill="CFF0FC"/>
          </w:tcPr>
          <w:p>
            <w:pPr>
              <w:spacing w:after="0"/>
              <w:rPr>
                <w:sz w:val="14"/>
                <w:szCs w:val="14"/>
                <w:color w:val="auto"/>
              </w:rPr>
            </w:pPr>
          </w:p>
        </w:tc>
        <w:tc>
          <w:tcPr>
            <w:tcW w:w="146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shd w:val="clear" w:color="auto" w:fill="CFF0FC"/>
          </w:tcPr>
          <w:p>
            <w:pPr>
              <w:spacing w:after="0"/>
              <w:rPr>
                <w:sz w:val="14"/>
                <w:szCs w:val="14"/>
                <w:color w:val="auto"/>
              </w:rPr>
            </w:pPr>
          </w:p>
        </w:tc>
        <w:tc>
          <w:tcPr>
            <w:tcW w:w="24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32,248</w:t>
            </w:r>
          </w:p>
        </w:tc>
        <w:tc>
          <w:tcPr>
            <w:tcW w:w="28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32,248</w:t>
            </w:r>
          </w:p>
        </w:tc>
        <w:tc>
          <w:tcPr>
            <w:tcW w:w="300" w:type="dxa"/>
            <w:vAlign w:val="bottom"/>
            <w:tcBorders>
              <w:right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5"/>
                <w:szCs w:val="5"/>
                <w:color w:val="auto"/>
                <w:w w:val="78"/>
              </w:rPr>
              <w:t>$</w:t>
            </w: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Construction</w:t>
            </w:r>
          </w:p>
        </w:tc>
        <w:tc>
          <w:tcPr>
            <w:tcW w:w="10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6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60" w:type="dxa"/>
            <w:vAlign w:val="bottom"/>
            <w:shd w:val="clear" w:color="auto" w:fill="CFF0FC"/>
          </w:tcPr>
          <w:p>
            <w:pPr>
              <w:spacing w:after="0"/>
              <w:rPr>
                <w:sz w:val="14"/>
                <w:szCs w:val="14"/>
                <w:color w:val="auto"/>
              </w:rPr>
            </w:pPr>
          </w:p>
        </w:tc>
        <w:tc>
          <w:tcPr>
            <w:tcW w:w="24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SBA</w:t>
            </w:r>
          </w:p>
        </w:tc>
        <w:tc>
          <w:tcPr>
            <w:tcW w:w="100" w:type="dxa"/>
            <w:vAlign w:val="bottom"/>
            <w:shd w:val="clear" w:color="auto" w:fill="CFF0FC"/>
          </w:tcPr>
          <w:p>
            <w:pPr>
              <w:spacing w:after="0"/>
              <w:rPr>
                <w:sz w:val="14"/>
                <w:szCs w:val="14"/>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28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300" w:type="dxa"/>
            <w:vAlign w:val="bottom"/>
            <w:tcBorders>
              <w:right w:val="single" w:sz="8" w:color="CFF0FC"/>
            </w:tcBorders>
            <w:shd w:val="clear" w:color="auto" w:fill="CFF0FC"/>
          </w:tcPr>
          <w:p>
            <w:pPr>
              <w:spacing w:after="0"/>
              <w:rPr>
                <w:sz w:val="14"/>
                <w:szCs w:val="14"/>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SBA - PPP</w:t>
            </w:r>
          </w:p>
        </w:tc>
        <w:tc>
          <w:tcPr>
            <w:tcW w:w="10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6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60" w:type="dxa"/>
            <w:vAlign w:val="bottom"/>
            <w:shd w:val="clear" w:color="auto" w:fill="CFF0FC"/>
          </w:tcPr>
          <w:p>
            <w:pPr>
              <w:spacing w:after="0"/>
              <w:rPr>
                <w:sz w:val="14"/>
                <w:szCs w:val="14"/>
                <w:color w:val="auto"/>
              </w:rPr>
            </w:pPr>
          </w:p>
        </w:tc>
        <w:tc>
          <w:tcPr>
            <w:tcW w:w="24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00" w:type="dxa"/>
            <w:vAlign w:val="bottom"/>
            <w:shd w:val="clear" w:color="auto" w:fill="CFF0FC"/>
          </w:tcPr>
          <w:p>
            <w:pPr>
              <w:spacing w:after="0"/>
              <w:rPr>
                <w:sz w:val="14"/>
                <w:szCs w:val="14"/>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28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300" w:type="dxa"/>
            <w:vAlign w:val="bottom"/>
            <w:tcBorders>
              <w:right w:val="single" w:sz="8" w:color="CFF0FC"/>
            </w:tcBorders>
            <w:shd w:val="clear" w:color="auto" w:fill="CFF0FC"/>
          </w:tcPr>
          <w:p>
            <w:pPr>
              <w:spacing w:after="0"/>
              <w:rPr>
                <w:sz w:val="14"/>
                <w:szCs w:val="14"/>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4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Dairy &amp; livestock and</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agribusiness</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0" w:type="dxa"/>
            <w:vAlign w:val="bottom"/>
            <w:shd w:val="clear" w:color="auto" w:fill="CFF0FC"/>
          </w:tcPr>
          <w:p>
            <w:pPr>
              <w:spacing w:after="0"/>
              <w:rPr>
                <w:sz w:val="13"/>
                <w:szCs w:val="13"/>
                <w:color w:val="auto"/>
              </w:rPr>
            </w:pPr>
          </w:p>
        </w:tc>
        <w:tc>
          <w:tcPr>
            <w:tcW w:w="2460" w:type="dxa"/>
            <w:vAlign w:val="bottom"/>
            <w:tcBorders>
              <w:right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Municipal lease finance</w:t>
            </w:r>
          </w:p>
        </w:tc>
        <w:tc>
          <w:tcPr>
            <w:tcW w:w="100" w:type="dxa"/>
            <w:vAlign w:val="bottom"/>
            <w:shd w:val="clear" w:color="auto" w:fill="CFF0FC"/>
          </w:tcPr>
          <w:p>
            <w:pPr>
              <w:spacing w:after="0"/>
              <w:rPr>
                <w:sz w:val="13"/>
                <w:szCs w:val="13"/>
                <w:color w:val="auto"/>
              </w:rPr>
            </w:pPr>
          </w:p>
        </w:tc>
        <w:tc>
          <w:tcPr>
            <w:tcW w:w="1300" w:type="dxa"/>
            <w:vAlign w:val="bottom"/>
            <w:tcBorders>
              <w:right w:val="single" w:sz="8" w:color="CFF0FC"/>
            </w:tcBorders>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tcBorders>
              <w:right w:val="single" w:sz="8" w:color="CFF0FC"/>
            </w:tcBorders>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shd w:val="clear" w:color="auto" w:fill="CFF0FC"/>
          </w:tcPr>
          <w:p>
            <w:pPr>
              <w:spacing w:after="0"/>
              <w:rPr>
                <w:sz w:val="15"/>
                <w:szCs w:val="15"/>
                <w:color w:val="auto"/>
              </w:rPr>
            </w:pPr>
          </w:p>
        </w:tc>
        <w:tc>
          <w:tcPr>
            <w:tcW w:w="246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receivables</w:t>
            </w:r>
          </w:p>
        </w:tc>
        <w:tc>
          <w:tcPr>
            <w:tcW w:w="100" w:type="dxa"/>
            <w:vAlign w:val="bottom"/>
            <w:shd w:val="clear" w:color="auto" w:fill="CFF0FC"/>
          </w:tcPr>
          <w:p>
            <w:pPr>
              <w:spacing w:after="0"/>
              <w:rPr>
                <w:sz w:val="15"/>
                <w:szCs w:val="15"/>
                <w:color w:val="auto"/>
              </w:rPr>
            </w:pPr>
          </w:p>
        </w:tc>
        <w:tc>
          <w:tcPr>
            <w:tcW w:w="15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right w:val="single" w:sz="8" w:color="CFF0FC"/>
            </w:tcBorders>
            <w:shd w:val="clear" w:color="auto" w:fill="CFF0FC"/>
          </w:tcPr>
          <w:p>
            <w:pPr>
              <w:spacing w:after="0"/>
              <w:rPr>
                <w:sz w:val="15"/>
                <w:szCs w:val="15"/>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SFR mortgage</w:t>
            </w:r>
          </w:p>
        </w:tc>
        <w:tc>
          <w:tcPr>
            <w:tcW w:w="10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6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60" w:type="dxa"/>
            <w:vAlign w:val="bottom"/>
            <w:shd w:val="clear" w:color="auto" w:fill="CFF0FC"/>
          </w:tcPr>
          <w:p>
            <w:pPr>
              <w:spacing w:after="0"/>
              <w:rPr>
                <w:sz w:val="14"/>
                <w:szCs w:val="14"/>
                <w:color w:val="auto"/>
              </w:rPr>
            </w:pPr>
          </w:p>
        </w:tc>
        <w:tc>
          <w:tcPr>
            <w:tcW w:w="24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Consumer and other loans</w:t>
            </w:r>
          </w:p>
        </w:tc>
        <w:tc>
          <w:tcPr>
            <w:tcW w:w="100" w:type="dxa"/>
            <w:vAlign w:val="bottom"/>
            <w:shd w:val="clear" w:color="auto" w:fill="CFF0FC"/>
          </w:tcPr>
          <w:p>
            <w:pPr>
              <w:spacing w:after="0"/>
              <w:rPr>
                <w:sz w:val="14"/>
                <w:szCs w:val="14"/>
                <w:color w:val="auto"/>
              </w:rPr>
            </w:pPr>
          </w:p>
        </w:tc>
        <w:tc>
          <w:tcPr>
            <w:tcW w:w="15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right w:val="single" w:sz="8" w:color="CFF0FC"/>
            </w:tcBorders>
            <w:shd w:val="clear" w:color="auto" w:fill="CFF0FC"/>
          </w:tcPr>
          <w:p>
            <w:pPr>
              <w:spacing w:after="0"/>
              <w:rPr>
                <w:sz w:val="14"/>
                <w:szCs w:val="14"/>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30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60" w:type="dxa"/>
            <w:vAlign w:val="bottom"/>
            <w:shd w:val="clear" w:color="auto" w:fill="CFF0FC"/>
          </w:tcPr>
          <w:p>
            <w:pPr>
              <w:spacing w:after="0"/>
              <w:rPr>
                <w:sz w:val="18"/>
                <w:szCs w:val="18"/>
                <w:color w:val="auto"/>
              </w:rPr>
            </w:pPr>
          </w:p>
        </w:tc>
        <w:tc>
          <w:tcPr>
            <w:tcW w:w="2460" w:type="dxa"/>
            <w:vAlign w:val="bottom"/>
            <w:tcBorders>
              <w:right w:val="single" w:sz="8" w:color="CFF0FC"/>
            </w:tcBorders>
            <w:shd w:val="clear" w:color="auto" w:fill="CFF0FC"/>
          </w:tcPr>
          <w:p>
            <w:pPr>
              <w:ind w:left="60"/>
              <w:spacing w:after="0" w:line="148"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right w:val="single" w:sz="8" w:color="CFF0FC"/>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36,161</w:t>
            </w:r>
          </w:p>
        </w:tc>
        <w:tc>
          <w:tcPr>
            <w:tcW w:w="2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ind w:left="1120"/>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FF0FC"/>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CFF0FC"/>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36,161</w:t>
            </w:r>
          </w:p>
        </w:tc>
        <w:tc>
          <w:tcPr>
            <w:tcW w:w="300" w:type="dxa"/>
            <w:vAlign w:val="bottom"/>
            <w:tcBorders>
              <w:right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5"/>
                <w:szCs w:val="5"/>
                <w:color w:val="auto"/>
                <w:w w:val="78"/>
              </w:rPr>
              <w:t>$</w:t>
            </w:r>
          </w:p>
        </w:tc>
        <w:tc>
          <w:tcPr>
            <w:tcW w:w="1460" w:type="dxa"/>
            <w:vAlign w:val="bottom"/>
            <w:tcBorders>
              <w:right w:val="single" w:sz="8" w:color="CFF0FC"/>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171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0" w:type="dxa"/>
            <w:vAlign w:val="bottom"/>
            <w:tcBorders>
              <w:top w:val="single" w:sz="8" w:color="CFF0FC"/>
            </w:tcBorders>
          </w:tcPr>
          <w:p>
            <w:pPr>
              <w:spacing w:after="0"/>
              <w:rPr>
                <w:sz w:val="24"/>
                <w:szCs w:val="24"/>
                <w:color w:val="auto"/>
              </w:rPr>
            </w:pPr>
          </w:p>
        </w:tc>
        <w:tc>
          <w:tcPr>
            <w:tcW w:w="24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0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Losses For the</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8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0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4"/>
                <w:szCs w:val="14"/>
                <w:color w:val="auto"/>
              </w:rPr>
            </w:pPr>
          </w:p>
        </w:tc>
        <w:tc>
          <w:tcPr>
            <w:tcW w:w="14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Description of assets</w:t>
            </w:r>
          </w:p>
        </w:tc>
        <w:tc>
          <w:tcPr>
            <w:tcW w:w="100" w:type="dxa"/>
            <w:vAlign w:val="bottom"/>
            <w:shd w:val="clear" w:color="auto" w:fill="CFF0FC"/>
          </w:tcPr>
          <w:p>
            <w:pPr>
              <w:spacing w:after="0"/>
              <w:rPr>
                <w:sz w:val="14"/>
                <w:szCs w:val="14"/>
                <w:color w:val="auto"/>
              </w:rPr>
            </w:pPr>
          </w:p>
        </w:tc>
        <w:tc>
          <w:tcPr>
            <w:tcW w:w="1300" w:type="dxa"/>
            <w:vAlign w:val="bottom"/>
            <w:tcBorders>
              <w:right w:val="single" w:sz="8" w:color="CFF0FC"/>
            </w:tcBorders>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spacing w:after="0"/>
              <w:rPr>
                <w:sz w:val="14"/>
                <w:szCs w:val="14"/>
                <w:color w:val="auto"/>
              </w:rPr>
            </w:pPr>
          </w:p>
        </w:tc>
        <w:tc>
          <w:tcPr>
            <w:tcW w:w="300" w:type="dxa"/>
            <w:vAlign w:val="bottom"/>
            <w:tcBorders>
              <w:right w:val="single" w:sz="8" w:color="CFF0FC"/>
            </w:tcBorders>
            <w:shd w:val="clear" w:color="auto" w:fill="CFF0FC"/>
          </w:tcPr>
          <w:p>
            <w:pPr>
              <w:spacing w:after="0"/>
              <w:rPr>
                <w:sz w:val="14"/>
                <w:szCs w:val="14"/>
                <w:color w:val="auto"/>
              </w:rPr>
            </w:pPr>
          </w:p>
        </w:tc>
        <w:tc>
          <w:tcPr>
            <w:tcW w:w="1460" w:type="dxa"/>
            <w:vAlign w:val="bottom"/>
            <w:tcBorders>
              <w:right w:val="single" w:sz="8" w:color="CFF0FC"/>
            </w:tcBorders>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28,728</w:t>
            </w:r>
          </w:p>
        </w:tc>
        <w:tc>
          <w:tcPr>
            <w:tcW w:w="28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28,728</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Construction</w:t>
            </w:r>
          </w:p>
        </w:tc>
        <w:tc>
          <w:tcPr>
            <w:tcW w:w="100" w:type="dxa"/>
            <w:vAlign w:val="bottom"/>
          </w:tcPr>
          <w:p>
            <w:pPr>
              <w:spacing w:after="0"/>
              <w:rPr>
                <w:sz w:val="14"/>
                <w:szCs w:val="14"/>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6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SBA</w:t>
            </w:r>
          </w:p>
        </w:tc>
        <w:tc>
          <w:tcPr>
            <w:tcW w:w="100" w:type="dxa"/>
            <w:vAlign w:val="bottom"/>
            <w:shd w:val="clear" w:color="auto" w:fill="CFF0FC"/>
          </w:tcPr>
          <w:p>
            <w:pPr>
              <w:spacing w:after="0"/>
              <w:rPr>
                <w:sz w:val="14"/>
                <w:szCs w:val="14"/>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28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300" w:type="dxa"/>
            <w:vAlign w:val="bottom"/>
            <w:tcBorders>
              <w:right w:val="single" w:sz="8" w:color="CFF0FC"/>
            </w:tcBorders>
            <w:shd w:val="clear" w:color="auto" w:fill="CFF0FC"/>
          </w:tcPr>
          <w:p>
            <w:pPr>
              <w:spacing w:after="0"/>
              <w:rPr>
                <w:sz w:val="14"/>
                <w:szCs w:val="14"/>
                <w:color w:val="auto"/>
              </w:rPr>
            </w:pPr>
          </w:p>
        </w:tc>
        <w:tc>
          <w:tcPr>
            <w:tcW w:w="14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SBA - PPP</w:t>
            </w:r>
          </w:p>
        </w:tc>
        <w:tc>
          <w:tcPr>
            <w:tcW w:w="100" w:type="dxa"/>
            <w:vAlign w:val="bottom"/>
          </w:tcPr>
          <w:p>
            <w:pPr>
              <w:spacing w:after="0"/>
              <w:rPr>
                <w:sz w:val="14"/>
                <w:szCs w:val="14"/>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6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00" w:type="dxa"/>
            <w:vAlign w:val="bottom"/>
            <w:shd w:val="clear" w:color="auto" w:fill="CFF0FC"/>
          </w:tcPr>
          <w:p>
            <w:pPr>
              <w:spacing w:after="0"/>
              <w:rPr>
                <w:sz w:val="14"/>
                <w:szCs w:val="14"/>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28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300" w:type="dxa"/>
            <w:vAlign w:val="bottom"/>
            <w:tcBorders>
              <w:right w:val="single" w:sz="8" w:color="CFF0FC"/>
            </w:tcBorders>
            <w:shd w:val="clear" w:color="auto" w:fill="CFF0FC"/>
          </w:tcPr>
          <w:p>
            <w:pPr>
              <w:spacing w:after="0"/>
              <w:rPr>
                <w:sz w:val="14"/>
                <w:szCs w:val="14"/>
                <w:color w:val="auto"/>
              </w:rPr>
            </w:pPr>
          </w:p>
        </w:tc>
        <w:tc>
          <w:tcPr>
            <w:tcW w:w="14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46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Dairy &amp; livestock and</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agribusiness</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300" w:type="dxa"/>
            <w:vAlign w:val="bottom"/>
          </w:tcPr>
          <w:p>
            <w:pPr>
              <w:spacing w:after="0"/>
              <w:rPr>
                <w:sz w:val="15"/>
                <w:szCs w:val="15"/>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460" w:type="dxa"/>
            <w:vAlign w:val="bottom"/>
            <w:tcBorders>
              <w:right w:val="single" w:sz="8" w:color="CFF0FC"/>
            </w:tcBorders>
            <w:shd w:val="clear" w:color="auto" w:fill="CFF0FC"/>
          </w:tcPr>
          <w:p>
            <w:pPr>
              <w:ind w:left="60"/>
              <w:spacing w:after="0" w:line="156" w:lineRule="exact"/>
              <w:rPr>
                <w:sz w:val="20"/>
                <w:szCs w:val="20"/>
                <w:color w:val="auto"/>
              </w:rPr>
            </w:pPr>
            <w:r>
              <w:rPr>
                <w:rFonts w:ascii="Times New Roman" w:cs="Times New Roman" w:eastAsia="Times New Roman" w:hAnsi="Times New Roman"/>
                <w:sz w:val="14"/>
                <w:szCs w:val="14"/>
                <w:color w:val="auto"/>
              </w:rPr>
              <w:t>Municipal lease finance</w:t>
            </w:r>
          </w:p>
        </w:tc>
        <w:tc>
          <w:tcPr>
            <w:tcW w:w="100" w:type="dxa"/>
            <w:vAlign w:val="bottom"/>
            <w:shd w:val="clear" w:color="auto" w:fill="CFF0FC"/>
          </w:tcPr>
          <w:p>
            <w:pPr>
              <w:spacing w:after="0"/>
              <w:rPr>
                <w:sz w:val="13"/>
                <w:szCs w:val="13"/>
                <w:color w:val="auto"/>
              </w:rPr>
            </w:pPr>
          </w:p>
        </w:tc>
        <w:tc>
          <w:tcPr>
            <w:tcW w:w="1300" w:type="dxa"/>
            <w:vAlign w:val="bottom"/>
            <w:tcBorders>
              <w:right w:val="single" w:sz="8" w:color="CFF0FC"/>
            </w:tcBorders>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tcBorders>
              <w:right w:val="single" w:sz="8" w:color="CFF0FC"/>
            </w:tcBorders>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1460" w:type="dxa"/>
            <w:vAlign w:val="bottom"/>
            <w:tcBorders>
              <w:right w:val="single" w:sz="8" w:color="CFF0FC"/>
            </w:tcBorders>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46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receivables</w:t>
            </w:r>
          </w:p>
        </w:tc>
        <w:tc>
          <w:tcPr>
            <w:tcW w:w="100" w:type="dxa"/>
            <w:vAlign w:val="bottom"/>
            <w:shd w:val="clear" w:color="auto" w:fill="CFF0FC"/>
          </w:tcPr>
          <w:p>
            <w:pPr>
              <w:spacing w:after="0"/>
              <w:rPr>
                <w:sz w:val="15"/>
                <w:szCs w:val="15"/>
                <w:color w:val="auto"/>
              </w:rPr>
            </w:pPr>
          </w:p>
        </w:tc>
        <w:tc>
          <w:tcPr>
            <w:tcW w:w="15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right w:val="single" w:sz="8" w:color="CFF0FC"/>
            </w:tcBorders>
            <w:shd w:val="clear" w:color="auto" w:fill="CFF0FC"/>
          </w:tcPr>
          <w:p>
            <w:pPr>
              <w:spacing w:after="0"/>
              <w:rPr>
                <w:sz w:val="15"/>
                <w:szCs w:val="15"/>
                <w:color w:val="auto"/>
              </w:rPr>
            </w:pPr>
          </w:p>
        </w:tc>
        <w:tc>
          <w:tcPr>
            <w:tcW w:w="14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SFR mortgage</w:t>
            </w:r>
          </w:p>
        </w:tc>
        <w:tc>
          <w:tcPr>
            <w:tcW w:w="100" w:type="dxa"/>
            <w:vAlign w:val="bottom"/>
          </w:tcPr>
          <w:p>
            <w:pPr>
              <w:spacing w:after="0"/>
              <w:rPr>
                <w:sz w:val="14"/>
                <w:szCs w:val="14"/>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6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Consumer and other loans</w:t>
            </w:r>
          </w:p>
        </w:tc>
        <w:tc>
          <w:tcPr>
            <w:tcW w:w="100" w:type="dxa"/>
            <w:vAlign w:val="bottom"/>
            <w:shd w:val="clear" w:color="auto" w:fill="CFF0FC"/>
          </w:tcPr>
          <w:p>
            <w:pPr>
              <w:spacing w:after="0"/>
              <w:rPr>
                <w:sz w:val="14"/>
                <w:szCs w:val="14"/>
                <w:color w:val="auto"/>
              </w:rPr>
            </w:pPr>
          </w:p>
        </w:tc>
        <w:tc>
          <w:tcPr>
            <w:tcW w:w="15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right w:val="single" w:sz="8" w:color="CFF0FC"/>
            </w:tcBorders>
            <w:shd w:val="clear" w:color="auto" w:fill="CFF0FC"/>
          </w:tcPr>
          <w:p>
            <w:pPr>
              <w:spacing w:after="0"/>
              <w:rPr>
                <w:sz w:val="14"/>
                <w:szCs w:val="14"/>
                <w:color w:val="auto"/>
              </w:rPr>
            </w:pPr>
          </w:p>
        </w:tc>
        <w:tc>
          <w:tcPr>
            <w:tcW w:w="14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30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460" w:type="dxa"/>
            <w:vAlign w:val="bottom"/>
            <w:tcBorders>
              <w:right w:val="single" w:sz="8" w:color="CFF0FC"/>
            </w:tcBorders>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44,693</w:t>
            </w:r>
          </w:p>
        </w:tc>
        <w:tc>
          <w:tcPr>
            <w:tcW w:w="280" w:type="dxa"/>
            <w:vAlign w:val="bottom"/>
            <w:tcBorders>
              <w:right w:val="single" w:sz="8" w:color="CFF0FC"/>
            </w:tcBorders>
            <w:shd w:val="clear" w:color="auto" w:fill="CFF0FC"/>
          </w:tcPr>
          <w:p>
            <w:pPr>
              <w:spacing w:after="0"/>
              <w:rPr>
                <w:sz w:val="15"/>
                <w:szCs w:val="15"/>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vMerge w:val="restart"/>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44,693</w:t>
            </w:r>
          </w:p>
        </w:tc>
        <w:tc>
          <w:tcPr>
            <w:tcW w:w="3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2460" w:type="dxa"/>
            <w:vAlign w:val="bottom"/>
            <w:tcBorders>
              <w:right w:val="single" w:sz="8" w:color="CFF0FC"/>
            </w:tcBorders>
            <w:shd w:val="clear" w:color="auto" w:fill="CFF0FC"/>
          </w:tcPr>
          <w:p>
            <w:pPr>
              <w:ind w:left="120"/>
              <w:spacing w:after="0" w:line="125"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vMerge w:val="continue"/>
            <w:shd w:val="clear" w:color="auto" w:fill="CFF0FC"/>
          </w:tcPr>
          <w:p>
            <w:pPr>
              <w:spacing w:after="0"/>
              <w:rPr>
                <w:sz w:val="14"/>
                <w:szCs w:val="14"/>
                <w:color w:val="auto"/>
              </w:rPr>
            </w:pPr>
          </w:p>
        </w:tc>
        <w:tc>
          <w:tcPr>
            <w:tcW w:w="1300" w:type="dxa"/>
            <w:vAlign w:val="bottom"/>
            <w:tcBorders>
              <w:right w:val="single" w:sz="8" w:color="CFF0FC"/>
            </w:tcBorders>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60" w:type="dxa"/>
            <w:vAlign w:val="bottom"/>
            <w:vMerge w:val="continue"/>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spacing w:after="0"/>
              <w:rPr>
                <w:sz w:val="14"/>
                <w:szCs w:val="14"/>
                <w:color w:val="auto"/>
              </w:rPr>
            </w:pPr>
          </w:p>
        </w:tc>
        <w:tc>
          <w:tcPr>
            <w:tcW w:w="300" w:type="dxa"/>
            <w:vAlign w:val="bottom"/>
            <w:tcBorders>
              <w:right w:val="single" w:sz="8" w:color="CFF0FC"/>
            </w:tcBorders>
            <w:vMerge w:val="continue"/>
            <w:shd w:val="clear" w:color="auto" w:fill="CFF0FC"/>
          </w:tcPr>
          <w:p>
            <w:pPr>
              <w:spacing w:after="0"/>
              <w:rPr>
                <w:sz w:val="14"/>
                <w:szCs w:val="14"/>
                <w:color w:val="auto"/>
              </w:rPr>
            </w:pPr>
          </w:p>
        </w:tc>
        <w:tc>
          <w:tcPr>
            <w:tcW w:w="1460" w:type="dxa"/>
            <w:vAlign w:val="bottom"/>
            <w:tcBorders>
              <w:right w:val="single" w:sz="8" w:color="CFF0FC"/>
            </w:tcBorders>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180" w:lineRule="exact"/>
        <w:rPr>
          <w:sz w:val="20"/>
          <w:szCs w:val="20"/>
          <w:color w:val="auto"/>
        </w:rPr>
      </w:pPr>
    </w:p>
    <w:p>
      <w:pPr>
        <w:ind w:right="20" w:firstLine="432"/>
        <w:spacing w:after="0" w:line="241" w:lineRule="auto"/>
        <w:rPr>
          <w:sz w:val="20"/>
          <w:szCs w:val="20"/>
          <w:color w:val="auto"/>
        </w:rPr>
      </w:pPr>
      <w:r>
        <w:rPr>
          <w:rFonts w:ascii="Times New Roman" w:cs="Times New Roman" w:eastAsia="Times New Roman" w:hAnsi="Times New Roman"/>
          <w:sz w:val="16"/>
          <w:szCs w:val="16"/>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June 30, 2025 and December 31, 2024, respectively. The use of different market assumptions and/or estimation methodologies may have a material effect on the estimated fair value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6"/>
              </w:rPr>
              <w:t>June 30, 2025</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0"/>
        </w:trPr>
        <w:tc>
          <w:tcPr>
            <w:tcW w:w="3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3"/>
          </w:tcPr>
          <w:p>
            <w:pPr>
              <w:jc w:val="right"/>
              <w:ind w:right="502"/>
              <w:spacing w:after="0" w:line="180" w:lineRule="exact"/>
              <w:rPr>
                <w:sz w:val="20"/>
                <w:szCs w:val="20"/>
                <w:color w:val="auto"/>
              </w:rPr>
            </w:pPr>
            <w:r>
              <w:rPr>
                <w:rFonts w:ascii="Times New Roman" w:cs="Times New Roman" w:eastAsia="Times New Roman" w:hAnsi="Times New Roman"/>
                <w:sz w:val="16"/>
                <w:szCs w:val="16"/>
                <w:b w:val="1"/>
                <w:bCs w:val="1"/>
                <w:color w:val="auto"/>
              </w:rPr>
              <w:t>Estimated Fair Value</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Amount</w:t>
            </w:r>
          </w:p>
        </w:tc>
        <w:tc>
          <w:tcPr>
            <w:tcW w:w="400" w:type="dxa"/>
            <w:vAlign w:val="bottom"/>
          </w:tcPr>
          <w:p>
            <w:pPr>
              <w:spacing w:after="0"/>
              <w:rPr>
                <w:sz w:val="15"/>
                <w:szCs w:val="15"/>
                <w:color w:val="auto"/>
              </w:rPr>
            </w:pPr>
          </w:p>
        </w:tc>
        <w:tc>
          <w:tcPr>
            <w:tcW w:w="94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15"/>
                <w:szCs w:val="15"/>
                <w:color w:val="auto"/>
              </w:rPr>
            </w:pPr>
          </w:p>
        </w:tc>
        <w:tc>
          <w:tcPr>
            <w:tcW w:w="1200" w:type="dxa"/>
            <w:vAlign w:val="bottom"/>
          </w:tcPr>
          <w:p>
            <w:pPr>
              <w:jc w:val="right"/>
              <w:ind w:right="442"/>
              <w:spacing w:after="0" w:line="180"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5"/>
                <w:szCs w:val="15"/>
                <w:color w:val="auto"/>
              </w:rPr>
            </w:pPr>
          </w:p>
        </w:tc>
        <w:tc>
          <w:tcPr>
            <w:tcW w:w="102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5"/>
                <w:szCs w:val="15"/>
                <w:color w:val="auto"/>
              </w:rPr>
            </w:pPr>
          </w:p>
        </w:tc>
        <w:tc>
          <w:tcPr>
            <w:tcW w:w="98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95"/>
        </w:trPr>
        <w:tc>
          <w:tcPr>
            <w:tcW w:w="3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w w:val="99"/>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0"/>
        </w:trPr>
        <w:tc>
          <w:tcPr>
            <w:tcW w:w="3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cash and cash equivalents</w:t>
            </w: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738,636</w:t>
            </w:r>
          </w:p>
        </w:tc>
        <w:tc>
          <w:tcPr>
            <w:tcW w:w="4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738,636</w:t>
            </w:r>
          </w:p>
        </w:tc>
        <w:tc>
          <w:tcPr>
            <w:tcW w:w="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738,636</w:t>
            </w:r>
          </w:p>
        </w:tc>
      </w:tr>
      <w:tr>
        <w:trPr>
          <w:trHeight w:val="167"/>
        </w:trPr>
        <w:tc>
          <w:tcPr>
            <w:tcW w:w="3660" w:type="dxa"/>
            <w:vAlign w:val="bottom"/>
            <w:shd w:val="clear" w:color="auto" w:fill="CFF0FC"/>
          </w:tcPr>
          <w:p>
            <w:pPr>
              <w:ind w:left="80"/>
              <w:spacing w:after="0" w:line="167" w:lineRule="exact"/>
              <w:rPr>
                <w:sz w:val="20"/>
                <w:szCs w:val="20"/>
                <w:color w:val="auto"/>
              </w:rPr>
            </w:pPr>
            <w:r>
              <w:rPr>
                <w:rFonts w:ascii="Times New Roman" w:cs="Times New Roman" w:eastAsia="Times New Roman" w:hAnsi="Times New Roman"/>
                <w:sz w:val="16"/>
                <w:szCs w:val="16"/>
                <w:color w:val="auto"/>
              </w:rPr>
              <w:t>Interest-earning balances due from</w:t>
            </w:r>
          </w:p>
        </w:tc>
        <w:tc>
          <w:tcPr>
            <w:tcW w:w="5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r>
      <w:tr>
        <w:trPr>
          <w:trHeight w:val="193"/>
        </w:trPr>
        <w:tc>
          <w:tcPr>
            <w:tcW w:w="3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depository institutions</w:t>
            </w:r>
          </w:p>
        </w:tc>
        <w:tc>
          <w:tcPr>
            <w:tcW w:w="5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11,004</w:t>
            </w:r>
          </w:p>
        </w:tc>
        <w:tc>
          <w:tcPr>
            <w:tcW w:w="4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11,004</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11,004</w:t>
            </w:r>
          </w:p>
        </w:tc>
      </w:tr>
      <w:tr>
        <w:trPr>
          <w:trHeight w:val="228"/>
        </w:trPr>
        <w:tc>
          <w:tcPr>
            <w:tcW w:w="3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2,486,306</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2,486,306</w:t>
            </w:r>
          </w:p>
        </w:tc>
        <w:tc>
          <w:tcPr>
            <w:tcW w:w="20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2,486,306</w:t>
            </w: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2,327,230</w:t>
            </w: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1,934,756</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1,934,756</w:t>
            </w: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loans, net of allowance for credit losses</w:t>
            </w:r>
          </w:p>
        </w:tc>
        <w:tc>
          <w:tcPr>
            <w:tcW w:w="5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8,280,498</w:t>
            </w:r>
          </w:p>
        </w:tc>
        <w:tc>
          <w:tcPr>
            <w:tcW w:w="4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2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8,100,619</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8,100,619</w:t>
            </w: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66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4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2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20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188</w:t>
            </w: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6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5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2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6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Cash flow hedges: interest rate swaps</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6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Deposits:</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6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Interest-bearing</w:t>
            </w: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4,737,695</w:t>
            </w:r>
          </w:p>
        </w:tc>
        <w:tc>
          <w:tcPr>
            <w:tcW w:w="4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4,734,567</w:t>
            </w:r>
          </w:p>
        </w:tc>
        <w:tc>
          <w:tcPr>
            <w:tcW w:w="2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4,734,567</w:t>
            </w: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Borrowings</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904,154</w:t>
            </w: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871,106</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871,106</w:t>
            </w: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660" w:type="dxa"/>
            <w:vAlign w:val="bottom"/>
            <w:shd w:val="clear" w:color="auto" w:fill="CFF0FC"/>
          </w:tcPr>
          <w:p>
            <w:pPr>
              <w:ind w:left="2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188</w:t>
            </w: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6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9,585</w:t>
            </w: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9,585</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9,585</w:t>
            </w:r>
          </w:p>
        </w:tc>
      </w:tr>
      <w:tr>
        <w:trPr>
          <w:trHeight w:val="203"/>
        </w:trPr>
        <w:tc>
          <w:tcPr>
            <w:tcW w:w="3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2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2,855</w:t>
            </w:r>
          </w:p>
        </w:tc>
        <w:tc>
          <w:tcPr>
            <w:tcW w:w="20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2,855</w:t>
            </w:r>
          </w:p>
        </w:tc>
      </w:tr>
      <w:tr>
        <w:trPr>
          <w:trHeight w:val="347"/>
        </w:trPr>
        <w:tc>
          <w:tcPr>
            <w:tcW w:w="3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29</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854"/>
        </w:trPr>
        <w:tc>
          <w:tcPr>
            <w:tcW w:w="36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29" w:name="page30"/>
    <w:bookmarkEnd w:id="29"/>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0"/>
        </w:trPr>
        <w:tc>
          <w:tcPr>
            <w:tcW w:w="3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282"/>
              <w:spacing w:after="0" w:line="18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40" w:type="dxa"/>
            <w:vAlign w:val="bottom"/>
            <w:gridSpan w:val="3"/>
          </w:tcPr>
          <w:p>
            <w:pPr>
              <w:jc w:val="right"/>
              <w:ind w:right="502"/>
              <w:spacing w:after="0" w:line="180" w:lineRule="exact"/>
              <w:rPr>
                <w:sz w:val="20"/>
                <w:szCs w:val="20"/>
                <w:color w:val="auto"/>
              </w:rPr>
            </w:pPr>
            <w:r>
              <w:rPr>
                <w:rFonts w:ascii="Times New Roman" w:cs="Times New Roman" w:eastAsia="Times New Roman" w:hAnsi="Times New Roman"/>
                <w:sz w:val="16"/>
                <w:szCs w:val="16"/>
                <w:b w:val="1"/>
                <w:bCs w:val="1"/>
                <w:color w:val="auto"/>
              </w:rPr>
              <w:t>Estimated Fair Value</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22"/>
              <w:spacing w:after="0" w:line="180" w:lineRule="exact"/>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5"/>
                <w:szCs w:val="15"/>
                <w:color w:val="auto"/>
              </w:rPr>
            </w:pPr>
          </w:p>
        </w:tc>
        <w:tc>
          <w:tcPr>
            <w:tcW w:w="94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b w:val="1"/>
                <w:bCs w:val="1"/>
                <w:color w:val="auto"/>
              </w:rPr>
              <w:t>Level 1</w:t>
            </w:r>
          </w:p>
        </w:tc>
        <w:tc>
          <w:tcPr>
            <w:tcW w:w="380" w:type="dxa"/>
            <w:vAlign w:val="bottom"/>
          </w:tcPr>
          <w:p>
            <w:pPr>
              <w:spacing w:after="0"/>
              <w:rPr>
                <w:sz w:val="15"/>
                <w:szCs w:val="15"/>
                <w:color w:val="auto"/>
              </w:rPr>
            </w:pPr>
          </w:p>
        </w:tc>
        <w:tc>
          <w:tcPr>
            <w:tcW w:w="1120" w:type="dxa"/>
            <w:vAlign w:val="bottom"/>
          </w:tcPr>
          <w:p>
            <w:pPr>
              <w:jc w:val="right"/>
              <w:ind w:right="442"/>
              <w:spacing w:after="0" w:line="180"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5"/>
                <w:szCs w:val="15"/>
                <w:color w:val="auto"/>
              </w:rPr>
            </w:pPr>
          </w:p>
        </w:tc>
        <w:tc>
          <w:tcPr>
            <w:tcW w:w="102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5"/>
                <w:szCs w:val="15"/>
                <w:color w:val="auto"/>
              </w:rPr>
            </w:pPr>
          </w:p>
        </w:tc>
        <w:tc>
          <w:tcPr>
            <w:tcW w:w="98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95"/>
        </w:trPr>
        <w:tc>
          <w:tcPr>
            <w:tcW w:w="3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w w:val="99"/>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0"/>
        </w:trPr>
        <w:tc>
          <w:tcPr>
            <w:tcW w:w="3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cash and cash equivalents</w:t>
            </w: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204,698</w:t>
            </w:r>
          </w:p>
        </w:tc>
        <w:tc>
          <w:tcPr>
            <w:tcW w:w="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204,698</w:t>
            </w:r>
          </w:p>
        </w:tc>
        <w:tc>
          <w:tcPr>
            <w:tcW w:w="3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204,698</w:t>
            </w:r>
          </w:p>
        </w:tc>
      </w:tr>
      <w:tr>
        <w:trPr>
          <w:trHeight w:val="167"/>
        </w:trPr>
        <w:tc>
          <w:tcPr>
            <w:tcW w:w="3660" w:type="dxa"/>
            <w:vAlign w:val="bottom"/>
            <w:shd w:val="clear" w:color="auto" w:fill="CFF0FC"/>
          </w:tcPr>
          <w:p>
            <w:pPr>
              <w:ind w:left="80"/>
              <w:spacing w:after="0" w:line="167" w:lineRule="exact"/>
              <w:rPr>
                <w:sz w:val="20"/>
                <w:szCs w:val="20"/>
                <w:color w:val="auto"/>
              </w:rPr>
            </w:pPr>
            <w:r>
              <w:rPr>
                <w:rFonts w:ascii="Times New Roman" w:cs="Times New Roman" w:eastAsia="Times New Roman" w:hAnsi="Times New Roman"/>
                <w:sz w:val="16"/>
                <w:szCs w:val="16"/>
                <w:color w:val="auto"/>
              </w:rPr>
              <w:t>Interest-earning balances due from</w:t>
            </w:r>
          </w:p>
        </w:tc>
        <w:tc>
          <w:tcPr>
            <w:tcW w:w="5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r>
      <w:tr>
        <w:trPr>
          <w:trHeight w:val="193"/>
        </w:trPr>
        <w:tc>
          <w:tcPr>
            <w:tcW w:w="3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depository institutions</w:t>
            </w: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480</w:t>
            </w:r>
          </w:p>
        </w:tc>
        <w:tc>
          <w:tcPr>
            <w:tcW w:w="3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480</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480</w:t>
            </w: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560" w:type="dxa"/>
            <w:vAlign w:val="bottom"/>
          </w:tcPr>
          <w:p>
            <w:pPr>
              <w:spacing w:after="0"/>
              <w:rPr>
                <w:sz w:val="15"/>
                <w:szCs w:val="15"/>
                <w:color w:val="auto"/>
              </w:rPr>
            </w:pP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2,542,115</w:t>
            </w: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2,542,115</w:t>
            </w:r>
          </w:p>
        </w:tc>
        <w:tc>
          <w:tcPr>
            <w:tcW w:w="20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2,542,115</w:t>
            </w: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2,379,668</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1,954,345</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1,954,345</w:t>
            </w: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loans, net of allowance for credit losses</w:t>
            </w:r>
          </w:p>
        </w:tc>
        <w:tc>
          <w:tcPr>
            <w:tcW w:w="560" w:type="dxa"/>
            <w:vAlign w:val="bottom"/>
          </w:tcPr>
          <w:p>
            <w:pPr>
              <w:spacing w:after="0"/>
              <w:rPr>
                <w:sz w:val="15"/>
                <w:szCs w:val="15"/>
                <w:color w:val="auto"/>
              </w:rPr>
            </w:pP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8,456,310</w:t>
            </w: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8,149,801</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8,149,801</w:t>
            </w: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66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60" w:type="dxa"/>
            <w:vAlign w:val="bottom"/>
          </w:tcPr>
          <w:p>
            <w:pPr>
              <w:spacing w:after="0"/>
              <w:rPr>
                <w:sz w:val="15"/>
                <w:szCs w:val="15"/>
                <w:color w:val="auto"/>
              </w:rPr>
            </w:pP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92"/>
        </w:trPr>
        <w:tc>
          <w:tcPr>
            <w:tcW w:w="3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Fair value hedges: interest rate swaps</w:t>
            </w:r>
          </w:p>
        </w:tc>
        <w:tc>
          <w:tcPr>
            <w:tcW w:w="560" w:type="dxa"/>
            <w:vAlign w:val="bottom"/>
          </w:tcPr>
          <w:p>
            <w:pPr>
              <w:spacing w:after="0"/>
              <w:rPr>
                <w:sz w:val="16"/>
                <w:szCs w:val="16"/>
                <w:color w:val="auto"/>
              </w:rPr>
            </w:pP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7,222</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7,222</w:t>
            </w:r>
          </w:p>
        </w:tc>
        <w:tc>
          <w:tcPr>
            <w:tcW w:w="200" w:type="dxa"/>
            <w:vAlign w:val="bottom"/>
          </w:tcPr>
          <w:p>
            <w:pPr>
              <w:spacing w:after="0"/>
              <w:rPr>
                <w:sz w:val="16"/>
                <w:szCs w:val="16"/>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7,222</w:t>
            </w:r>
          </w:p>
        </w:tc>
      </w:tr>
      <w:tr>
        <w:trPr>
          <w:trHeight w:val="180"/>
        </w:trPr>
        <w:tc>
          <w:tcPr>
            <w:tcW w:w="366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Cash flow hedges: interest rate swaps</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6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Deposits:</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6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Interest-bearing</w:t>
            </w: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4,911,285</w:t>
            </w:r>
          </w:p>
        </w:tc>
        <w:tc>
          <w:tcPr>
            <w:tcW w:w="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4,908,070</w:t>
            </w:r>
          </w:p>
        </w:tc>
        <w:tc>
          <w:tcPr>
            <w:tcW w:w="2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4,908,070</w:t>
            </w: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Borrowings</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761,887</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716,566</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716,566</w:t>
            </w: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660" w:type="dxa"/>
            <w:vAlign w:val="bottom"/>
            <w:shd w:val="clear" w:color="auto" w:fill="CFF0FC"/>
          </w:tcPr>
          <w:p>
            <w:pPr>
              <w:ind w:left="2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6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56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517</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517</w:t>
            </w:r>
          </w:p>
        </w:tc>
        <w:tc>
          <w:tcPr>
            <w:tcW w:w="20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517</w:t>
            </w:r>
          </w:p>
        </w:tc>
      </w:tr>
    </w:tbl>
    <w:p>
      <w:pPr>
        <w:spacing w:after="0" w:line="132" w:lineRule="exact"/>
        <w:rPr>
          <w:sz w:val="20"/>
          <w:szCs w:val="20"/>
          <w:color w:val="auto"/>
        </w:rPr>
      </w:pPr>
    </w:p>
    <w:p>
      <w:pPr>
        <w:jc w:val="both"/>
        <w:ind w:right="340" w:firstLine="432"/>
        <w:spacing w:after="0" w:line="299" w:lineRule="auto"/>
        <w:rPr>
          <w:sz w:val="20"/>
          <w:szCs w:val="20"/>
          <w:color w:val="auto"/>
        </w:rPr>
      </w:pPr>
      <w:r>
        <w:rPr>
          <w:rFonts w:ascii="Times New Roman" w:cs="Times New Roman" w:eastAsia="Times New Roman" w:hAnsi="Times New Roman"/>
          <w:sz w:val="14"/>
          <w:szCs w:val="14"/>
          <w:color w:val="auto"/>
        </w:rPr>
        <w:t>The fair value estimates presented herein are based on pertinent information available to management as of June 30, 2025 and December 31, 2024.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 w:name="page31"/>
    <w:bookmarkEnd w:id="30"/>
    <w:p>
      <w:pPr>
        <w:ind w:left="280" w:hanging="274"/>
        <w:spacing w:after="0"/>
        <w:tabs>
          <w:tab w:leader="none" w:pos="28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DERIVATIVE FINANCIAL INSTRUMENTS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Derivatives Not Designated as Hedging Instruments</w:t>
      </w:r>
    </w:p>
    <w:p>
      <w:pPr>
        <w:spacing w:after="0" w:line="180" w:lineRule="exact"/>
        <w:rPr>
          <w:sz w:val="20"/>
          <w:szCs w:val="20"/>
          <w:color w:val="auto"/>
        </w:rPr>
      </w:pPr>
    </w:p>
    <w:p>
      <w:pPr>
        <w:ind w:right="20" w:firstLine="432"/>
        <w:spacing w:after="0" w:line="241" w:lineRule="auto"/>
        <w:rPr>
          <w:sz w:val="20"/>
          <w:szCs w:val="20"/>
          <w:color w:val="auto"/>
        </w:rPr>
      </w:pPr>
      <w:r>
        <w:rPr>
          <w:rFonts w:ascii="Times New Roman" w:cs="Times New Roman" w:eastAsia="Times New Roman" w:hAnsi="Times New Roman"/>
          <w:sz w:val="16"/>
          <w:szCs w:val="16"/>
          <w:color w:val="auto"/>
        </w:rPr>
        <w:t>The Bank is exposed to certain risks relating to its ongoing business operations and utilizes interest rate swap agreements (“swaps”) as part of its asset/liability management strategy to help manage its interest rate risk position. As of June 30, 2025, the Bank has entered into 108 interest-rate swap agreements with customers with a notional amount totaling $ 352.7 million. The Bank then entered into identical offsetting swaps with counterparties.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57" w:lineRule="exact"/>
        <w:rPr>
          <w:sz w:val="20"/>
          <w:szCs w:val="20"/>
          <w:color w:val="auto"/>
        </w:rPr>
      </w:pPr>
    </w:p>
    <w:p>
      <w:pPr>
        <w:ind w:right="40" w:firstLine="432"/>
        <w:spacing w:after="0" w:line="238" w:lineRule="auto"/>
        <w:rPr>
          <w:sz w:val="20"/>
          <w:szCs w:val="20"/>
          <w:color w:val="auto"/>
        </w:rPr>
      </w:pPr>
      <w:r>
        <w:rPr>
          <w:rFonts w:ascii="Times New Roman" w:cs="Times New Roman" w:eastAsia="Times New Roman" w:hAnsi="Times New Roman"/>
          <w:sz w:val="16"/>
          <w:szCs w:val="16"/>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a counterparty bank in which the Bank pays the counterparty a fixed rate and the counterparty in return pays the Bank a variable rate. The net effect of the transaction allows the Bank to receive interest on the loan from the customer at a variable rate based on SOFR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58" w:lineRule="exact"/>
        <w:rPr>
          <w:sz w:val="20"/>
          <w:szCs w:val="20"/>
          <w:color w:val="auto"/>
        </w:rPr>
      </w:pPr>
    </w:p>
    <w:p>
      <w:pPr>
        <w:jc w:val="both"/>
        <w:ind w:right="120" w:firstLine="432"/>
        <w:spacing w:after="0" w:line="247" w:lineRule="auto"/>
        <w:rPr>
          <w:sz w:val="20"/>
          <w:szCs w:val="20"/>
          <w:color w:val="auto"/>
        </w:rPr>
      </w:pPr>
      <w:r>
        <w:rPr>
          <w:rFonts w:ascii="Times New Roman" w:cs="Times New Roman" w:eastAsia="Times New Roman" w:hAnsi="Times New Roman"/>
          <w:sz w:val="16"/>
          <w:szCs w:val="16"/>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Derivatives Designated as Hedging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Hedges</w:t>
      </w:r>
    </w:p>
    <w:p>
      <w:pPr>
        <w:spacing w:after="0" w:line="180" w:lineRule="exact"/>
        <w:rPr>
          <w:sz w:val="20"/>
          <w:szCs w:val="20"/>
          <w:color w:val="auto"/>
        </w:rPr>
      </w:pPr>
    </w:p>
    <w:p>
      <w:pPr>
        <w:ind w:firstLine="432"/>
        <w:spacing w:after="0" w:line="278" w:lineRule="auto"/>
        <w:rPr>
          <w:sz w:val="20"/>
          <w:szCs w:val="20"/>
          <w:color w:val="auto"/>
        </w:rPr>
      </w:pPr>
      <w:r>
        <w:rPr>
          <w:rFonts w:ascii="Times New Roman" w:cs="Times New Roman" w:eastAsia="Times New Roman" w:hAnsi="Times New Roman"/>
          <w:sz w:val="14"/>
          <w:szCs w:val="14"/>
          <w:color w:val="auto"/>
        </w:rPr>
        <w:t>To manage interest rate risk on our AFS securities portfolio, we have entered into pay-fixed, receive-floating interest rate swap contracts to hedge against exposure to changes in the fair value of such securities resulting from changes in interest rates. We designate these interest rate swap contracts as fair value hedges that qualify for hedge accounting under ASC 815, Derivatives and Hedging. We elected to account for the fair value hedges using the portfolio layer method in accordance with ASU 2022-01. We record the interest rate swaps in the line items "accrued interest receivable and other assets" and "other liabilities" on our consolidated balance sheet. For qualifying fair value hedges, both the changes in the fair value of the derivative and the portion of the fair value adjustments associated with the portfolio layer attributable to the hedged risk are recognized into earnings as they occur. Derivative amounts impacting earnings are recognized consistent with the classification of the hedged item in the line item "investment securities available for sale" as part of interest income, a component of consolidated net income.</w:t>
      </w:r>
    </w:p>
    <w:p>
      <w:pPr>
        <w:spacing w:after="0" w:line="135" w:lineRule="exact"/>
        <w:rPr>
          <w:sz w:val="20"/>
          <w:szCs w:val="20"/>
          <w:color w:val="auto"/>
        </w:rPr>
      </w:pPr>
    </w:p>
    <w:p>
      <w:pPr>
        <w:ind w:right="60" w:firstLine="432"/>
        <w:spacing w:after="0" w:line="239" w:lineRule="auto"/>
        <w:rPr>
          <w:sz w:val="20"/>
          <w:szCs w:val="20"/>
          <w:color w:val="auto"/>
        </w:rPr>
      </w:pPr>
      <w:r>
        <w:rPr>
          <w:rFonts w:ascii="Times New Roman" w:cs="Times New Roman" w:eastAsia="Times New Roman" w:hAnsi="Times New Roman"/>
          <w:sz w:val="16"/>
          <w:szCs w:val="16"/>
          <w:color w:val="auto"/>
        </w:rPr>
        <w:t>In June 2023, fair value hedging transactions were executed in which $1 billion notional pay -fixed interest rate swaps were consummated with maturities ranging from four to five years, wherein the Company pays a weighted average fixed rate of approximately 3.8% and receives daily SOFR. In December 2024, we terminated one of these swaps which had a notional value of $300 million, a maturity date of June 2027, and a pay-fixed rate of 3.95%. In May 2025, the remaining $700 million notional pay-fixed interest rate swaps, with a weighted average fixed rate of approximately 3.7%, that were scheduled to mature in June of 2028 were terminated and replaced with new pay -fixed interest rate swaps with maturity dates in May of 2029, 2030 and 2031, with a weighted pay-fixed rate of 3.68%. The new $700 million of fair value hedges have approximately equal nominal values maturing each of the three years and had a fair value which totaled $9.6 million and was reflected as a liability at June 30,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 Hedges</w:t>
      </w:r>
    </w:p>
    <w:p>
      <w:pPr>
        <w:spacing w:after="0" w:line="180" w:lineRule="exact"/>
        <w:rPr>
          <w:sz w:val="20"/>
          <w:szCs w:val="20"/>
          <w:color w:val="auto"/>
        </w:rPr>
      </w:pPr>
    </w:p>
    <w:p>
      <w:pPr>
        <w:jc w:val="both"/>
        <w:ind w:right="380" w:firstLine="432"/>
        <w:spacing w:after="0" w:line="242" w:lineRule="auto"/>
        <w:rPr>
          <w:sz w:val="20"/>
          <w:szCs w:val="20"/>
          <w:color w:val="auto"/>
        </w:rPr>
      </w:pPr>
      <w:r>
        <w:rPr>
          <w:rFonts w:ascii="Times New Roman" w:cs="Times New Roman" w:eastAsia="Times New Roman" w:hAnsi="Times New Roman"/>
          <w:sz w:val="16"/>
          <w:szCs w:val="16"/>
          <w:color w:val="auto"/>
        </w:rPr>
        <w:t>To manage our interest rate risk associated with brokered CDs, FHLB advances or other fixed rate advances for specified periods, the Company enters into interest rate derivative contracts that are designated as qualifying cash flow hedges to hedge the exposure to variability in expected future cash flows attributable to changes in a contractually specified interest rates. During</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9" w:right="660" w:bottom="1440" w:gutter="0" w:footer="0" w:header="0"/>
        </w:sectPr>
      </w:pPr>
    </w:p>
    <w:bookmarkStart w:id="31" w:name="page32"/>
    <w:bookmarkEnd w:id="31"/>
    <w:p>
      <w:pPr>
        <w:ind w:right="40"/>
        <w:spacing w:after="0" w:line="243" w:lineRule="auto"/>
        <w:rPr>
          <w:sz w:val="20"/>
          <w:szCs w:val="20"/>
          <w:color w:val="auto"/>
        </w:rPr>
      </w:pPr>
      <w:r>
        <w:rPr>
          <w:rFonts w:ascii="Times New Roman" w:cs="Times New Roman" w:eastAsia="Times New Roman" w:hAnsi="Times New Roman"/>
          <w:sz w:val="16"/>
          <w:szCs w:val="16"/>
          <w:color w:val="auto"/>
        </w:rPr>
        <w:t>the first quarter of 2024, $300 million of 3-month term brokered CDs were issued and cash flow hedging transactions were also executed in which $300 million notional pay-fixed interest rate swaps were consummated with maturities of three years, wherein the Company pays a weighted average fixed rate of approximately 4.2% and receives daily SOFR. The $300 million of brokered CDs were renewed for 3-month terms during the second quarter of 2025 and as of June 30, 2025, the cash flow hedges have remaining maturities of approximately 20 months.</w:t>
      </w:r>
    </w:p>
    <w:p>
      <w:pPr>
        <w:spacing w:after="0" w:line="155"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16"/>
          <w:szCs w:val="16"/>
          <w:color w:val="auto"/>
        </w:rPr>
        <w:t>To qualify for hedge accounting, a formal assessment is prepared to determine whether the hedging relationship, both at inception and on an ongoing basis, is expected to be highly effective in achieving offsetting cash flows attributable to the hedged risk during the term of the hedge if a cash flow hedge. At inception a statistical regression analysis is prepared to determine hedge effectiveness. At each reporting period thereafter, a statistical regression or qualitative analysis is performed to determine hedge effectiveness. If it is determined that hedge effectiveness has not been or will not continue to be highly effective, then hedge accounting ceases and any gain or loss in AOCI is recognized in earnings immediately. The cash flow hedges are recorded at fair value in other assets and other liabilities on the consolidated balance sheets with changes in fair value recorded in AOCI, net of tax. All related cash flows are reported in the operating activities section of the consolidated statement of cash flows. Amounts recorded to AOCI are reclassified into earnings in the same period in which the hedged asset or liability affects earnings and are presented in the same income statement line item as the earnings effect of the hedged asset or liability.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Balance Sheet Classification of Derivative Financial Instruments</w:t>
      </w:r>
    </w:p>
    <w:p>
      <w:pPr>
        <w:spacing w:after="0" w:line="180" w:lineRule="exact"/>
        <w:rPr>
          <w:sz w:val="20"/>
          <w:szCs w:val="20"/>
          <w:color w:val="auto"/>
        </w:rPr>
      </w:pPr>
    </w:p>
    <w:p>
      <w:pPr>
        <w:ind w:right="240" w:firstLine="432"/>
        <w:spacing w:after="0" w:line="259" w:lineRule="auto"/>
        <w:rPr>
          <w:sz w:val="20"/>
          <w:szCs w:val="20"/>
          <w:color w:val="auto"/>
        </w:rPr>
      </w:pPr>
      <w:r>
        <w:rPr>
          <w:rFonts w:ascii="Times New Roman" w:cs="Times New Roman" w:eastAsia="Times New Roman" w:hAnsi="Times New Roman"/>
          <w:sz w:val="16"/>
          <w:szCs w:val="16"/>
          <w:color w:val="auto"/>
        </w:rPr>
        <w:t>As of June 30, 2025 and December 31, 2024, the notional amount, the location of the asset and liability, and their respective fair values, are summarized in the tables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8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100" w:type="dxa"/>
            <w:vAlign w:val="bottom"/>
          </w:tcPr>
          <w:p>
            <w:pPr>
              <w:spacing w:after="0"/>
              <w:rPr>
                <w:sz w:val="17"/>
                <w:szCs w:val="17"/>
                <w:color w:val="auto"/>
              </w:rPr>
            </w:pPr>
          </w:p>
        </w:tc>
        <w:tc>
          <w:tcPr>
            <w:tcW w:w="1740" w:type="dxa"/>
            <w:vAlign w:val="bottom"/>
            <w:gridSpan w:val="3"/>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Balance Sheet</w:t>
            </w:r>
          </w:p>
        </w:tc>
        <w:tc>
          <w:tcPr>
            <w:tcW w:w="100" w:type="dxa"/>
            <w:vAlign w:val="bottom"/>
          </w:tcPr>
          <w:p>
            <w:pPr>
              <w:spacing w:after="0"/>
              <w:rPr>
                <w:sz w:val="15"/>
                <w:szCs w:val="15"/>
                <w:color w:val="auto"/>
              </w:rPr>
            </w:pPr>
          </w:p>
        </w:tc>
        <w:tc>
          <w:tcPr>
            <w:tcW w:w="6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b w:val="1"/>
                <w:bCs w:val="1"/>
                <w:color w:val="auto"/>
              </w:rPr>
              <w:t>Fair</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60" w:type="dxa"/>
            <w:vAlign w:val="bottom"/>
          </w:tcPr>
          <w:p>
            <w:pPr>
              <w:ind w:left="400"/>
              <w:spacing w:after="0" w:line="180"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120" w:type="dxa"/>
            <w:vAlign w:val="bottom"/>
          </w:tcPr>
          <w:p>
            <w:pPr>
              <w:spacing w:after="0"/>
              <w:rPr>
                <w:sz w:val="15"/>
                <w:szCs w:val="15"/>
                <w:color w:val="auto"/>
              </w:rPr>
            </w:pPr>
          </w:p>
        </w:tc>
        <w:tc>
          <w:tcPr>
            <w:tcW w:w="6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80"/>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Location</w:t>
            </w:r>
          </w:p>
        </w:tc>
        <w:tc>
          <w:tcPr>
            <w:tcW w:w="100" w:type="dxa"/>
            <w:vAlign w:val="bottom"/>
          </w:tcPr>
          <w:p>
            <w:pPr>
              <w:spacing w:after="0"/>
              <w:rPr>
                <w:sz w:val="15"/>
                <w:szCs w:val="15"/>
                <w:color w:val="auto"/>
              </w:rPr>
            </w:pPr>
          </w:p>
        </w:tc>
        <w:tc>
          <w:tcPr>
            <w:tcW w:w="6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rPr>
              <w:t>Value</w:t>
            </w:r>
          </w:p>
        </w:tc>
        <w:tc>
          <w:tcPr>
            <w:tcW w:w="300" w:type="dxa"/>
            <w:vAlign w:val="bottom"/>
          </w:tcPr>
          <w:p>
            <w:pPr>
              <w:spacing w:after="0"/>
              <w:rPr>
                <w:sz w:val="15"/>
                <w:szCs w:val="15"/>
                <w:color w:val="auto"/>
              </w:rPr>
            </w:pPr>
          </w:p>
        </w:tc>
        <w:tc>
          <w:tcPr>
            <w:tcW w:w="8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660" w:type="dxa"/>
            <w:vAlign w:val="bottom"/>
          </w:tcPr>
          <w:p>
            <w:pPr>
              <w:ind w:left="580"/>
              <w:spacing w:after="0" w:line="180" w:lineRule="exact"/>
              <w:rPr>
                <w:sz w:val="20"/>
                <w:szCs w:val="20"/>
                <w:color w:val="auto"/>
              </w:rPr>
            </w:pPr>
            <w:r>
              <w:rPr>
                <w:rFonts w:ascii="Times New Roman" w:cs="Times New Roman" w:eastAsia="Times New Roman" w:hAnsi="Times New Roman"/>
                <w:sz w:val="16"/>
                <w:szCs w:val="16"/>
                <w:b w:val="1"/>
                <w:bCs w:val="1"/>
                <w:color w:val="auto"/>
              </w:rPr>
              <w:t>Location</w:t>
            </w:r>
          </w:p>
        </w:tc>
        <w:tc>
          <w:tcPr>
            <w:tcW w:w="120" w:type="dxa"/>
            <w:vAlign w:val="bottom"/>
          </w:tcPr>
          <w:p>
            <w:pPr>
              <w:spacing w:after="0"/>
              <w:rPr>
                <w:sz w:val="15"/>
                <w:szCs w:val="15"/>
                <w:color w:val="auto"/>
              </w:rPr>
            </w:pPr>
          </w:p>
        </w:tc>
        <w:tc>
          <w:tcPr>
            <w:tcW w:w="6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right"/>
              <w:ind w:right="242"/>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rate swaps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352,677</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352,677</w:t>
            </w:r>
          </w:p>
        </w:tc>
        <w:tc>
          <w:tcPr>
            <w:tcW w:w="1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tcBorders>
              <w:bottom w:val="single" w:sz="8" w:color="CFF0FC"/>
            </w:tcBorders>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color w:val="auto"/>
              </w:rPr>
              <w:t>Total derivatives</w:t>
            </w:r>
          </w:p>
        </w:tc>
        <w:tc>
          <w:tcPr>
            <w:tcW w:w="2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188</w:t>
            </w:r>
          </w:p>
        </w:tc>
        <w:tc>
          <w:tcPr>
            <w:tcW w:w="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5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700,000</w:t>
            </w:r>
          </w:p>
        </w:tc>
        <w:tc>
          <w:tcPr>
            <w:tcW w:w="15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60" w:type="dxa"/>
            <w:vAlign w:val="bottom"/>
            <w:shd w:val="clear" w:color="auto" w:fill="CFF0FC"/>
          </w:tcPr>
          <w:p>
            <w:pPr>
              <w:ind w:left="38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9,585</w:t>
            </w:r>
          </w:p>
        </w:tc>
        <w:tc>
          <w:tcPr>
            <w:tcW w:w="0" w:type="dxa"/>
            <w:vAlign w:val="bottom"/>
          </w:tcPr>
          <w:p>
            <w:pPr>
              <w:spacing w:after="0"/>
              <w:rPr>
                <w:sz w:val="1"/>
                <w:szCs w:val="1"/>
                <w:color w:val="auto"/>
              </w:rPr>
            </w:pPr>
          </w:p>
        </w:tc>
      </w:tr>
      <w:tr>
        <w:trPr>
          <w:trHeight w:val="203"/>
        </w:trPr>
        <w:tc>
          <w:tcPr>
            <w:tcW w:w="35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Other assets</w:t>
            </w: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6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Pr>
          <w:p>
            <w:pPr>
              <w:spacing w:after="0"/>
              <w:rPr>
                <w:sz w:val="17"/>
                <w:szCs w:val="17"/>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2,855</w:t>
            </w:r>
          </w:p>
        </w:tc>
        <w:tc>
          <w:tcPr>
            <w:tcW w:w="0" w:type="dxa"/>
            <w:vAlign w:val="bottom"/>
          </w:tcPr>
          <w:p>
            <w:pPr>
              <w:spacing w:after="0"/>
              <w:rPr>
                <w:sz w:val="1"/>
                <w:szCs w:val="1"/>
                <w:color w:val="auto"/>
              </w:rPr>
            </w:pPr>
          </w:p>
        </w:tc>
      </w:tr>
      <w:tr>
        <w:trPr>
          <w:trHeight w:val="61"/>
        </w:trPr>
        <w:tc>
          <w:tcPr>
            <w:tcW w:w="3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560" w:type="dxa"/>
            <w:vAlign w:val="bottom"/>
            <w:tcBorders>
              <w:bottom w:val="single" w:sz="8" w:color="CFF0FC"/>
            </w:tcBorders>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12,440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35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1" w:right="660" w:bottom="1440" w:gutter="0" w:footer="0" w:header="0"/>
        </w:sectPr>
      </w:pPr>
    </w:p>
    <w:bookmarkStart w:id="32" w:name="page33"/>
    <w:bookmarkEnd w:id="32"/>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100" w:type="dxa"/>
            <w:vAlign w:val="bottom"/>
          </w:tcPr>
          <w:p>
            <w:pPr>
              <w:spacing w:after="0"/>
              <w:rPr>
                <w:sz w:val="17"/>
                <w:szCs w:val="17"/>
                <w:color w:val="auto"/>
              </w:rPr>
            </w:pPr>
          </w:p>
        </w:tc>
        <w:tc>
          <w:tcPr>
            <w:tcW w:w="1740" w:type="dxa"/>
            <w:vAlign w:val="bottom"/>
            <w:gridSpan w:val="4"/>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Balance Sheet</w:t>
            </w:r>
          </w:p>
        </w:tc>
        <w:tc>
          <w:tcPr>
            <w:tcW w:w="100" w:type="dxa"/>
            <w:vAlign w:val="bottom"/>
          </w:tcPr>
          <w:p>
            <w:pPr>
              <w:spacing w:after="0"/>
              <w:rPr>
                <w:sz w:val="15"/>
                <w:szCs w:val="15"/>
                <w:color w:val="auto"/>
              </w:rPr>
            </w:pPr>
          </w:p>
        </w:tc>
        <w:tc>
          <w:tcPr>
            <w:tcW w:w="7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60" w:type="dxa"/>
            <w:vAlign w:val="bottom"/>
          </w:tcPr>
          <w:p>
            <w:pPr>
              <w:ind w:left="400"/>
              <w:spacing w:after="0" w:line="180"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6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Location</w:t>
            </w:r>
          </w:p>
        </w:tc>
        <w:tc>
          <w:tcPr>
            <w:tcW w:w="100" w:type="dxa"/>
            <w:vAlign w:val="bottom"/>
          </w:tcPr>
          <w:p>
            <w:pPr>
              <w:spacing w:after="0"/>
              <w:rPr>
                <w:sz w:val="15"/>
                <w:szCs w:val="15"/>
                <w:color w:val="auto"/>
              </w:rPr>
            </w:pPr>
          </w:p>
        </w:tc>
        <w:tc>
          <w:tcPr>
            <w:tcW w:w="7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5"/>
                <w:szCs w:val="15"/>
                <w:color w:val="auto"/>
              </w:rPr>
            </w:pPr>
          </w:p>
        </w:tc>
        <w:tc>
          <w:tcPr>
            <w:tcW w:w="8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660" w:type="dxa"/>
            <w:vAlign w:val="bottom"/>
          </w:tcPr>
          <w:p>
            <w:pPr>
              <w:ind w:left="580"/>
              <w:spacing w:after="0" w:line="180" w:lineRule="exact"/>
              <w:rPr>
                <w:sz w:val="20"/>
                <w:szCs w:val="20"/>
                <w:color w:val="auto"/>
              </w:rPr>
            </w:pPr>
            <w:r>
              <w:rPr>
                <w:rFonts w:ascii="Times New Roman" w:cs="Times New Roman" w:eastAsia="Times New Roman" w:hAnsi="Times New Roman"/>
                <w:sz w:val="16"/>
                <w:szCs w:val="16"/>
                <w:b w:val="1"/>
                <w:bCs w:val="1"/>
                <w:color w:val="auto"/>
              </w:rPr>
              <w:t>Location</w:t>
            </w:r>
          </w:p>
        </w:tc>
        <w:tc>
          <w:tcPr>
            <w:tcW w:w="120" w:type="dxa"/>
            <w:vAlign w:val="bottom"/>
          </w:tcPr>
          <w:p>
            <w:pPr>
              <w:spacing w:after="0"/>
              <w:rPr>
                <w:sz w:val="15"/>
                <w:szCs w:val="15"/>
                <w:color w:val="auto"/>
              </w:rPr>
            </w:pPr>
          </w:p>
        </w:tc>
        <w:tc>
          <w:tcPr>
            <w:tcW w:w="66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195"/>
        </w:trPr>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40" w:type="dxa"/>
            <w:vAlign w:val="bottom"/>
            <w:gridSpan w:val="5"/>
          </w:tcPr>
          <w:p>
            <w:pPr>
              <w:jc w:val="right"/>
              <w:ind w:right="302"/>
              <w:spacing w:after="0"/>
              <w:rPr>
                <w:sz w:val="20"/>
                <w:szCs w:val="20"/>
                <w:color w:val="auto"/>
              </w:rPr>
            </w:pPr>
            <w:r>
              <w:rPr>
                <w:rFonts w:ascii="Times New Roman" w:cs="Times New Roman" w:eastAsia="Times New Roman" w:hAnsi="Times New Roman"/>
                <w:sz w:val="16"/>
                <w:szCs w:val="16"/>
                <w:i w:val="1"/>
                <w:iCs w:val="1"/>
                <w:color w:val="auto"/>
                <w:w w:val="99"/>
              </w:rPr>
              <w:t>(Dollars in thousands)</w:t>
            </w: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363,440</w:t>
            </w:r>
          </w:p>
        </w:tc>
        <w:tc>
          <w:tcPr>
            <w:tcW w:w="16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5"/>
                <w:szCs w:val="15"/>
                <w:color w:val="auto"/>
              </w:rPr>
            </w:pP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363,440</w:t>
            </w:r>
          </w:p>
        </w:tc>
        <w:tc>
          <w:tcPr>
            <w:tcW w:w="1660" w:type="dxa"/>
            <w:vAlign w:val="bottom"/>
          </w:tcPr>
          <w:p>
            <w:pPr>
              <w:ind w:left="38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520" w:type="dxa"/>
            <w:vAlign w:val="bottom"/>
            <w:tcBorders>
              <w:bottom w:val="single" w:sz="8" w:color="CFF0FC"/>
            </w:tcBorders>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color w:val="auto"/>
              </w:rPr>
              <w:t>Total derivatives</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700,000</w:t>
            </w:r>
          </w:p>
        </w:tc>
        <w:tc>
          <w:tcPr>
            <w:tcW w:w="16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ind w:left="38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Cash flow hedges: interest rate swaps</w:t>
            </w:r>
          </w:p>
        </w:tc>
        <w:tc>
          <w:tcPr>
            <w:tcW w:w="240" w:type="dxa"/>
            <w:vAlign w:val="bottom"/>
          </w:tcPr>
          <w:p>
            <w:pPr>
              <w:spacing w:after="0"/>
              <w:rPr>
                <w:sz w:val="15"/>
                <w:szCs w:val="15"/>
                <w:color w:val="auto"/>
              </w:rPr>
            </w:pPr>
          </w:p>
        </w:tc>
        <w:tc>
          <w:tcPr>
            <w:tcW w:w="9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10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660" w:type="dxa"/>
            <w:vAlign w:val="bottom"/>
          </w:tcPr>
          <w:p>
            <w:pPr>
              <w:ind w:left="38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520" w:type="dxa"/>
            <w:vAlign w:val="bottom"/>
            <w:tcBorders>
              <w:bottom w:val="single" w:sz="8" w:color="CFF0FC"/>
            </w:tcBorders>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7,222</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517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Effect of Derivatives Financial Instruments on the Condensed Consolidated Statements of Earnings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summarizes the effect of derivative financial instruments on the condensed consolidated statements of earnings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3300" w:type="dxa"/>
            <w:vAlign w:val="bottom"/>
            <w:gridSpan w:val="8"/>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Location of Gain Recognized in</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gridSpan w:val="1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Amount of Gain Recognized in</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260" w:type="dxa"/>
            <w:vAlign w:val="bottom"/>
          </w:tcPr>
          <w:p>
            <w:pPr>
              <w:spacing w:after="0"/>
              <w:rPr>
                <w:sz w:val="15"/>
                <w:szCs w:val="15"/>
                <w:color w:val="auto"/>
              </w:rPr>
            </w:pPr>
          </w:p>
        </w:tc>
        <w:tc>
          <w:tcPr>
            <w:tcW w:w="3300" w:type="dxa"/>
            <w:vAlign w:val="bottom"/>
            <w:gridSpan w:val="8"/>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Income on Derivative Instruments</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40" w:type="dxa"/>
            <w:vAlign w:val="bottom"/>
            <w:gridSpan w:val="14"/>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Income on Derivative Instruments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80" w:type="dxa"/>
            <w:vAlign w:val="bottom"/>
            <w:gridSpan w:val="11"/>
          </w:tcPr>
          <w:p>
            <w:pPr>
              <w:jc w:val="right"/>
              <w:ind w:right="64"/>
              <w:spacing w:after="0" w:line="180" w:lineRule="exact"/>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5"/>
                <w:szCs w:val="15"/>
                <w:color w:val="auto"/>
              </w:rPr>
            </w:pPr>
          </w:p>
        </w:tc>
        <w:tc>
          <w:tcPr>
            <w:tcW w:w="1940" w:type="dxa"/>
            <w:vAlign w:val="bottom"/>
            <w:gridSpan w:val="11"/>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80"/>
        </w:trPr>
        <w:tc>
          <w:tcPr>
            <w:tcW w:w="2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b w:val="1"/>
                <w:bCs w:val="1"/>
                <w:color w:val="auto"/>
                <w:w w:val="93"/>
              </w:rPr>
              <w:t>2025</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ind w:right="169"/>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65"/>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r>
      <w:tr>
        <w:trPr>
          <w:trHeight w:val="195"/>
        </w:trPr>
        <w:tc>
          <w:tcPr>
            <w:tcW w:w="2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8"/>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5"/>
        </w:trPr>
        <w:tc>
          <w:tcPr>
            <w:tcW w:w="226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Derivatives Not Designated</w:t>
            </w:r>
          </w:p>
        </w:tc>
        <w:tc>
          <w:tcPr>
            <w:tcW w:w="1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5"/>
        </w:trPr>
        <w:tc>
          <w:tcPr>
            <w:tcW w:w="2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as Hedging Instruments:</w:t>
            </w:r>
          </w:p>
        </w:tc>
        <w:tc>
          <w:tcPr>
            <w:tcW w:w="15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0"/>
        </w:trPr>
        <w:tc>
          <w:tcPr>
            <w:tcW w:w="226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4"/>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Other income</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tcPr>
          <w:p>
            <w:pPr>
              <w:ind w:left="28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jc w:val="center"/>
              <w:ind w:left="4"/>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2260" w:type="dxa"/>
            <w:vAlign w:val="bottom"/>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1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FF0FC"/>
          </w:tcPr>
          <w:p>
            <w:pPr>
              <w:ind w:left="280"/>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jc w:val="center"/>
              <w:ind w:left="4"/>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1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r>
      <w:tr>
        <w:trPr>
          <w:trHeight w:val="334"/>
        </w:trPr>
        <w:tc>
          <w:tcPr>
            <w:tcW w:w="2260" w:type="dxa"/>
            <w:vAlign w:val="bottom"/>
            <w:tcBorders>
              <w:top w:val="single" w:sz="8" w:color="CFF0FC"/>
            </w:tcBorders>
          </w:tcPr>
          <w:p>
            <w:pPr>
              <w:spacing w:after="0"/>
              <w:rPr>
                <w:sz w:val="24"/>
                <w:szCs w:val="24"/>
                <w:color w:val="auto"/>
              </w:rPr>
            </w:pPr>
          </w:p>
        </w:tc>
        <w:tc>
          <w:tcPr>
            <w:tcW w:w="150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w:t>
            </w:r>
          </w:p>
        </w:tc>
        <w:tc>
          <w:tcPr>
            <w:tcW w:w="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68"/>
        </w:trPr>
        <w:tc>
          <w:tcPr>
            <w:tcW w:w="22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22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on Derivative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11"/>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Amount of Gains (Losses) Recognized in Interest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1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OCI Impact on Derivatives-Gains (Losses)</w:t>
            </w:r>
          </w:p>
        </w:tc>
      </w:tr>
      <w:tr>
        <w:trPr>
          <w:trHeight w:val="168"/>
        </w:trPr>
        <w:tc>
          <w:tcPr>
            <w:tcW w:w="22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4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recorded in OCI</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2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164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68"/>
        </w:trPr>
        <w:tc>
          <w:tcPr>
            <w:tcW w:w="2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2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860" w:type="dxa"/>
            <w:vAlign w:val="bottom"/>
            <w:gridSpan w:val="3"/>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r>
      <w:tr>
        <w:trPr>
          <w:trHeight w:val="182"/>
        </w:trPr>
        <w:tc>
          <w:tcPr>
            <w:tcW w:w="2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5"/>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8"/>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4"/>
        </w:trPr>
        <w:tc>
          <w:tcPr>
            <w:tcW w:w="226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Derivatives Designated as Hedging</w:t>
            </w:r>
          </w:p>
        </w:tc>
        <w:tc>
          <w:tcPr>
            <w:tcW w:w="15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2"/>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56"/>
        </w:trPr>
        <w:tc>
          <w:tcPr>
            <w:tcW w:w="2260" w:type="dxa"/>
            <w:vAlign w:val="bottom"/>
          </w:tcPr>
          <w:p>
            <w:pPr>
              <w:ind w:left="120"/>
              <w:spacing w:after="0" w:line="156" w:lineRule="exact"/>
              <w:rPr>
                <w:sz w:val="20"/>
                <w:szCs w:val="20"/>
                <w:color w:val="auto"/>
              </w:rPr>
            </w:pPr>
            <w:r>
              <w:rPr>
                <w:rFonts w:ascii="Times New Roman" w:cs="Times New Roman" w:eastAsia="Times New Roman" w:hAnsi="Times New Roman"/>
                <w:sz w:val="14"/>
                <w:szCs w:val="14"/>
                <w:color w:val="auto"/>
              </w:rPr>
              <w:t>Fair value hedges: interest rate</w:t>
            </w: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swaps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2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7,784</w:t>
            </w:r>
          </w:p>
        </w:tc>
        <w:tc>
          <w:tcPr>
            <w:tcW w:w="3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(6,124)</w:t>
            </w:r>
          </w:p>
        </w:tc>
        <w:tc>
          <w:tcPr>
            <w:tcW w:w="280" w:type="dxa"/>
            <w:vAlign w:val="bottom"/>
            <w:gridSpan w:val="2"/>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(6,905)</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14,758</w:t>
            </w:r>
          </w:p>
        </w:tc>
        <w:tc>
          <w:tcPr>
            <w:tcW w:w="80" w:type="dxa"/>
            <w:vAlign w:val="bottom"/>
          </w:tcPr>
          <w:p>
            <w:pPr>
              <w:spacing w:after="0"/>
              <w:rPr>
                <w:sz w:val="15"/>
                <w:szCs w:val="15"/>
                <w:color w:val="auto"/>
              </w:rPr>
            </w:pPr>
          </w:p>
        </w:tc>
      </w:tr>
      <w:tr>
        <w:trPr>
          <w:trHeight w:val="156"/>
        </w:trPr>
        <w:tc>
          <w:tcPr>
            <w:tcW w:w="2260" w:type="dxa"/>
            <w:vAlign w:val="bottom"/>
            <w:shd w:val="clear" w:color="auto" w:fill="CFF0FC"/>
          </w:tcPr>
          <w:p>
            <w:pPr>
              <w:ind w:left="120"/>
              <w:spacing w:after="0" w:line="156" w:lineRule="exact"/>
              <w:rPr>
                <w:sz w:val="20"/>
                <w:szCs w:val="20"/>
                <w:color w:val="auto"/>
              </w:rPr>
            </w:pPr>
            <w:r>
              <w:rPr>
                <w:rFonts w:ascii="Times New Roman" w:cs="Times New Roman" w:eastAsia="Times New Roman" w:hAnsi="Times New Roman"/>
                <w:sz w:val="14"/>
                <w:szCs w:val="14"/>
                <w:color w:val="auto"/>
              </w:rPr>
              <w:t>Cash flow hedges: interest rate</w:t>
            </w:r>
          </w:p>
        </w:tc>
        <w:tc>
          <w:tcPr>
            <w:tcW w:w="15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swaps</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Interest expense</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(425)</w:t>
            </w: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80" w:type="dxa"/>
            <w:vAlign w:val="bottom"/>
            <w:shd w:val="clear" w:color="auto" w:fill="CFF0FC"/>
          </w:tcPr>
          <w:p>
            <w:pPr>
              <w:spacing w:after="0"/>
              <w:rPr>
                <w:sz w:val="15"/>
                <w:szCs w:val="15"/>
                <w:color w:val="auto"/>
              </w:rPr>
            </w:pPr>
          </w:p>
        </w:tc>
      </w:tr>
      <w:tr>
        <w:trPr>
          <w:trHeight w:val="168"/>
        </w:trPr>
        <w:tc>
          <w:tcPr>
            <w:tcW w:w="226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Total</w:t>
            </w:r>
          </w:p>
        </w:tc>
        <w:tc>
          <w:tcPr>
            <w:tcW w:w="1500" w:type="dxa"/>
            <w:vAlign w:val="bottom"/>
          </w:tcPr>
          <w:p>
            <w:pPr>
              <w:spacing w:after="0"/>
              <w:rPr>
                <w:sz w:val="14"/>
                <w:szCs w:val="14"/>
                <w:color w:val="auto"/>
              </w:rPr>
            </w:pPr>
          </w:p>
        </w:tc>
        <w:tc>
          <w:tcPr>
            <w:tcW w:w="1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1,419</w:t>
            </w:r>
          </w:p>
        </w:tc>
        <w:tc>
          <w:tcPr>
            <w:tcW w:w="3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5,015</w:t>
            </w:r>
          </w:p>
        </w:tc>
        <w:tc>
          <w:tcPr>
            <w:tcW w:w="220" w:type="dxa"/>
            <w:vAlign w:val="bottom"/>
          </w:tcPr>
          <w:p>
            <w:pPr>
              <w:spacing w:after="0"/>
              <w:rPr>
                <w:sz w:val="14"/>
                <w:szCs w:val="14"/>
                <w:color w:val="auto"/>
              </w:rPr>
            </w:pPr>
          </w:p>
        </w:tc>
        <w:tc>
          <w:tcPr>
            <w:tcW w:w="1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2,639</w:t>
            </w:r>
          </w:p>
        </w:tc>
        <w:tc>
          <w:tcPr>
            <w:tcW w:w="520" w:type="dxa"/>
            <w:vAlign w:val="bottom"/>
            <w:gridSpan w:val="2"/>
          </w:tcPr>
          <w:p>
            <w:pPr>
              <w:ind w:lef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8,880</w:t>
            </w:r>
          </w:p>
        </w:tc>
        <w:tc>
          <w:tcPr>
            <w:tcW w:w="380" w:type="dxa"/>
            <w:vAlign w:val="bottom"/>
            <w:gridSpan w:val="3"/>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1"/>
                <w:szCs w:val="11"/>
                <w:color w:val="auto"/>
              </w:rPr>
              <w:t>(6,549</w:t>
            </w:r>
            <w:r>
              <w:rPr>
                <w:rFonts w:ascii="Times New Roman" w:cs="Times New Roman" w:eastAsia="Times New Roman" w:hAnsi="Times New Roman"/>
                <w:sz w:val="17"/>
                <w:szCs w:val="17"/>
                <w:color w:val="auto"/>
                <w:vertAlign w:val="subscript"/>
              </w:rPr>
              <w:t>)</w:t>
            </w:r>
          </w:p>
        </w:tc>
        <w:tc>
          <w:tcPr>
            <w:tcW w:w="280" w:type="dxa"/>
            <w:vAlign w:val="bottom"/>
            <w:gridSpan w:val="2"/>
          </w:tcPr>
          <w:p>
            <w:pPr>
              <w:jc w:val="right"/>
              <w:ind w:right="84"/>
              <w:spacing w:after="0" w:line="148"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2,448</w:t>
            </w:r>
          </w:p>
        </w:tc>
        <w:tc>
          <w:tcPr>
            <w:tcW w:w="3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1"/>
                <w:szCs w:val="11"/>
                <w:color w:val="auto"/>
              </w:rPr>
              <w:t>(8,920</w:t>
            </w:r>
            <w:r>
              <w:rPr>
                <w:rFonts w:ascii="Times New Roman" w:cs="Times New Roman" w:eastAsia="Times New Roman" w:hAnsi="Times New Roman"/>
                <w:sz w:val="17"/>
                <w:szCs w:val="17"/>
                <w:color w:val="auto"/>
                <w:vertAlign w:val="subscript"/>
              </w:rPr>
              <w:t>)</w:t>
            </w:r>
          </w:p>
        </w:tc>
        <w:tc>
          <w:tcPr>
            <w:tcW w:w="260" w:type="dxa"/>
            <w:vAlign w:val="bottom"/>
            <w:gridSpan w:val="3"/>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15,874</w:t>
            </w:r>
          </w:p>
        </w:tc>
        <w:tc>
          <w:tcPr>
            <w:tcW w:w="80" w:type="dxa"/>
            <w:vAlign w:val="bottom"/>
          </w:tcPr>
          <w:p>
            <w:pPr>
              <w:spacing w:after="0"/>
              <w:rPr>
                <w:sz w:val="14"/>
                <w:szCs w:val="14"/>
                <w:color w:val="auto"/>
              </w:rPr>
            </w:pPr>
          </w:p>
        </w:tc>
      </w:tr>
      <w:tr>
        <w:trPr>
          <w:trHeight w:val="20"/>
        </w:trPr>
        <w:tc>
          <w:tcPr>
            <w:tcW w:w="2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6"/>
        </w:trPr>
        <w:tc>
          <w:tcPr>
            <w:tcW w:w="2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54"/>
        </w:trPr>
        <w:tc>
          <w:tcPr>
            <w:tcW w:w="2260" w:type="dxa"/>
            <w:vAlign w:val="bottom"/>
            <w:tcBorders>
              <w:bottom w:val="single" w:sz="8" w:color="EEEEEE"/>
            </w:tcBorders>
          </w:tcPr>
          <w:p>
            <w:pPr>
              <w:spacing w:after="0"/>
              <w:rPr>
                <w:sz w:val="24"/>
                <w:szCs w:val="24"/>
                <w:color w:val="auto"/>
              </w:rPr>
            </w:pPr>
          </w:p>
        </w:tc>
        <w:tc>
          <w:tcPr>
            <w:tcW w:w="150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3" w:name="page34"/>
    <w:bookmarkEnd w:id="33"/>
    <w:p>
      <w:pPr>
        <w:ind w:left="360" w:hanging="354"/>
        <w:spacing w:after="0"/>
        <w:tabs>
          <w:tab w:leader="none" w:pos="36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COMPREHENSIVE INCOME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table below provides a summary of the components of other comprehensive income (“OCI”)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00" w:type="dxa"/>
            <w:vAlign w:val="bottom"/>
          </w:tcPr>
          <w:p>
            <w:pPr>
              <w:spacing w:after="0"/>
              <w:rPr>
                <w:sz w:val="15"/>
                <w:szCs w:val="15"/>
                <w:color w:val="auto"/>
              </w:rPr>
            </w:pPr>
          </w:p>
        </w:tc>
        <w:tc>
          <w:tcPr>
            <w:tcW w:w="70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Before-tax</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Tax effect</w:t>
            </w:r>
          </w:p>
        </w:tc>
        <w:tc>
          <w:tcPr>
            <w:tcW w:w="8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After-tax</w:t>
            </w:r>
          </w:p>
        </w:tc>
        <w:tc>
          <w:tcPr>
            <w:tcW w:w="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Before-tax</w:t>
            </w:r>
          </w:p>
        </w:tc>
        <w:tc>
          <w:tcPr>
            <w:tcW w:w="10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Tax effect</w:t>
            </w:r>
          </w:p>
        </w:tc>
        <w:tc>
          <w:tcPr>
            <w:tcW w:w="1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After-tax</w:t>
            </w: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change in fair value recorded in accumulated OCI</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24,704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(9,099)</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15,605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(2,292)</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20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(1,614)</w:t>
            </w:r>
          </w:p>
        </w:tc>
        <w:tc>
          <w:tcPr>
            <w:tcW w:w="0" w:type="dxa"/>
            <w:vAlign w:val="bottom"/>
          </w:tcPr>
          <w:p>
            <w:pPr>
              <w:spacing w:after="0"/>
              <w:rPr>
                <w:sz w:val="1"/>
                <w:szCs w:val="1"/>
                <w:color w:val="auto"/>
              </w:rPr>
            </w:pPr>
          </w:p>
        </w:tc>
      </w:tr>
      <w:tr>
        <w:trPr>
          <w:trHeight w:val="144"/>
        </w:trPr>
        <w:tc>
          <w:tcPr>
            <w:tcW w:w="46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Amortization of net unrealized losses on securities</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transferred from available-for-sale to held-to-maturity</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Derivatives designated as hedging instruments: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Fair value hedges:</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change in fair value recorded in accumulated OCI</w:t>
            </w: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(8,633)</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(6,125)</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(947)</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Cash flow hedges:</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change in fair value recorded in accumulated OCI</w:t>
            </w: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(598)</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(235)</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40" w:type="dxa"/>
            <w:vAlign w:val="bottom"/>
            <w:shd w:val="clear" w:color="auto" w:fill="CFF0FC"/>
          </w:tcPr>
          <w:p>
            <w:pPr>
              <w:ind w:left="260"/>
              <w:spacing w:after="0" w:line="136" w:lineRule="exact"/>
              <w:rPr>
                <w:sz w:val="20"/>
                <w:szCs w:val="20"/>
                <w:color w:val="auto"/>
              </w:rPr>
            </w:pPr>
            <w:r>
              <w:rPr>
                <w:rFonts w:ascii="Times New Roman" w:cs="Times New Roman" w:eastAsia="Times New Roman" w:hAnsi="Times New Roman"/>
                <w:sz w:val="13"/>
                <w:szCs w:val="13"/>
                <w:color w:val="auto"/>
              </w:rPr>
              <w:t>Net change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15,645</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right w:val="single" w:sz="8" w:color="CFF0FC"/>
            </w:tcBorders>
            <w:gridSpan w:val="2"/>
            <w:shd w:val="clear" w:color="auto" w:fill="CFF0FC"/>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(6,477</w:t>
            </w:r>
            <w:r>
              <w:rPr>
                <w:rFonts w:ascii="Times New Roman" w:cs="Times New Roman" w:eastAsia="Times New Roman" w:hAnsi="Times New Roman"/>
                <w:sz w:val="15"/>
                <w:szCs w:val="15"/>
                <w:color w:val="auto"/>
                <w:vertAlign w:val="subscript"/>
              </w:rPr>
              <w:t>)</w:t>
            </w:r>
          </w:p>
        </w:tc>
        <w:tc>
          <w:tcPr>
            <w:tcW w:w="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9,168</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1,513</w:t>
            </w:r>
          </w:p>
        </w:tc>
        <w:tc>
          <w:tcPr>
            <w:tcW w:w="1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(556</w:t>
            </w:r>
            <w:r>
              <w:rPr>
                <w:rFonts w:ascii="Times New Roman" w:cs="Times New Roman" w:eastAsia="Times New Roman" w:hAnsi="Times New Roman"/>
                <w:sz w:val="15"/>
                <w:szCs w:val="15"/>
                <w:color w:val="auto"/>
                <w:vertAlign w:val="subscript"/>
              </w:rPr>
              <w:t>)</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5"/>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Before-tax</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Tax effect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After-tax</w:t>
            </w: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Before-tax</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Tax effect</w:t>
            </w:r>
          </w:p>
        </w:tc>
        <w:tc>
          <w:tcPr>
            <w:tcW w:w="1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After-tax</w:t>
            </w:r>
          </w:p>
        </w:tc>
        <w:tc>
          <w:tcPr>
            <w:tcW w:w="0" w:type="dxa"/>
            <w:vAlign w:val="bottom"/>
          </w:tcPr>
          <w:p>
            <w:pPr>
              <w:spacing w:after="0"/>
              <w:rPr>
                <w:sz w:val="1"/>
                <w:szCs w:val="1"/>
                <w:color w:val="auto"/>
              </w:rPr>
            </w:pPr>
          </w:p>
        </w:tc>
      </w:tr>
      <w:tr>
        <w:trPr>
          <w:trHeight w:val="174"/>
        </w:trPr>
        <w:tc>
          <w:tcPr>
            <w:tcW w:w="4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change in fair value recorded in accumulated OCI</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83,982</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(26,623)</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57,359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(38,148)</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11,278</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(26,870)</w:t>
            </w:r>
          </w:p>
        </w:tc>
        <w:tc>
          <w:tcPr>
            <w:tcW w:w="0" w:type="dxa"/>
            <w:vAlign w:val="bottom"/>
          </w:tcPr>
          <w:p>
            <w:pPr>
              <w:spacing w:after="0"/>
              <w:rPr>
                <w:sz w:val="1"/>
                <w:szCs w:val="1"/>
                <w:color w:val="auto"/>
              </w:rPr>
            </w:pPr>
          </w:p>
        </w:tc>
      </w:tr>
      <w:tr>
        <w:trPr>
          <w:trHeight w:val="144"/>
        </w:trPr>
        <w:tc>
          <w:tcPr>
            <w:tcW w:w="46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Amortization of net unrealized losses on securities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transferred from available-for-sale to held-to-maturity</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Derivatives designated as hedging instruments:</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Fair value hedges: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change in fair value recorded in accumulated OCI</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(16,953)</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4,968</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(11,985)</w:t>
            </w: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20,667</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(5,909)</w:t>
            </w: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14,758</w:t>
            </w:r>
          </w:p>
        </w:tc>
        <w:tc>
          <w:tcPr>
            <w:tcW w:w="0" w:type="dxa"/>
            <w:vAlign w:val="bottom"/>
          </w:tcPr>
          <w:p>
            <w:pPr>
              <w:spacing w:after="0"/>
              <w:rPr>
                <w:sz w:val="1"/>
                <w:szCs w:val="1"/>
                <w:color w:val="auto"/>
              </w:rPr>
            </w:pPr>
          </w:p>
        </w:tc>
      </w:tr>
      <w:tr>
        <w:trPr>
          <w:trHeight w:val="156"/>
        </w:trPr>
        <w:tc>
          <w:tcPr>
            <w:tcW w:w="4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flow hedges: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change in fair value recorded in accumulated OCI</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(2,339)</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(1,651)</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1,584</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(468)</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ind w:left="260"/>
              <w:spacing w:after="0" w:line="136" w:lineRule="exact"/>
              <w:rPr>
                <w:sz w:val="20"/>
                <w:szCs w:val="20"/>
                <w:color w:val="auto"/>
              </w:rPr>
            </w:pPr>
            <w:r>
              <w:rPr>
                <w:rFonts w:ascii="Times New Roman" w:cs="Times New Roman" w:eastAsia="Times New Roman" w:hAnsi="Times New Roman"/>
                <w:sz w:val="13"/>
                <w:szCs w:val="13"/>
                <w:color w:val="auto"/>
              </w:rPr>
              <w:t>Net change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64,999</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9"/>
                <w:szCs w:val="9"/>
                <w:color w:val="auto"/>
              </w:rPr>
              <w:t>(21,067</w:t>
            </w:r>
            <w:r>
              <w:rPr>
                <w:rFonts w:ascii="Times New Roman" w:cs="Times New Roman" w:eastAsia="Times New Roman" w:hAnsi="Times New Roman"/>
                <w:sz w:val="15"/>
                <w:szCs w:val="15"/>
                <w:color w:val="auto"/>
                <w:vertAlign w:val="subscript"/>
              </w:rPr>
              <w:t>)</w:t>
            </w:r>
          </w:p>
        </w:tc>
        <w:tc>
          <w:tcPr>
            <w:tcW w:w="18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43,932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9"/>
                <w:szCs w:val="9"/>
                <w:color w:val="auto"/>
              </w:rPr>
              <w:t>(15,560</w:t>
            </w:r>
            <w:r>
              <w:rPr>
                <w:rFonts w:ascii="Times New Roman" w:cs="Times New Roman" w:eastAsia="Times New Roman" w:hAnsi="Times New Roman"/>
                <w:sz w:val="15"/>
                <w:szCs w:val="15"/>
                <w:color w:val="auto"/>
                <w:vertAlign w:val="subscript"/>
              </w:rPr>
              <w:t>)</w:t>
            </w:r>
          </w:p>
        </w:tc>
        <w:tc>
          <w:tcPr>
            <w:tcW w:w="16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4,801</w:t>
            </w:r>
          </w:p>
        </w:tc>
        <w:tc>
          <w:tcPr>
            <w:tcW w:w="20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9"/>
                <w:szCs w:val="9"/>
                <w:color w:val="auto"/>
              </w:rPr>
              <w:t>(10,759</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BALANCE SHEET OFFSETTING</w:t>
      </w:r>
    </w:p>
    <w:p>
      <w:pPr>
        <w:spacing w:after="0" w:line="178" w:lineRule="exact"/>
        <w:rPr>
          <w:sz w:val="20"/>
          <w:szCs w:val="20"/>
          <w:color w:val="auto"/>
        </w:rPr>
      </w:pPr>
    </w:p>
    <w:p>
      <w:pPr>
        <w:ind w:right="160" w:firstLine="348"/>
        <w:spacing w:after="0" w:line="239" w:lineRule="auto"/>
        <w:rPr>
          <w:sz w:val="20"/>
          <w:szCs w:val="20"/>
          <w:color w:val="auto"/>
        </w:rPr>
      </w:pPr>
      <w:r>
        <w:rPr>
          <w:rFonts w:ascii="Times New Roman" w:cs="Times New Roman" w:eastAsia="Times New Roman" w:hAnsi="Times New Roman"/>
          <w:sz w:val="16"/>
          <w:szCs w:val="16"/>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158" w:lineRule="exact"/>
        <w:rPr>
          <w:sz w:val="20"/>
          <w:szCs w:val="20"/>
          <w:color w:val="auto"/>
        </w:rPr>
      </w:pPr>
    </w:p>
    <w:p>
      <w:pPr>
        <w:ind w:right="20" w:firstLine="432"/>
        <w:spacing w:after="0" w:line="241" w:lineRule="auto"/>
        <w:rPr>
          <w:sz w:val="20"/>
          <w:szCs w:val="20"/>
          <w:color w:val="auto"/>
        </w:rPr>
      </w:pPr>
      <w:r>
        <w:rPr>
          <w:rFonts w:ascii="Times New Roman" w:cs="Times New Roman" w:eastAsia="Times New Roman" w:hAnsi="Times New Roman"/>
          <w:sz w:val="16"/>
          <w:szCs w:val="16"/>
          <w:color w:val="auto"/>
        </w:rPr>
        <w:t>In June 2023, fair value hedging transactions were executed in which $1 billion notional pay-fixed interest rate swaps were consummated with original maturities ranging from four to five years, wherein the Company pays a weighted average fixed rate of approximately 3.8% and receives daily SOFR. In December 2024, we terminated one of these swaps which had a notional value of $300 million, a maturity date of June 2027, and a paid fixed rate of 3.95%. The remaining $700 million notional pay-fixed interest swaps were terminated and replaced in May 2025. The fair value of the replacement instruments totaled $9.6 million and were reflected as a liability on June 30, 2025.</w:t>
      </w:r>
    </w:p>
    <w:p>
      <w:pPr>
        <w:spacing w:after="0" w:line="157" w:lineRule="exact"/>
        <w:rPr>
          <w:sz w:val="20"/>
          <w:szCs w:val="20"/>
          <w:color w:val="auto"/>
        </w:rPr>
      </w:pPr>
    </w:p>
    <w:p>
      <w:pPr>
        <w:ind w:right="160" w:firstLine="432"/>
        <w:spacing w:after="0" w:line="247" w:lineRule="auto"/>
        <w:rPr>
          <w:sz w:val="20"/>
          <w:szCs w:val="20"/>
          <w:color w:val="auto"/>
        </w:rPr>
      </w:pPr>
      <w:r>
        <w:rPr>
          <w:rFonts w:ascii="Times New Roman" w:cs="Times New Roman" w:eastAsia="Times New Roman" w:hAnsi="Times New Roman"/>
          <w:sz w:val="16"/>
          <w:szCs w:val="16"/>
          <w:color w:val="auto"/>
        </w:rPr>
        <w:t>During the first quarter of 2024, cash flow hedging transactions were executed in which $300 million notional pay-fixed interest rate swaps were consummated with maturities of three years, wherein the Company pays a weighted average fixed rate of approximately 4.2% and receives daily SOFR. The fair value of these instruments totaled $2.9 million and were reflected as a liability on June 30, 2025.</w:t>
      </w:r>
    </w:p>
    <w:p>
      <w:pPr>
        <w:spacing w:after="0" w:line="150" w:lineRule="exact"/>
        <w:rPr>
          <w:sz w:val="20"/>
          <w:szCs w:val="20"/>
          <w:color w:val="auto"/>
        </w:rPr>
      </w:pPr>
    </w:p>
    <w:p>
      <w:pPr>
        <w:ind w:right="600" w:firstLine="432"/>
        <w:spacing w:after="0" w:line="247" w:lineRule="auto"/>
        <w:rPr>
          <w:sz w:val="20"/>
          <w:szCs w:val="20"/>
          <w:color w:val="auto"/>
        </w:rPr>
      </w:pPr>
      <w:r>
        <w:rPr>
          <w:rFonts w:ascii="Times New Roman" w:cs="Times New Roman" w:eastAsia="Times New Roman" w:hAnsi="Times New Roman"/>
          <w:sz w:val="16"/>
          <w:szCs w:val="16"/>
          <w:color w:val="auto"/>
        </w:rPr>
        <w:t xml:space="preserve">Refer to Note 9 - </w:t>
      </w:r>
      <w:r>
        <w:rPr>
          <w:rFonts w:ascii="Times New Roman" w:cs="Times New Roman" w:eastAsia="Times New Roman" w:hAnsi="Times New Roman"/>
          <w:sz w:val="16"/>
          <w:szCs w:val="16"/>
          <w:i w:val="1"/>
          <w:iCs w:val="1"/>
          <w:color w:val="auto"/>
        </w:rPr>
        <w:t>Derivative Financial Instruments</w:t>
      </w:r>
      <w:r>
        <w:rPr>
          <w:rFonts w:ascii="Times New Roman" w:cs="Times New Roman" w:eastAsia="Times New Roman" w:hAnsi="Times New Roman"/>
          <w:sz w:val="16"/>
          <w:szCs w:val="16"/>
          <w:color w:val="auto"/>
        </w:rPr>
        <w:t xml:space="preserve"> of the notes to the unaudited condensed consolidated financial statements of this report for additional information.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34" w:name="page35"/>
    <w:bookmarkEnd w:id="34"/>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Gross Amounts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Gross Amounts</w:t>
            </w:r>
          </w:p>
        </w:tc>
        <w:tc>
          <w:tcPr>
            <w:tcW w:w="80" w:type="dxa"/>
            <w:vAlign w:val="bottom"/>
          </w:tcPr>
          <w:p>
            <w:pPr>
              <w:spacing w:after="0"/>
              <w:rPr>
                <w:sz w:val="13"/>
                <w:szCs w:val="13"/>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Net Amounts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Gross Amounts Not Offset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Recognized in the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Offset in the</w:t>
            </w:r>
          </w:p>
        </w:tc>
        <w:tc>
          <w:tcPr>
            <w:tcW w:w="80" w:type="dxa"/>
            <w:vAlign w:val="bottom"/>
          </w:tcPr>
          <w:p>
            <w:pPr>
              <w:spacing w:after="0"/>
              <w:rPr>
                <w:sz w:val="13"/>
                <w:szCs w:val="13"/>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Presented in the</w:t>
            </w:r>
          </w:p>
        </w:tc>
        <w:tc>
          <w:tcPr>
            <w:tcW w:w="220" w:type="dxa"/>
            <w:vAlign w:val="bottom"/>
          </w:tcPr>
          <w:p>
            <w:pPr>
              <w:spacing w:after="0"/>
              <w:rPr>
                <w:sz w:val="13"/>
                <w:szCs w:val="13"/>
                <w:color w:val="auto"/>
              </w:rPr>
            </w:pPr>
          </w:p>
        </w:tc>
        <w:tc>
          <w:tcPr>
            <w:tcW w:w="2460" w:type="dxa"/>
            <w:vAlign w:val="bottom"/>
            <w:gridSpan w:val="6"/>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 the Condensed Consolidated Balance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Condensed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Condensed</w:t>
            </w:r>
          </w:p>
        </w:tc>
        <w:tc>
          <w:tcPr>
            <w:tcW w:w="80" w:type="dxa"/>
            <w:vAlign w:val="bottom"/>
          </w:tcPr>
          <w:p>
            <w:pPr>
              <w:spacing w:after="0"/>
              <w:rPr>
                <w:sz w:val="13"/>
                <w:szCs w:val="13"/>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Condensed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Sheets</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80" w:type="dxa"/>
            <w:vAlign w:val="bottom"/>
          </w:tcPr>
          <w:p>
            <w:pPr>
              <w:spacing w:after="0"/>
              <w:rPr>
                <w:sz w:val="13"/>
                <w:szCs w:val="13"/>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Financial</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80" w:type="dxa"/>
            <w:vAlign w:val="bottom"/>
          </w:tcPr>
          <w:p>
            <w:pPr>
              <w:spacing w:after="0"/>
              <w:rPr>
                <w:sz w:val="13"/>
                <w:szCs w:val="13"/>
                <w:color w:val="auto"/>
              </w:rPr>
            </w:pPr>
          </w:p>
        </w:tc>
        <w:tc>
          <w:tcPr>
            <w:tcW w:w="10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Collateral Pledged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ind w:left="46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not designated as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rate swaps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30,600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(30,412)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30,808</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(30,930)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designated as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Fair value hedges: interest rate swaps</w:t>
            </w:r>
          </w:p>
        </w:tc>
        <w:tc>
          <w:tcPr>
            <w:tcW w:w="8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11,135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11,135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Cash flow hedges: interest rate swaps</w:t>
            </w:r>
          </w:p>
        </w:tc>
        <w:tc>
          <w:tcPr>
            <w:tcW w:w="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30,600</w:t>
            </w:r>
          </w:p>
        </w:tc>
        <w:tc>
          <w:tcPr>
            <w:tcW w:w="1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9"/>
                <w:szCs w:val="9"/>
                <w:color w:val="auto"/>
              </w:rPr>
              <w:t>(30,412</w:t>
            </w:r>
            <w:r>
              <w:rPr>
                <w:rFonts w:ascii="Times New Roman" w:cs="Times New Roman" w:eastAsia="Times New Roman" w:hAnsi="Times New Roman"/>
                <w:sz w:val="15"/>
                <w:szCs w:val="15"/>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188</w:t>
            </w:r>
          </w:p>
        </w:tc>
        <w:tc>
          <w:tcPr>
            <w:tcW w:w="3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30,808</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9"/>
                <w:szCs w:val="9"/>
                <w:color w:val="auto"/>
              </w:rPr>
              <w:t>(19,795</w:t>
            </w:r>
            <w:r>
              <w:rPr>
                <w:rFonts w:ascii="Times New Roman" w:cs="Times New Roman" w:eastAsia="Times New Roman" w:hAnsi="Times New Roman"/>
                <w:sz w:val="15"/>
                <w:szCs w:val="15"/>
                <w:color w:val="auto"/>
                <w:vertAlign w:val="subscript"/>
              </w:rPr>
              <w:t>)</w:t>
            </w:r>
          </w:p>
        </w:tc>
        <w:tc>
          <w:tcPr>
            <w:tcW w:w="2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11,201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liabilities:</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not designated as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Interest rate swaps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designated as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Fair value hedges: interest rate swaps</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flow hedges: interest rate swaps</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Repurchase agreements</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404,154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404,154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(510,715)</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(106,561)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416,782</w:t>
            </w:r>
          </w:p>
        </w:tc>
        <w:tc>
          <w:tcPr>
            <w:tcW w:w="120" w:type="dxa"/>
            <w:vAlign w:val="bottom"/>
          </w:tcPr>
          <w:p>
            <w:pPr>
              <w:spacing w:after="0"/>
              <w:rPr>
                <w:sz w:val="13"/>
                <w:szCs w:val="13"/>
                <w:color w:val="auto"/>
              </w:rPr>
            </w:pPr>
          </w:p>
        </w:tc>
        <w:tc>
          <w:tcPr>
            <w:tcW w:w="1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416,782</w:t>
            </w:r>
          </w:p>
        </w:tc>
        <w:tc>
          <w:tcPr>
            <w:tcW w:w="3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9"/>
                <w:szCs w:val="9"/>
                <w:color w:val="auto"/>
              </w:rPr>
              <w:t>(510,715</w:t>
            </w:r>
            <w:r>
              <w:rPr>
                <w:rFonts w:ascii="Times New Roman" w:cs="Times New Roman" w:eastAsia="Times New Roman" w:hAnsi="Times New Roman"/>
                <w:sz w:val="15"/>
                <w:szCs w:val="15"/>
                <w:color w:val="auto"/>
                <w:vertAlign w:val="subscript"/>
              </w:rPr>
              <w:t>)</w:t>
            </w:r>
          </w:p>
        </w:tc>
        <w:tc>
          <w:tcPr>
            <w:tcW w:w="2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(93,933</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vMerge w:val="restart"/>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not designated as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rate swaps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41,933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(41,903)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42,538</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(42,390)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designated as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Fair value hedges: interest rate swaps</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(6,899)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Cash flow hedges: interest rate swaps</w:t>
            </w:r>
          </w:p>
        </w:tc>
        <w:tc>
          <w:tcPr>
            <w:tcW w:w="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49,155</w:t>
            </w:r>
          </w:p>
        </w:tc>
        <w:tc>
          <w:tcPr>
            <w:tcW w:w="1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9"/>
                <w:szCs w:val="9"/>
                <w:color w:val="auto"/>
              </w:rPr>
              <w:t>(41,903</w:t>
            </w:r>
            <w:r>
              <w:rPr>
                <w:rFonts w:ascii="Times New Roman" w:cs="Times New Roman" w:eastAsia="Times New Roman" w:hAnsi="Times New Roman"/>
                <w:sz w:val="15"/>
                <w:szCs w:val="15"/>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7,252</w:t>
            </w:r>
          </w:p>
        </w:tc>
        <w:tc>
          <w:tcPr>
            <w:tcW w:w="3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42,538</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9"/>
                <w:szCs w:val="9"/>
                <w:color w:val="auto"/>
              </w:rPr>
              <w:t>(49,289</w:t>
            </w:r>
            <w:r>
              <w:rPr>
                <w:rFonts w:ascii="Times New Roman" w:cs="Times New Roman" w:eastAsia="Times New Roman" w:hAnsi="Times New Roman"/>
                <w:sz w:val="15"/>
                <w:szCs w:val="15"/>
                <w:color w:val="auto"/>
                <w:vertAlign w:val="subscript"/>
              </w:rPr>
              <w:t>)</w:t>
            </w:r>
          </w:p>
        </w:tc>
        <w:tc>
          <w:tcPr>
            <w:tcW w:w="2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liabilities:</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not designated as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Interest rate swaps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designated as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Fair value hedges: interest rate swaps</w:t>
            </w:r>
          </w:p>
        </w:tc>
        <w:tc>
          <w:tcPr>
            <w:tcW w:w="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flow hedges: interest rate swaps</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Repurchase agreements</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261,887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261,887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(306,401)</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(44,514)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262,434</w:t>
            </w:r>
          </w:p>
        </w:tc>
        <w:tc>
          <w:tcPr>
            <w:tcW w:w="120" w:type="dxa"/>
            <w:vAlign w:val="bottom"/>
          </w:tcPr>
          <w:p>
            <w:pPr>
              <w:spacing w:after="0"/>
              <w:rPr>
                <w:sz w:val="13"/>
                <w:szCs w:val="13"/>
                <w:color w:val="auto"/>
              </w:rPr>
            </w:pPr>
          </w:p>
        </w:tc>
        <w:tc>
          <w:tcPr>
            <w:tcW w:w="1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262,434</w:t>
            </w:r>
          </w:p>
        </w:tc>
        <w:tc>
          <w:tcPr>
            <w:tcW w:w="3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9"/>
                <w:szCs w:val="9"/>
                <w:color w:val="auto"/>
              </w:rPr>
              <w:t>(306,401</w:t>
            </w:r>
            <w:r>
              <w:rPr>
                <w:rFonts w:ascii="Times New Roman" w:cs="Times New Roman" w:eastAsia="Times New Roman" w:hAnsi="Times New Roman"/>
                <w:sz w:val="15"/>
                <w:szCs w:val="15"/>
                <w:color w:val="auto"/>
                <w:vertAlign w:val="subscript"/>
              </w:rPr>
              <w:t>)</w:t>
            </w:r>
          </w:p>
        </w:tc>
        <w:tc>
          <w:tcPr>
            <w:tcW w:w="2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(43,967</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12.  LEASES</w:t>
      </w:r>
    </w:p>
    <w:p>
      <w:pPr>
        <w:spacing w:after="0" w:line="178" w:lineRule="exact"/>
        <w:rPr>
          <w:sz w:val="20"/>
          <w:szCs w:val="20"/>
          <w:color w:val="auto"/>
        </w:rPr>
      </w:pPr>
    </w:p>
    <w:p>
      <w:pPr>
        <w:ind w:right="120" w:firstLine="348"/>
        <w:spacing w:after="0" w:line="247" w:lineRule="auto"/>
        <w:rPr>
          <w:sz w:val="20"/>
          <w:szCs w:val="20"/>
          <w:color w:val="auto"/>
        </w:rPr>
      </w:pPr>
      <w:r>
        <w:rPr>
          <w:rFonts w:ascii="Times New Roman" w:cs="Times New Roman" w:eastAsia="Times New Roman" w:hAnsi="Times New Roman"/>
          <w:sz w:val="16"/>
          <w:szCs w:val="16"/>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While the Company has, as a lessor, certain equipment finance leases, such leases are not material to the Company’s consolidated financial statements.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tables below present the components of lease costs and supplemental information related to leases as of and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3480" w:type="dxa"/>
            <w:vAlign w:val="bottom"/>
          </w:tcPr>
          <w:p>
            <w:pPr>
              <w:jc w:val="center"/>
              <w:ind w:left="2642"/>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20" w:type="dxa"/>
            <w:vAlign w:val="bottom"/>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3900" w:type="dxa"/>
            <w:vAlign w:val="bottom"/>
          </w:tcPr>
          <w:p>
            <w:pPr>
              <w:spacing w:after="0"/>
              <w:rPr>
                <w:sz w:val="17"/>
                <w:szCs w:val="17"/>
                <w:color w:val="auto"/>
              </w:rPr>
            </w:pPr>
          </w:p>
        </w:tc>
        <w:tc>
          <w:tcPr>
            <w:tcW w:w="348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20" w:type="dxa"/>
            <w:vAlign w:val="bottom"/>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Lease Assets and Liabilities</w:t>
            </w:r>
          </w:p>
        </w:tc>
        <w:tc>
          <w:tcPr>
            <w:tcW w:w="34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ROU assets</w:t>
            </w:r>
          </w:p>
        </w:tc>
        <w:tc>
          <w:tcPr>
            <w:tcW w:w="3480" w:type="dxa"/>
            <w:vAlign w:val="bottom"/>
          </w:tcPr>
          <w:p>
            <w:pPr>
              <w:jc w:val="right"/>
              <w:ind w:right="12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43,770</w:t>
            </w:r>
          </w:p>
        </w:tc>
        <w:tc>
          <w:tcPr>
            <w:tcW w:w="72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47,117</w:t>
            </w:r>
          </w:p>
        </w:tc>
        <w:tc>
          <w:tcPr>
            <w:tcW w:w="0" w:type="dxa"/>
            <w:vAlign w:val="bottom"/>
          </w:tcPr>
          <w:p>
            <w:pPr>
              <w:spacing w:after="0"/>
              <w:rPr>
                <w:sz w:val="1"/>
                <w:szCs w:val="1"/>
                <w:color w:val="auto"/>
              </w:rPr>
            </w:pPr>
          </w:p>
        </w:tc>
      </w:tr>
      <w:tr>
        <w:trPr>
          <w:trHeight w:val="180"/>
        </w:trPr>
        <w:tc>
          <w:tcPr>
            <w:tcW w:w="39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lease liabilities</w:t>
            </w:r>
          </w:p>
        </w:tc>
        <w:tc>
          <w:tcPr>
            <w:tcW w:w="34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46,426</w:t>
            </w:r>
          </w:p>
        </w:tc>
        <w:tc>
          <w:tcPr>
            <w:tcW w:w="72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49,617</w:t>
            </w: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2640" w:type="dxa"/>
            <w:vAlign w:val="bottom"/>
            <w:gridSpan w:val="4"/>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Six Months Ended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4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3"/>
          </w:tcPr>
          <w:p>
            <w:pPr>
              <w:jc w:val="right"/>
              <w:ind w:right="742"/>
              <w:spacing w:after="0" w:line="180"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3"/>
          </w:tcPr>
          <w:p>
            <w:pPr>
              <w:jc w:val="right"/>
              <w:ind w:right="282"/>
              <w:spacing w:after="0" w:line="180" w:lineRule="exact"/>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080" w:type="dxa"/>
            <w:vAlign w:val="bottom"/>
          </w:tcPr>
          <w:p>
            <w:pPr>
              <w:spacing w:after="0"/>
              <w:rPr>
                <w:sz w:val="15"/>
                <w:szCs w:val="15"/>
                <w:color w:val="auto"/>
              </w:rPr>
            </w:pPr>
          </w:p>
        </w:tc>
        <w:tc>
          <w:tcPr>
            <w:tcW w:w="9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5"/>
                <w:szCs w:val="15"/>
                <w:color w:val="auto"/>
              </w:rPr>
            </w:pPr>
          </w:p>
        </w:tc>
        <w:tc>
          <w:tcPr>
            <w:tcW w:w="124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ind w:right="462"/>
              <w:spacing w:after="0" w:line="180"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5"/>
                <w:szCs w:val="15"/>
                <w:color w:val="auto"/>
              </w:rPr>
            </w:pPr>
          </w:p>
        </w:tc>
      </w:tr>
      <w:tr>
        <w:trPr>
          <w:trHeight w:val="195"/>
        </w:trPr>
        <w:tc>
          <w:tcPr>
            <w:tcW w:w="4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262"/>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4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Lease Cost</w:t>
            </w:r>
          </w:p>
        </w:tc>
        <w:tc>
          <w:tcPr>
            <w:tcW w:w="9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408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 xml:space="preserve">Operating lease expense </w:t>
            </w:r>
            <w:r>
              <w:rPr>
                <w:rFonts w:ascii="Times New Roman" w:cs="Times New Roman" w:eastAsia="Times New Roman" w:hAnsi="Times New Roman"/>
                <w:sz w:val="20"/>
                <w:szCs w:val="20"/>
                <w:color w:val="auto"/>
                <w:vertAlign w:val="superscript"/>
              </w:rPr>
              <w:t>(1)</w:t>
            </w:r>
          </w:p>
        </w:tc>
        <w:tc>
          <w:tcPr>
            <w:tcW w:w="960" w:type="dxa"/>
            <w:vAlign w:val="bottom"/>
          </w:tcPr>
          <w:p>
            <w:pPr>
              <w:jc w:val="right"/>
              <w:ind w:right="8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2,583</w:t>
            </w:r>
          </w:p>
        </w:tc>
        <w:tc>
          <w:tcPr>
            <w:tcW w:w="1240" w:type="dxa"/>
            <w:vAlign w:val="bottom"/>
            <w:gridSpan w:val="2"/>
          </w:tcPr>
          <w:p>
            <w:pPr>
              <w:jc w:val="right"/>
              <w:ind w:right="8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1,841</w:t>
            </w:r>
          </w:p>
        </w:tc>
        <w:tc>
          <w:tcPr>
            <w:tcW w:w="880" w:type="dxa"/>
            <w:vAlign w:val="bottom"/>
          </w:tcPr>
          <w:p>
            <w:pPr>
              <w:jc w:val="right"/>
              <w:ind w:right="7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5,065</w:t>
            </w:r>
          </w:p>
        </w:tc>
        <w:tc>
          <w:tcPr>
            <w:tcW w:w="50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3,685</w:t>
            </w:r>
          </w:p>
        </w:tc>
      </w:tr>
      <w:tr>
        <w:trPr>
          <w:trHeight w:val="180"/>
        </w:trPr>
        <w:tc>
          <w:tcPr>
            <w:tcW w:w="40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Sublease income</w:t>
            </w:r>
          </w:p>
        </w:tc>
        <w:tc>
          <w:tcPr>
            <w:tcW w:w="96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0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Total lease expense</w:t>
            </w:r>
          </w:p>
        </w:tc>
        <w:tc>
          <w:tcPr>
            <w:tcW w:w="960" w:type="dxa"/>
            <w:vAlign w:val="bottom"/>
          </w:tcPr>
          <w:p>
            <w:pPr>
              <w:jc w:val="right"/>
              <w:ind w:right="8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2,583</w:t>
            </w:r>
          </w:p>
        </w:tc>
        <w:tc>
          <w:tcPr>
            <w:tcW w:w="1240" w:type="dxa"/>
            <w:vAlign w:val="bottom"/>
            <w:gridSpan w:val="2"/>
          </w:tcPr>
          <w:p>
            <w:pPr>
              <w:jc w:val="right"/>
              <w:ind w:right="802"/>
              <w:spacing w:after="0" w:line="16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6"/>
                <w:szCs w:val="16"/>
                <w:color w:val="auto"/>
              </w:rPr>
              <w:t>1,841</w:t>
            </w:r>
          </w:p>
        </w:tc>
        <w:tc>
          <w:tcPr>
            <w:tcW w:w="880" w:type="dxa"/>
            <w:vAlign w:val="bottom"/>
          </w:tcPr>
          <w:p>
            <w:pPr>
              <w:jc w:val="right"/>
              <w:ind w:right="7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6"/>
                <w:szCs w:val="16"/>
                <w:color w:val="auto"/>
              </w:rPr>
              <w:t>5,065</w:t>
            </w:r>
          </w:p>
        </w:tc>
        <w:tc>
          <w:tcPr>
            <w:tcW w:w="500" w:type="dxa"/>
            <w:vAlign w:val="bottom"/>
          </w:tcPr>
          <w:p>
            <w:pPr>
              <w:jc w:val="right"/>
              <w:ind w:right="3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3,685</w:t>
            </w:r>
          </w:p>
        </w:tc>
      </w:tr>
      <w:tr>
        <w:trPr>
          <w:trHeight w:val="20"/>
        </w:trPr>
        <w:tc>
          <w:tcPr>
            <w:tcW w:w="4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(1)Includes short-term leases and variable lease costs, which are immaterial.</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Information</w:t>
            </w:r>
          </w:p>
        </w:tc>
        <w:tc>
          <w:tcPr>
            <w:tcW w:w="9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r>
      <w:tr>
        <w:trPr>
          <w:trHeight w:val="167"/>
        </w:trPr>
        <w:tc>
          <w:tcPr>
            <w:tcW w:w="464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6"/>
                <w:szCs w:val="16"/>
                <w:color w:val="auto"/>
              </w:rPr>
              <w:t>Cash paid for amounts included in the</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3"/>
        </w:trPr>
        <w:tc>
          <w:tcPr>
            <w:tcW w:w="118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measurement of</w:t>
            </w:r>
          </w:p>
        </w:tc>
        <w:tc>
          <w:tcPr>
            <w:tcW w:w="3460" w:type="dxa"/>
            <w:vAlign w:val="bottom"/>
          </w:tcPr>
          <w:p>
            <w:pPr>
              <w:jc w:val="right"/>
              <w:ind w:right="2362"/>
              <w:spacing w:after="0"/>
              <w:rPr>
                <w:sz w:val="20"/>
                <w:szCs w:val="20"/>
                <w:color w:val="auto"/>
              </w:rPr>
            </w:pPr>
            <w:r>
              <w:rPr>
                <w:rFonts w:ascii="Times New Roman" w:cs="Times New Roman" w:eastAsia="Times New Roman" w:hAnsi="Times New Roman"/>
                <w:sz w:val="16"/>
                <w:szCs w:val="16"/>
                <w:color w:val="auto"/>
                <w:w w:val="99"/>
              </w:rPr>
              <w:t>lease liabilities:</w:t>
            </w: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67"/>
        </w:trPr>
        <w:tc>
          <w:tcPr>
            <w:tcW w:w="4640" w:type="dxa"/>
            <w:vAlign w:val="bottom"/>
            <w:gridSpan w:val="2"/>
            <w:shd w:val="clear" w:color="auto" w:fill="CFF0FC"/>
          </w:tcPr>
          <w:p>
            <w:pPr>
              <w:ind w:left="100"/>
              <w:spacing w:after="0" w:line="167" w:lineRule="exact"/>
              <w:rPr>
                <w:sz w:val="20"/>
                <w:szCs w:val="20"/>
                <w:color w:val="auto"/>
              </w:rPr>
            </w:pPr>
            <w:r>
              <w:rPr>
                <w:rFonts w:ascii="Times New Roman" w:cs="Times New Roman" w:eastAsia="Times New Roman" w:hAnsi="Times New Roman"/>
                <w:sz w:val="16"/>
                <w:szCs w:val="16"/>
                <w:color w:val="auto"/>
              </w:rPr>
              <w:t>Operating cash outflows from operating</w:t>
            </w:r>
          </w:p>
        </w:tc>
        <w:tc>
          <w:tcPr>
            <w:tcW w:w="9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93"/>
        </w:trPr>
        <w:tc>
          <w:tcPr>
            <w:tcW w:w="11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leases, net</w:t>
            </w:r>
          </w:p>
        </w:tc>
        <w:tc>
          <w:tcPr>
            <w:tcW w:w="3460" w:type="dxa"/>
            <w:vAlign w:val="bottom"/>
            <w:shd w:val="clear" w:color="auto" w:fill="CFF0FC"/>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2,528</w:t>
            </w:r>
          </w:p>
        </w:tc>
        <w:tc>
          <w:tcPr>
            <w:tcW w:w="640" w:type="dxa"/>
            <w:vAlign w:val="bottom"/>
            <w:shd w:val="clear" w:color="auto" w:fill="CFF0FC"/>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1,914</w:t>
            </w:r>
          </w:p>
        </w:tc>
        <w:tc>
          <w:tcPr>
            <w:tcW w:w="3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4,798</w:t>
            </w:r>
          </w:p>
        </w:tc>
        <w:tc>
          <w:tcPr>
            <w:tcW w:w="110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3,778</w:t>
            </w:r>
          </w:p>
        </w:tc>
      </w:tr>
      <w:tr>
        <w:trPr>
          <w:trHeight w:val="405"/>
        </w:trPr>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580" w:type="dxa"/>
            <w:vAlign w:val="bottom"/>
          </w:tcPr>
          <w:p>
            <w:pPr>
              <w:spacing w:after="0"/>
              <w:rPr>
                <w:sz w:val="24"/>
                <w:szCs w:val="24"/>
                <w:color w:val="auto"/>
              </w:rPr>
            </w:pPr>
          </w:p>
        </w:tc>
      </w:tr>
      <w:tr>
        <w:trPr>
          <w:trHeight w:val="195"/>
        </w:trPr>
        <w:tc>
          <w:tcPr>
            <w:tcW w:w="11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6"/>
                <w:szCs w:val="16"/>
                <w:color w:val="auto"/>
              </w:rPr>
            </w:pPr>
          </w:p>
        </w:tc>
      </w:tr>
      <w:tr>
        <w:trPr>
          <w:trHeight w:val="180"/>
        </w:trPr>
        <w:tc>
          <w:tcPr>
            <w:tcW w:w="464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9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r>
      <w:tr>
        <w:trPr>
          <w:trHeight w:val="167"/>
        </w:trPr>
        <w:tc>
          <w:tcPr>
            <w:tcW w:w="464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Weighted average remaining lease term</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3"/>
        </w:trPr>
        <w:tc>
          <w:tcPr>
            <w:tcW w:w="1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(years)</w:t>
            </w:r>
          </w:p>
        </w:tc>
        <w:tc>
          <w:tcPr>
            <w:tcW w:w="3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9.95</w:t>
            </w:r>
          </w:p>
        </w:tc>
        <w:tc>
          <w:tcPr>
            <w:tcW w:w="1100" w:type="dxa"/>
            <w:vAlign w:val="bottom"/>
          </w:tcPr>
          <w:p>
            <w:pPr>
              <w:spacing w:after="0"/>
              <w:rPr>
                <w:sz w:val="16"/>
                <w:szCs w:val="16"/>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9.99</w:t>
            </w:r>
          </w:p>
        </w:tc>
      </w:tr>
      <w:tr>
        <w:trPr>
          <w:trHeight w:val="180"/>
        </w:trPr>
        <w:tc>
          <w:tcPr>
            <w:tcW w:w="464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Weighted average discount rate</w:t>
            </w:r>
          </w:p>
        </w:tc>
        <w:tc>
          <w:tcPr>
            <w:tcW w:w="9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6.07%</w:t>
            </w:r>
          </w:p>
        </w:tc>
        <w:tc>
          <w:tcPr>
            <w:tcW w:w="1100" w:type="dxa"/>
            <w:vAlign w:val="bottom"/>
            <w:shd w:val="clear" w:color="auto" w:fill="CFF0FC"/>
          </w:tcPr>
          <w:p>
            <w:pPr>
              <w:spacing w:after="0"/>
              <w:rPr>
                <w:sz w:val="15"/>
                <w:szCs w:val="15"/>
                <w:color w:val="auto"/>
              </w:rPr>
            </w:pPr>
          </w:p>
        </w:tc>
        <w:tc>
          <w:tcPr>
            <w:tcW w:w="5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w w:val="91"/>
              </w:rPr>
              <w:t>5.95%</w:t>
            </w:r>
          </w:p>
        </w:tc>
      </w:tr>
      <w:tr>
        <w:trPr>
          <w:trHeight w:val="370"/>
        </w:trPr>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36</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854"/>
        </w:trPr>
        <w:tc>
          <w:tcPr>
            <w:tcW w:w="1180" w:type="dxa"/>
            <w:vAlign w:val="bottom"/>
            <w:tcBorders>
              <w:bottom w:val="single" w:sz="8" w:color="EEEEEE"/>
            </w:tcBorders>
          </w:tcPr>
          <w:p>
            <w:pPr>
              <w:spacing w:after="0"/>
              <w:rPr>
                <w:sz w:val="24"/>
                <w:szCs w:val="24"/>
                <w:color w:val="auto"/>
              </w:rPr>
            </w:pPr>
          </w:p>
        </w:tc>
        <w:tc>
          <w:tcPr>
            <w:tcW w:w="346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36" w:name="page37"/>
    <w:bookmarkEnd w:id="36"/>
    <w:p>
      <w:pPr>
        <w:ind w:firstLine="348"/>
        <w:spacing w:after="0" w:line="247" w:lineRule="auto"/>
        <w:rPr>
          <w:sz w:val="20"/>
          <w:szCs w:val="20"/>
          <w:color w:val="auto"/>
        </w:rPr>
      </w:pPr>
      <w:r>
        <w:rPr>
          <w:rFonts w:ascii="Times New Roman" w:cs="Times New Roman" w:eastAsia="Times New Roman" w:hAnsi="Times New Roman"/>
          <w:sz w:val="16"/>
          <w:szCs w:val="16"/>
          <w:color w:val="auto"/>
        </w:rPr>
        <w:t>The Company’s lease arrangements that have not yet commenced as of June 30, 2025 and the Company’s short-term lease costs and variable lease costs, for the six months ended June 30, 2025 and 2024 are not material to the consolidated financial statements. The future lease payments required for leases that have initial or remaining non-cancelable lease terms in excess of one year as of June 30, 2025, excluding property taxes and insurance,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195"/>
        </w:trPr>
        <w:tc>
          <w:tcPr>
            <w:tcW w:w="57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180"/>
        </w:trPr>
        <w:tc>
          <w:tcPr>
            <w:tcW w:w="5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Year:</w:t>
            </w:r>
          </w:p>
        </w:tc>
        <w:tc>
          <w:tcPr>
            <w:tcW w:w="2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5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2025 (excluding the six months ended June 30, 2025)</w:t>
            </w:r>
          </w:p>
        </w:tc>
        <w:tc>
          <w:tcPr>
            <w:tcW w:w="26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4,990</w:t>
            </w:r>
          </w:p>
        </w:tc>
      </w:tr>
      <w:tr>
        <w:trPr>
          <w:trHeight w:val="180"/>
        </w:trPr>
        <w:tc>
          <w:tcPr>
            <w:tcW w:w="5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2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9,163</w:t>
            </w:r>
          </w:p>
        </w:tc>
      </w:tr>
      <w:tr>
        <w:trPr>
          <w:trHeight w:val="180"/>
        </w:trPr>
        <w:tc>
          <w:tcPr>
            <w:tcW w:w="5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7,838</w:t>
            </w:r>
          </w:p>
        </w:tc>
      </w:tr>
      <w:tr>
        <w:trPr>
          <w:trHeight w:val="180"/>
        </w:trPr>
        <w:tc>
          <w:tcPr>
            <w:tcW w:w="5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2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6,039</w:t>
            </w:r>
          </w:p>
        </w:tc>
      </w:tr>
      <w:tr>
        <w:trPr>
          <w:trHeight w:val="180"/>
        </w:trPr>
        <w:tc>
          <w:tcPr>
            <w:tcW w:w="5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4,315</w:t>
            </w:r>
          </w:p>
        </w:tc>
      </w:tr>
      <w:tr>
        <w:trPr>
          <w:trHeight w:val="180"/>
        </w:trPr>
        <w:tc>
          <w:tcPr>
            <w:tcW w:w="5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2030</w:t>
            </w:r>
          </w:p>
        </w:tc>
        <w:tc>
          <w:tcPr>
            <w:tcW w:w="2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3,665</w:t>
            </w:r>
          </w:p>
        </w:tc>
      </w:tr>
      <w:tr>
        <w:trPr>
          <w:trHeight w:val="180"/>
        </w:trPr>
        <w:tc>
          <w:tcPr>
            <w:tcW w:w="5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29,190</w:t>
            </w:r>
          </w:p>
        </w:tc>
        <w:tc>
          <w:tcPr>
            <w:tcW w:w="80" w:type="dxa"/>
            <w:vAlign w:val="bottom"/>
          </w:tcPr>
          <w:p>
            <w:pPr>
              <w:spacing w:after="0"/>
              <w:rPr>
                <w:sz w:val="15"/>
                <w:szCs w:val="15"/>
                <w:color w:val="auto"/>
              </w:rPr>
            </w:pPr>
          </w:p>
        </w:tc>
      </w:tr>
      <w:tr>
        <w:trPr>
          <w:trHeight w:val="180"/>
        </w:trPr>
        <w:tc>
          <w:tcPr>
            <w:tcW w:w="57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future lease payments</w:t>
            </w:r>
          </w:p>
        </w:tc>
        <w:tc>
          <w:tcPr>
            <w:tcW w:w="2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65,200</w:t>
            </w:r>
          </w:p>
        </w:tc>
        <w:tc>
          <w:tcPr>
            <w:tcW w:w="80" w:type="dxa"/>
            <w:vAlign w:val="bottom"/>
            <w:shd w:val="clear" w:color="auto" w:fill="CFF0FC"/>
          </w:tcPr>
          <w:p>
            <w:pPr>
              <w:spacing w:after="0"/>
              <w:rPr>
                <w:sz w:val="15"/>
                <w:szCs w:val="15"/>
                <w:color w:val="auto"/>
              </w:rPr>
            </w:pPr>
          </w:p>
        </w:tc>
      </w:tr>
      <w:tr>
        <w:trPr>
          <w:trHeight w:val="180"/>
        </w:trPr>
        <w:tc>
          <w:tcPr>
            <w:tcW w:w="57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Less: Imputed interest</w:t>
            </w: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(18,774)</w:t>
            </w:r>
          </w:p>
        </w:tc>
      </w:tr>
      <w:tr>
        <w:trPr>
          <w:trHeight w:val="200"/>
        </w:trPr>
        <w:tc>
          <w:tcPr>
            <w:tcW w:w="57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Present value of lease liabilities</w:t>
            </w:r>
          </w:p>
        </w:tc>
        <w:tc>
          <w:tcPr>
            <w:tcW w:w="264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46,426</w:t>
            </w:r>
          </w:p>
        </w:tc>
        <w:tc>
          <w:tcPr>
            <w:tcW w:w="80" w:type="dxa"/>
            <w:vAlign w:val="bottom"/>
            <w:shd w:val="clear" w:color="auto" w:fill="CFF0FC"/>
          </w:tcPr>
          <w:p>
            <w:pPr>
              <w:spacing w:after="0"/>
              <w:rPr>
                <w:sz w:val="17"/>
                <w:szCs w:val="17"/>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REVENUE RECOGNITION</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presents noninterest income, segregated by revenue streams in-scope and out-of-scope of Topic 606,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760" w:type="dxa"/>
            <w:vAlign w:val="bottom"/>
            <w:gridSpan w:val="7"/>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6"/>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80"/>
        </w:trPr>
        <w:tc>
          <w:tcPr>
            <w:tcW w:w="4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4"/>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4"/>
          </w:tcPr>
          <w:p>
            <w:pPr>
              <w:jc w:val="right"/>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9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r>
      <w:tr>
        <w:trPr>
          <w:trHeight w:val="195"/>
        </w:trPr>
        <w:tc>
          <w:tcPr>
            <w:tcW w:w="4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6"/>
          </w:tcPr>
          <w:p>
            <w:pPr>
              <w:ind w:left="3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Noninterest income:</w:t>
            </w:r>
          </w:p>
        </w:tc>
        <w:tc>
          <w:tcPr>
            <w:tcW w:w="7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49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i w:val="1"/>
                <w:iCs w:val="1"/>
                <w:color w:val="auto"/>
              </w:rPr>
              <w:t>In-scope of Topic 606:</w:t>
            </w: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9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Service charges on deposit accounts</w:t>
            </w:r>
          </w:p>
        </w:tc>
        <w:tc>
          <w:tcPr>
            <w:tcW w:w="740" w:type="dxa"/>
            <w:vAlign w:val="bottom"/>
            <w:shd w:val="clear" w:color="auto" w:fill="CFF0FC"/>
          </w:tcPr>
          <w:p>
            <w:pPr>
              <w:jc w:val="right"/>
              <w:ind w:right="5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4,959</w:t>
            </w:r>
          </w:p>
        </w:tc>
        <w:tc>
          <w:tcPr>
            <w:tcW w:w="4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5,117</w:t>
            </w:r>
          </w:p>
        </w:tc>
        <w:tc>
          <w:tcPr>
            <w:tcW w:w="4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9,867</w:t>
            </w:r>
          </w:p>
        </w:tc>
        <w:tc>
          <w:tcPr>
            <w:tcW w:w="4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10,153</w:t>
            </w:r>
          </w:p>
        </w:tc>
        <w:tc>
          <w:tcPr>
            <w:tcW w:w="100" w:type="dxa"/>
            <w:vAlign w:val="bottom"/>
            <w:shd w:val="clear" w:color="auto" w:fill="CFF0FC"/>
          </w:tcPr>
          <w:p>
            <w:pPr>
              <w:spacing w:after="0"/>
              <w:rPr>
                <w:sz w:val="15"/>
                <w:szCs w:val="15"/>
                <w:color w:val="auto"/>
              </w:rPr>
            </w:pPr>
          </w:p>
        </w:tc>
      </w:tr>
      <w:tr>
        <w:trPr>
          <w:trHeight w:val="180"/>
        </w:trPr>
        <w:tc>
          <w:tcPr>
            <w:tcW w:w="49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Trust and investment services</w:t>
            </w:r>
          </w:p>
        </w:tc>
        <w:tc>
          <w:tcPr>
            <w:tcW w:w="740" w:type="dxa"/>
            <w:vAlign w:val="bottom"/>
          </w:tcPr>
          <w:p>
            <w:pPr>
              <w:spacing w:after="0"/>
              <w:rPr>
                <w:sz w:val="15"/>
                <w:szCs w:val="15"/>
                <w:color w:val="auto"/>
              </w:rPr>
            </w:pPr>
          </w:p>
        </w:tc>
        <w:tc>
          <w:tcPr>
            <w:tcW w:w="5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3,716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3,428</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7,127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6,652</w:t>
            </w:r>
          </w:p>
        </w:tc>
      </w:tr>
      <w:tr>
        <w:trPr>
          <w:trHeight w:val="180"/>
        </w:trPr>
        <w:tc>
          <w:tcPr>
            <w:tcW w:w="49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Bankcard services</w:t>
            </w:r>
          </w:p>
        </w:tc>
        <w:tc>
          <w:tcPr>
            <w:tcW w:w="7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647</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1,277</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755</w:t>
            </w:r>
          </w:p>
        </w:tc>
        <w:tc>
          <w:tcPr>
            <w:tcW w:w="100" w:type="dxa"/>
            <w:vAlign w:val="bottom"/>
            <w:shd w:val="clear" w:color="auto" w:fill="CFF0FC"/>
          </w:tcPr>
          <w:p>
            <w:pPr>
              <w:spacing w:after="0"/>
              <w:rPr>
                <w:sz w:val="15"/>
                <w:szCs w:val="15"/>
                <w:color w:val="auto"/>
              </w:rPr>
            </w:pPr>
          </w:p>
        </w:tc>
      </w:tr>
      <w:tr>
        <w:trPr>
          <w:trHeight w:val="180"/>
        </w:trPr>
        <w:tc>
          <w:tcPr>
            <w:tcW w:w="49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Gain on OREO, net</w:t>
            </w:r>
          </w:p>
        </w:tc>
        <w:tc>
          <w:tcPr>
            <w:tcW w:w="740" w:type="dxa"/>
            <w:vAlign w:val="bottom"/>
          </w:tcPr>
          <w:p>
            <w:pPr>
              <w:spacing w:after="0"/>
              <w:rPr>
                <w:sz w:val="15"/>
                <w:szCs w:val="15"/>
                <w:color w:val="auto"/>
              </w:rPr>
            </w:pPr>
          </w:p>
        </w:tc>
        <w:tc>
          <w:tcPr>
            <w:tcW w:w="5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2,183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7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2,194</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2,567</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4,460</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4,442</w:t>
            </w:r>
          </w:p>
        </w:tc>
      </w:tr>
      <w:tr>
        <w:trPr>
          <w:trHeight w:val="180"/>
        </w:trPr>
        <w:tc>
          <w:tcPr>
            <w:tcW w:w="49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Noninterest Income (in-scope of Topic 606)</w:t>
            </w:r>
          </w:p>
        </w:tc>
        <w:tc>
          <w:tcPr>
            <w:tcW w:w="74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0"/>
              </w:rPr>
              <w:t>11,516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11,482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24,914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22,002</w:t>
            </w:r>
          </w:p>
        </w:tc>
        <w:tc>
          <w:tcPr>
            <w:tcW w:w="100" w:type="dxa"/>
            <w:vAlign w:val="bottom"/>
          </w:tcPr>
          <w:p>
            <w:pPr>
              <w:spacing w:after="0"/>
              <w:rPr>
                <w:sz w:val="15"/>
                <w:szCs w:val="15"/>
                <w:color w:val="auto"/>
              </w:rPr>
            </w:pPr>
          </w:p>
        </w:tc>
      </w:tr>
      <w:tr>
        <w:trPr>
          <w:trHeight w:val="180"/>
        </w:trPr>
        <w:tc>
          <w:tcPr>
            <w:tcW w:w="49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Noninterest Income (out-of-scope of Topic 606)</w:t>
            </w:r>
          </w:p>
        </w:tc>
        <w:tc>
          <w:tcPr>
            <w:tcW w:w="7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3,228</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2,942</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6,059</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6,535</w:t>
            </w:r>
          </w:p>
        </w:tc>
      </w:tr>
      <w:tr>
        <w:trPr>
          <w:trHeight w:val="180"/>
        </w:trPr>
        <w:tc>
          <w:tcPr>
            <w:tcW w:w="492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740" w:type="dxa"/>
            <w:vAlign w:val="bottom"/>
          </w:tcPr>
          <w:p>
            <w:pPr>
              <w:jc w:val="right"/>
              <w:ind w:right="5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0"/>
              </w:rPr>
              <w:t>14,744</w:t>
            </w:r>
          </w:p>
        </w:tc>
        <w:tc>
          <w:tcPr>
            <w:tcW w:w="140" w:type="dxa"/>
            <w:vAlign w:val="bottom"/>
          </w:tcPr>
          <w:p>
            <w:pPr>
              <w:spacing w:after="0"/>
              <w:rPr>
                <w:sz w:val="15"/>
                <w:szCs w:val="15"/>
                <w:color w:val="auto"/>
              </w:rPr>
            </w:pPr>
          </w:p>
        </w:tc>
        <w:tc>
          <w:tcPr>
            <w:tcW w:w="4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14,424</w:t>
            </w:r>
          </w:p>
        </w:tc>
        <w:tc>
          <w:tcPr>
            <w:tcW w:w="140" w:type="dxa"/>
            <w:vAlign w:val="bottom"/>
          </w:tcPr>
          <w:p>
            <w:pPr>
              <w:spacing w:after="0"/>
              <w:rPr>
                <w:sz w:val="15"/>
                <w:szCs w:val="15"/>
                <w:color w:val="auto"/>
              </w:rPr>
            </w:pPr>
          </w:p>
        </w:tc>
        <w:tc>
          <w:tcPr>
            <w:tcW w:w="4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30,973</w:t>
            </w:r>
          </w:p>
        </w:tc>
        <w:tc>
          <w:tcPr>
            <w:tcW w:w="140" w:type="dxa"/>
            <w:vAlign w:val="bottom"/>
          </w:tcPr>
          <w:p>
            <w:pPr>
              <w:spacing w:after="0"/>
              <w:rPr>
                <w:sz w:val="15"/>
                <w:szCs w:val="15"/>
                <w:color w:val="auto"/>
              </w:rPr>
            </w:pPr>
          </w:p>
        </w:tc>
        <w:tc>
          <w:tcPr>
            <w:tcW w:w="4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28,537</w:t>
            </w:r>
          </w:p>
        </w:tc>
        <w:tc>
          <w:tcPr>
            <w:tcW w:w="100" w:type="dxa"/>
            <w:vAlign w:val="bottom"/>
          </w:tcPr>
          <w:p>
            <w:pPr>
              <w:spacing w:after="0"/>
              <w:rPr>
                <w:sz w:val="15"/>
                <w:szCs w:val="15"/>
                <w:color w:val="auto"/>
              </w:rPr>
            </w:pPr>
          </w:p>
        </w:tc>
      </w:tr>
      <w:tr>
        <w:trPr>
          <w:trHeight w:val="20"/>
        </w:trPr>
        <w:tc>
          <w:tcPr>
            <w:tcW w:w="4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ind w:right="300" w:firstLine="432"/>
        <w:spacing w:after="0" w:line="262" w:lineRule="auto"/>
        <w:rPr>
          <w:sz w:val="20"/>
          <w:szCs w:val="20"/>
          <w:color w:val="auto"/>
        </w:rPr>
      </w:pPr>
      <w:r>
        <w:rPr>
          <w:rFonts w:ascii="Times New Roman" w:cs="Times New Roman" w:eastAsia="Times New Roman" w:hAnsi="Times New Roman"/>
          <w:sz w:val="16"/>
          <w:szCs w:val="16"/>
          <w:color w:val="auto"/>
        </w:rPr>
        <w:t xml:space="preserve">Refer to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and Note 22 – </w:t>
      </w:r>
      <w:r>
        <w:rPr>
          <w:rFonts w:ascii="Times New Roman" w:cs="Times New Roman" w:eastAsia="Times New Roman" w:hAnsi="Times New Roman"/>
          <w:sz w:val="16"/>
          <w:szCs w:val="16"/>
          <w:i w:val="1"/>
          <w:iCs w:val="1"/>
          <w:color w:val="auto"/>
        </w:rPr>
        <w:t>Revenue Recognition,</w:t>
      </w:r>
      <w:r>
        <w:rPr>
          <w:rFonts w:ascii="Times New Roman" w:cs="Times New Roman" w:eastAsia="Times New Roman" w:hAnsi="Times New Roman"/>
          <w:sz w:val="16"/>
          <w:szCs w:val="16"/>
          <w:color w:val="auto"/>
        </w:rPr>
        <w:t xml:space="preserve"> included in our Annual Report on Form 10-K for the year ended December 31, 2024 for a more detailed discussion about noninterest revenue streams that are in-scope of Topic 606.</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37" w:name="page38"/>
    <w:bookmarkEnd w:id="37"/>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INCOME TAXES</w:t>
      </w:r>
    </w:p>
    <w:p>
      <w:pPr>
        <w:spacing w:after="0" w:line="178" w:lineRule="exact"/>
        <w:rPr>
          <w:sz w:val="20"/>
          <w:szCs w:val="20"/>
          <w:color w:val="auto"/>
        </w:rPr>
      </w:pPr>
    </w:p>
    <w:p>
      <w:pPr>
        <w:jc w:val="both"/>
        <w:ind w:right="160" w:firstLine="432"/>
        <w:spacing w:after="0" w:line="247" w:lineRule="auto"/>
        <w:rPr>
          <w:sz w:val="20"/>
          <w:szCs w:val="20"/>
          <w:color w:val="auto"/>
        </w:rPr>
      </w:pPr>
      <w:r>
        <w:rPr>
          <w:rFonts w:ascii="Times New Roman" w:cs="Times New Roman" w:eastAsia="Times New Roman" w:hAnsi="Times New Roman"/>
          <w:sz w:val="16"/>
          <w:szCs w:val="16"/>
          <w:color w:val="auto"/>
        </w:rPr>
        <w:t>The Company invests in low income housing tax credit and solar tax funds that are designed to generate a return primarily through the realization of federal tax credits. The Company accounts for these investments by amortizing the cost of tax credit investments over the life of the investment using a proportional amortization method and tax credit investment amortization expense is a component of the provision for income taxes.</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table presents the balances of the Company's tax credit investments and related unfunded commitments at June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99"/>
              </w:rPr>
              <w:t>(Dollars in thousands)</w:t>
            </w:r>
          </w:p>
        </w:tc>
        <w:tc>
          <w:tcPr>
            <w:tcW w:w="180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Tax credit investments</w:t>
            </w:r>
          </w:p>
        </w:tc>
        <w:tc>
          <w:tcPr>
            <w:tcW w:w="2980" w:type="dxa"/>
            <w:vAlign w:val="bottom"/>
            <w:shd w:val="clear" w:color="auto" w:fill="CFF0FC"/>
          </w:tcPr>
          <w:p>
            <w:pPr>
              <w:jc w:val="right"/>
              <w:ind w:right="15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105,018</w:t>
            </w:r>
          </w:p>
        </w:tc>
        <w:tc>
          <w:tcPr>
            <w:tcW w:w="58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57,264</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Unfunded commitments - tax credit investments</w:t>
            </w:r>
          </w:p>
        </w:tc>
        <w:tc>
          <w:tcPr>
            <w:tcW w:w="2980" w:type="dxa"/>
            <w:vAlign w:val="bottom"/>
          </w:tcPr>
          <w:p>
            <w:pPr>
              <w:spacing w:after="0"/>
              <w:rPr>
                <w:sz w:val="17"/>
                <w:szCs w:val="17"/>
                <w:color w:val="auto"/>
              </w:rPr>
            </w:pPr>
          </w:p>
        </w:tc>
        <w:tc>
          <w:tcPr>
            <w:tcW w:w="8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92,727</w:t>
            </w:r>
          </w:p>
        </w:tc>
        <w:tc>
          <w:tcPr>
            <w:tcW w:w="580" w:type="dxa"/>
            <w:vAlign w:val="bottom"/>
          </w:tcPr>
          <w:p>
            <w:pPr>
              <w:spacing w:after="0"/>
              <w:rPr>
                <w:sz w:val="17"/>
                <w:szCs w:val="17"/>
                <w:color w:val="auto"/>
              </w:rPr>
            </w:pPr>
          </w:p>
        </w:tc>
        <w:tc>
          <w:tcPr>
            <w:tcW w:w="1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45,809</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presents other information related to the Company's tax credit investments at June 30, 2025 and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40" w:type="dxa"/>
            <w:vAlign w:val="bottom"/>
          </w:tcPr>
          <w:p>
            <w:pPr>
              <w:spacing w:after="0"/>
              <w:rPr>
                <w:sz w:val="16"/>
                <w:szCs w:val="16"/>
                <w:color w:val="auto"/>
              </w:rPr>
            </w:pPr>
          </w:p>
        </w:tc>
        <w:tc>
          <w:tcPr>
            <w:tcW w:w="17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5"/>
        </w:trPr>
        <w:tc>
          <w:tcPr>
            <w:tcW w:w="5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580" w:type="dxa"/>
            <w:vAlign w:val="bottom"/>
            <w:gridSpan w:val="3"/>
          </w:tcPr>
          <w:p>
            <w:pPr>
              <w:ind w:left="9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180"/>
        </w:trPr>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136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ind w:left="940"/>
              <w:spacing w:after="0" w:line="180" w:lineRule="exact"/>
              <w:rPr>
                <w:sz w:val="20"/>
                <w:szCs w:val="20"/>
                <w:color w:val="auto"/>
              </w:rPr>
            </w:pPr>
            <w:r>
              <w:rPr>
                <w:rFonts w:ascii="Times New Roman" w:cs="Times New Roman" w:eastAsia="Times New Roman" w:hAnsi="Times New Roman"/>
                <w:sz w:val="16"/>
                <w:szCs w:val="16"/>
                <w:color w:val="auto"/>
              </w:rPr>
              <w:t>39,540</w:t>
            </w:r>
          </w:p>
        </w:tc>
        <w:tc>
          <w:tcPr>
            <w:tcW w:w="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21,257</w:t>
            </w:r>
          </w:p>
        </w:tc>
      </w:tr>
      <w:tr>
        <w:trPr>
          <w:trHeight w:val="20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Tax credit amortization expense included in provision for income taxes</w:t>
            </w:r>
          </w:p>
        </w:tc>
        <w:tc>
          <w:tcPr>
            <w:tcW w:w="1360" w:type="dxa"/>
            <w:vAlign w:val="bottom"/>
          </w:tcPr>
          <w:p>
            <w:pPr>
              <w:spacing w:after="0"/>
              <w:rPr>
                <w:sz w:val="17"/>
                <w:szCs w:val="17"/>
                <w:color w:val="auto"/>
              </w:rPr>
            </w:pPr>
          </w:p>
        </w:tc>
        <w:tc>
          <w:tcPr>
            <w:tcW w:w="15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34,424</w:t>
            </w:r>
          </w:p>
        </w:tc>
        <w:tc>
          <w:tcPr>
            <w:tcW w:w="340" w:type="dxa"/>
            <w:vAlign w:val="bottom"/>
          </w:tcPr>
          <w:p>
            <w:pPr>
              <w:spacing w:after="0"/>
              <w:rPr>
                <w:sz w:val="17"/>
                <w:szCs w:val="17"/>
                <w:color w:val="auto"/>
              </w:rPr>
            </w:pPr>
          </w:p>
        </w:tc>
        <w:tc>
          <w:tcPr>
            <w:tcW w:w="1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17,421</w:t>
            </w:r>
          </w:p>
        </w:tc>
      </w:tr>
    </w:tbl>
    <w:p>
      <w:pPr>
        <w:spacing w:after="0" w:line="144" w:lineRule="exact"/>
        <w:rPr>
          <w:sz w:val="20"/>
          <w:szCs w:val="20"/>
          <w:color w:val="auto"/>
        </w:rPr>
      </w:pPr>
    </w:p>
    <w:p>
      <w:pPr>
        <w:ind w:right="140" w:firstLine="696"/>
        <w:spacing w:after="0" w:line="241" w:lineRule="auto"/>
        <w:rPr>
          <w:sz w:val="20"/>
          <w:szCs w:val="20"/>
          <w:color w:val="auto"/>
        </w:rPr>
      </w:pPr>
      <w:r>
        <w:rPr>
          <w:rFonts w:ascii="Times New Roman" w:cs="Times New Roman" w:eastAsia="Times New Roman" w:hAnsi="Times New Roman"/>
          <w:sz w:val="16"/>
          <w:szCs w:val="16"/>
          <w:color w:val="auto"/>
        </w:rPr>
        <w:t>On June 27, 2025, California Senate Bill 132 ("SB 132") was passed and signed into law by Governor Newsom. Effective for taxable years beginning on or after January 1, 2025, SB 132 amends California Revenue and Tax Code ("CRTC") to require financial institutions to apportion income using the single sales factor formula. Prior to this change, businesses were required by CRTC Section 25128 (b) to use an evenly weighted three-factor apportionment formula contemplating a payroll factor, property and sales factor. The impact on the Company's tax expense as of June 30, 2025 is not material. The Company will continue to evaluate the impact of this bill on its deferred tax assets and liabilities.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SUBSEQUENT EVENTS</w:t>
      </w:r>
    </w:p>
    <w:p>
      <w:pPr>
        <w:spacing w:after="0" w:line="178" w:lineRule="exact"/>
        <w:rPr>
          <w:sz w:val="20"/>
          <w:szCs w:val="20"/>
          <w:color w:val="auto"/>
        </w:rPr>
      </w:pPr>
    </w:p>
    <w:p>
      <w:pPr>
        <w:ind w:right="180" w:firstLine="432"/>
        <w:spacing w:after="0" w:line="259" w:lineRule="auto"/>
        <w:rPr>
          <w:sz w:val="20"/>
          <w:szCs w:val="20"/>
          <w:color w:val="auto"/>
        </w:rPr>
      </w:pPr>
      <w:r>
        <w:rPr>
          <w:rFonts w:ascii="Times New Roman" w:cs="Times New Roman" w:eastAsia="Times New Roman" w:hAnsi="Times New Roman"/>
          <w:sz w:val="16"/>
          <w:szCs w:val="16"/>
          <w:color w:val="auto"/>
        </w:rPr>
        <w:t>Subsequent to the quarter ended June 30, 2025, CBB entered into a settlement agreement in a lawsuit in which CBB was plaintiff involving allegations of trade secrets misappropriation which will result in the Bank's receipt of payments totaling $6 million from the defendant.</w:t>
      </w:r>
    </w:p>
    <w:p>
      <w:pPr>
        <w:spacing w:after="0" w:line="143" w:lineRule="exact"/>
        <w:rPr>
          <w:sz w:val="20"/>
          <w:szCs w:val="20"/>
          <w:color w:val="auto"/>
        </w:rPr>
      </w:pPr>
    </w:p>
    <w:p>
      <w:pPr>
        <w:ind w:right="40" w:firstLine="432"/>
        <w:spacing w:after="0" w:line="242" w:lineRule="auto"/>
        <w:rPr>
          <w:sz w:val="20"/>
          <w:szCs w:val="20"/>
          <w:color w:val="auto"/>
        </w:rPr>
      </w:pPr>
      <w:r>
        <w:rPr>
          <w:rFonts w:ascii="Times New Roman" w:cs="Times New Roman" w:eastAsia="Times New Roman" w:hAnsi="Times New Roman"/>
          <w:sz w:val="16"/>
          <w:szCs w:val="16"/>
          <w:color w:val="auto"/>
        </w:rPr>
        <w:t>In addition, subsequent to entering into the settlement agreement, the Company decided to sell and has completed the sale of available-for-sale investment securities with a total carrying value of approximately $50 million, with book yields below 1.5%. The security sales transactions resulted in a net realized pre-tax loss of approximately $6 million, which will be reflected in the Company's third quarter financial results.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 w:name="page39"/>
    <w:bookmarkEnd w:id="38"/>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78" w:lineRule="exact"/>
        <w:rPr>
          <w:sz w:val="20"/>
          <w:szCs w:val="20"/>
          <w:color w:val="auto"/>
        </w:rPr>
      </w:pPr>
    </w:p>
    <w:p>
      <w:pPr>
        <w:ind w:left="80" w:right="60" w:firstLine="432"/>
        <w:spacing w:after="0" w:line="284" w:lineRule="auto"/>
        <w:rPr>
          <w:sz w:val="20"/>
          <w:szCs w:val="20"/>
          <w:color w:val="auto"/>
        </w:rPr>
      </w:pPr>
      <w:r>
        <w:rPr>
          <w:rFonts w:ascii="Times New Roman" w:cs="Times New Roman" w:eastAsia="Times New Roman" w:hAnsi="Times New Roman"/>
          <w:sz w:val="14"/>
          <w:szCs w:val="14"/>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2024 and the unaudited condensed consolidated financial statements and accompanying notes presented elsewhere in this report.</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166" w:lineRule="exact"/>
        <w:rPr>
          <w:sz w:val="20"/>
          <w:szCs w:val="20"/>
          <w:color w:val="auto"/>
        </w:rPr>
      </w:pPr>
    </w:p>
    <w:p>
      <w:pPr>
        <w:ind w:left="80" w:right="80" w:firstLine="432"/>
        <w:spacing w:after="0" w:line="241" w:lineRule="auto"/>
        <w:rPr>
          <w:sz w:val="20"/>
          <w:szCs w:val="20"/>
          <w:color w:val="auto"/>
        </w:rPr>
      </w:pPr>
      <w:r>
        <w:rPr>
          <w:rFonts w:ascii="Times New Roman" w:cs="Times New Roman" w:eastAsia="Times New Roman" w:hAnsi="Times New Roman"/>
          <w:sz w:val="16"/>
          <w:szCs w:val="16"/>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45" w:lineRule="exact"/>
        <w:rPr>
          <w:sz w:val="20"/>
          <w:szCs w:val="20"/>
          <w:color w:val="auto"/>
        </w:rPr>
      </w:pPr>
    </w:p>
    <w:p>
      <w:pPr>
        <w:ind w:left="80" w:firstLine="432"/>
        <w:spacing w:after="0" w:line="241" w:lineRule="auto"/>
        <w:rPr>
          <w:sz w:val="20"/>
          <w:szCs w:val="20"/>
          <w:color w:val="auto"/>
        </w:rPr>
      </w:pPr>
      <w:r>
        <w:rPr>
          <w:rFonts w:ascii="Times New Roman" w:cs="Times New Roman" w:eastAsia="Times New Roman" w:hAnsi="Times New Roman"/>
          <w:sz w:val="16"/>
          <w:szCs w:val="16"/>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•Allowance for Credit Losses (“ACL”)</w:t>
      </w: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•Business Combinations</w:t>
      </w:r>
    </w:p>
    <w:p>
      <w:pPr>
        <w:ind w:left="620"/>
        <w:spacing w:after="0"/>
        <w:rPr>
          <w:sz w:val="20"/>
          <w:szCs w:val="20"/>
          <w:color w:val="auto"/>
        </w:rPr>
      </w:pPr>
      <w:r>
        <w:rPr>
          <w:rFonts w:ascii="Times New Roman" w:cs="Times New Roman" w:eastAsia="Times New Roman" w:hAnsi="Times New Roman"/>
          <w:sz w:val="16"/>
          <w:szCs w:val="16"/>
          <w:color w:val="auto"/>
        </w:rPr>
        <w:t>•Valuation and Recoverability of Goodwill</w:t>
      </w:r>
    </w:p>
    <w:p>
      <w:pPr>
        <w:spacing w:after="0" w:line="146" w:lineRule="exact"/>
        <w:rPr>
          <w:sz w:val="20"/>
          <w:szCs w:val="20"/>
          <w:color w:val="auto"/>
        </w:rPr>
      </w:pPr>
    </w:p>
    <w:p>
      <w:pPr>
        <w:ind w:left="80" w:right="20" w:firstLine="432"/>
        <w:spacing w:after="0" w:line="243" w:lineRule="auto"/>
        <w:rPr>
          <w:sz w:val="20"/>
          <w:szCs w:val="20"/>
          <w:color w:val="auto"/>
        </w:rPr>
      </w:pPr>
      <w:r>
        <w:rPr>
          <w:rFonts w:ascii="Times New Roman" w:cs="Times New Roman" w:eastAsia="Times New Roman" w:hAnsi="Times New Roman"/>
          <w:sz w:val="16"/>
          <w:szCs w:val="16"/>
          <w:color w:val="auto"/>
        </w:rPr>
        <w:t>Our significant accounting policies are described in greater detail in our 2024 Annual Report on Form 10-K in the “Critical Accounting Policies” section of Management’s Discussion and Analysis of Financial Condition and Results of Operations and in Note 3 – Summary of Significant Accounting Policies, included in our Annual Report on Form 10-K for the year ended December 31, 2024, which are essential to understanding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534035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580" w:top="1419" w:right="7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 but Not Adopted as of June 30,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90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Adoption</w:t>
            </w: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8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Standard</w:t>
            </w:r>
          </w:p>
        </w:tc>
        <w:tc>
          <w:tcPr>
            <w:tcW w:w="4440" w:type="dxa"/>
            <w:vAlign w:val="bottom"/>
          </w:tcPr>
          <w:p>
            <w:pPr>
              <w:ind w:left="19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90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Timing</w:t>
            </w:r>
          </w:p>
        </w:tc>
        <w:tc>
          <w:tcPr>
            <w:tcW w:w="328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Impact on Financial Statements</w:t>
            </w:r>
          </w:p>
        </w:tc>
        <w:tc>
          <w:tcPr>
            <w:tcW w:w="0" w:type="dxa"/>
            <w:vAlign w:val="bottom"/>
          </w:tcPr>
          <w:p>
            <w:pPr>
              <w:spacing w:after="0"/>
              <w:rPr>
                <w:sz w:val="1"/>
                <w:szCs w:val="1"/>
                <w:color w:val="auto"/>
              </w:rPr>
            </w:pPr>
          </w:p>
        </w:tc>
      </w:tr>
      <w:tr>
        <w:trPr>
          <w:trHeight w:val="156"/>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ASU 2023-09 Income Taxes</w:t>
            </w:r>
          </w:p>
        </w:tc>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On December 14, 2023, the FASB issued ASU 2023-09 Income Taxes (Topic</w:t>
            </w:r>
          </w:p>
        </w:tc>
        <w:tc>
          <w:tcPr>
            <w:tcW w:w="41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December 31,  The adoption of this ASU is not expected to have a material</w:t>
            </w:r>
          </w:p>
        </w:tc>
        <w:tc>
          <w:tcPr>
            <w:tcW w:w="0" w:type="dxa"/>
            <w:vAlign w:val="bottom"/>
          </w:tcPr>
          <w:p>
            <w:pPr>
              <w:spacing w:after="0"/>
              <w:rPr>
                <w:sz w:val="1"/>
                <w:szCs w:val="1"/>
                <w:color w:val="auto"/>
              </w:rPr>
            </w:pPr>
          </w:p>
        </w:tc>
      </w:tr>
      <w:tr>
        <w:trPr>
          <w:trHeight w:val="156"/>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(Topic 740): Improvements to</w:t>
            </w:r>
          </w:p>
        </w:tc>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740) - Improvements to Income Tax Disclosures. This ASU enhances annual</w:t>
            </w:r>
          </w:p>
        </w:tc>
        <w:tc>
          <w:tcPr>
            <w:tcW w:w="9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w w:val="99"/>
              </w:rPr>
              <w:t>2025</w:t>
            </w:r>
          </w:p>
        </w:tc>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impact on our consolidated financial statements.</w:t>
            </w:r>
          </w:p>
        </w:tc>
        <w:tc>
          <w:tcPr>
            <w:tcW w:w="0" w:type="dxa"/>
            <w:vAlign w:val="bottom"/>
          </w:tcPr>
          <w:p>
            <w:pPr>
              <w:spacing w:after="0"/>
              <w:rPr>
                <w:sz w:val="1"/>
                <w:szCs w:val="1"/>
                <w:color w:val="auto"/>
              </w:rPr>
            </w:pPr>
          </w:p>
        </w:tc>
      </w:tr>
      <w:tr>
        <w:trPr>
          <w:trHeight w:val="156"/>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Income Tax Disclosures</w:t>
            </w:r>
          </w:p>
        </w:tc>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 disclosures to address investor requests for more detailed</w:t>
            </w:r>
          </w:p>
        </w:tc>
        <w:tc>
          <w:tcPr>
            <w:tcW w:w="9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8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Issued December 2023</w:t>
            </w:r>
          </w:p>
        </w:tc>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information about tax risks and improved transparency of income tax</w:t>
            </w:r>
          </w:p>
        </w:tc>
        <w:tc>
          <w:tcPr>
            <w:tcW w:w="9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80" w:type="dxa"/>
            <w:vAlign w:val="bottom"/>
            <w:vMerge w:val="continue"/>
          </w:tcPr>
          <w:p>
            <w:pPr>
              <w:spacing w:after="0"/>
              <w:rPr>
                <w:sz w:val="13"/>
                <w:szCs w:val="13"/>
                <w:color w:val="auto"/>
              </w:rPr>
            </w:pPr>
          </w:p>
        </w:tc>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disclosures. The two primary enhancements disaggregate existing income tax</w:t>
            </w:r>
          </w:p>
        </w:tc>
        <w:tc>
          <w:tcPr>
            <w:tcW w:w="9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disclosures related to the effective tax rate reconciliation and information on</w:t>
            </w:r>
          </w:p>
        </w:tc>
        <w:tc>
          <w:tcPr>
            <w:tcW w:w="9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taxes paid disaggregated by jurisdiction. This ASU is effective for</w:t>
            </w:r>
          </w:p>
        </w:tc>
        <w:tc>
          <w:tcPr>
            <w:tcW w:w="9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annual reporting periods beginning after December 15, 2024 and are to be</w:t>
            </w:r>
          </w:p>
        </w:tc>
        <w:tc>
          <w:tcPr>
            <w:tcW w:w="9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80" w:type="dxa"/>
            <w:vAlign w:val="bottom"/>
          </w:tcPr>
          <w:p>
            <w:pPr>
              <w:spacing w:after="0"/>
              <w:rPr>
                <w:sz w:val="14"/>
                <w:szCs w:val="14"/>
                <w:color w:val="auto"/>
              </w:rPr>
            </w:pPr>
          </w:p>
        </w:tc>
        <w:tc>
          <w:tcPr>
            <w:tcW w:w="4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applied on a prospective basis; early adoption is permitted.</w:t>
            </w:r>
          </w:p>
        </w:tc>
        <w:tc>
          <w:tcPr>
            <w:tcW w:w="9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10400"/>
          </w:cols>
          <w:pgMar w:left="660" w:top="1417" w:right="840" w:bottom="1440" w:gutter="0" w:footer="0" w:header="0"/>
        </w:sectPr>
      </w:pPr>
    </w:p>
    <w:p>
      <w:pPr>
        <w:spacing w:after="0" w:line="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ASU 2024-03, Income Statement —Reporting Comprehensive Income—Expense Disaggregation Disclosures (Subtopic 220-40):</w:t>
      </w:r>
    </w:p>
    <w:p>
      <w:pPr>
        <w:ind w:right="440"/>
        <w:spacing w:after="0" w:line="263" w:lineRule="auto"/>
        <w:rPr>
          <w:sz w:val="20"/>
          <w:szCs w:val="20"/>
          <w:color w:val="auto"/>
        </w:rPr>
      </w:pPr>
      <w:r>
        <w:rPr>
          <w:rFonts w:ascii="Times New Roman" w:cs="Times New Roman" w:eastAsia="Times New Roman" w:hAnsi="Times New Roman"/>
          <w:sz w:val="13"/>
          <w:szCs w:val="13"/>
          <w:color w:val="auto"/>
        </w:rPr>
        <w:t>Disaggregation of Income Statement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Issued November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ASU 2025-01, Income Statement —Reporting Comprehensive Income—Expense Disaggregation Disclosures (Subtopic 220-40): Clarifying the Effective Date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Issued January 2025</w:t>
      </w:r>
    </w:p>
    <w:p>
      <w:pPr>
        <w:spacing w:after="0" w:line="165"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3"/>
          <w:szCs w:val="13"/>
          <w:color w:val="auto"/>
        </w:rPr>
        <w:t>ASU 2025-04, Compensation— Stock Compensation (Topic 718) and Revenue from Contracts with Customers (Topic 606):</w:t>
      </w:r>
    </w:p>
    <w:p>
      <w:pPr>
        <w:ind w:right="260"/>
        <w:spacing w:after="0" w:line="257" w:lineRule="auto"/>
        <w:rPr>
          <w:sz w:val="20"/>
          <w:szCs w:val="20"/>
          <w:color w:val="auto"/>
        </w:rPr>
      </w:pPr>
      <w:r>
        <w:rPr>
          <w:rFonts w:ascii="Times New Roman" w:cs="Times New Roman" w:eastAsia="Times New Roman" w:hAnsi="Times New Roman"/>
          <w:sz w:val="13"/>
          <w:szCs w:val="13"/>
          <w:color w:val="auto"/>
        </w:rPr>
        <w:t>Clarifications to Share-Based Consideration Payable to a Customer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Issued May 2025</w:t>
      </w:r>
    </w:p>
    <w:p>
      <w:pPr>
        <w:spacing w:after="0" w:line="16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3"/>
          <w:szCs w:val="13"/>
          <w:color w:val="auto"/>
        </w:rPr>
        <w:t>ASU 2025-03, Business Combinations (Topic 805) and Consolidation (Topic 810):</w:t>
      </w:r>
    </w:p>
    <w:p>
      <w:pPr>
        <w:ind w:right="140"/>
        <w:spacing w:after="0" w:line="257" w:lineRule="auto"/>
        <w:rPr>
          <w:sz w:val="20"/>
          <w:szCs w:val="20"/>
          <w:color w:val="auto"/>
        </w:rPr>
      </w:pPr>
      <w:r>
        <w:rPr>
          <w:rFonts w:ascii="Times New Roman" w:cs="Times New Roman" w:eastAsia="Times New Roman" w:hAnsi="Times New Roman"/>
          <w:sz w:val="13"/>
          <w:szCs w:val="13"/>
          <w:color w:val="auto"/>
        </w:rPr>
        <w:t>Determining the Accounting Acquirer in the Acquisition of a Variable Interest Entity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Issued May 2025</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On November 4, 2024, the FASB issued ASU 2024-03, Income Statement -</w:t>
            </w: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December 31,  The adoption of this ASU is not expected to have a material</w:t>
            </w: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Reporting Comprehensive Income - Expense Disaggregation Disclosures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3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impact on our consolidated financial statements.</w:t>
            </w: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(Subtopic 220-40 Disaggregation of Income Statement Expenses. This ASU</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requires disaggregated disclosure of income statement expenses for public</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business entities. This ASU does not change the expense captions an entity</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presents on the face of the income statement; rather, it requires disaggregation of</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certain expense captions into specified categories in disclosures in tabular format</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within the footnotes to the financial statements. The prescribed categories</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include employee compensation, depreciation, and intangible asset amortization.</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This ASU is effective for annual reporting periods beginning after December 15,</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2026, and interim periods within fiscal years beginning in 2028. This ASU is to</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be applied on a prospective basis, though early adoption and retrospective</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72"/>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application are permitted.</w:t>
            </w:r>
          </w:p>
        </w:tc>
        <w:tc>
          <w:tcPr>
            <w:tcW w:w="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453"/>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On January 06, 2025, the FASB issued ASU 2025-01, which amends the</w:t>
            </w: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See ASU</w:t>
            </w:r>
          </w:p>
        </w:tc>
        <w:tc>
          <w:tcPr>
            <w:tcW w:w="3300" w:type="dxa"/>
            <w:vAlign w:val="bottom"/>
          </w:tcPr>
          <w:p>
            <w:pPr>
              <w:spacing w:after="0"/>
              <w:rPr>
                <w:sz w:val="24"/>
                <w:szCs w:val="24"/>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effective date of ASU 2024-03 to clarify that all public business entities are</w:t>
            </w:r>
          </w:p>
        </w:tc>
        <w:tc>
          <w:tcPr>
            <w:tcW w:w="8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2024-03</w:t>
            </w: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required to adopt the guidance in annual periods after December 15, 2026, and</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72"/>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interim periods in fiscal years beginning after December 15, 2027.</w:t>
            </w:r>
          </w:p>
        </w:tc>
        <w:tc>
          <w:tcPr>
            <w:tcW w:w="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765"/>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On May 15, 2025, the FASB issued ASU 2025-04, which revises the definition</w:t>
            </w: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December 31,  The adoption of this ASU is not expected to have a material</w:t>
            </w: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of performance condition for share-based consideration payable to a customer,</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3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impact on our consolidated financial statements.</w:t>
            </w: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eliminates the forfeiture policy election for awards granted to customers (unless</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granted in exchange for a distinct good or service), and clarifies applicability of</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the variable consideration constraint.</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This ASU is effective for all entities for annual and interim periods in fiscal</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years beginning after December 15, 2026. Early adoption is permitted for all</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72"/>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entities.</w:t>
            </w:r>
          </w:p>
        </w:tc>
        <w:tc>
          <w:tcPr>
            <w:tcW w:w="80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453"/>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On May 12, 2025, the FASB issued ASU 2025-03, which clarifies the</w:t>
            </w: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December 31,  The adoption of this ASU is not expected to have a material</w:t>
            </w: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accounting acquirer determination in acquisitions where the legal acquiree is a</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3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impact on our consolidated financial statements.</w:t>
            </w: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VIE.</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This ASU is effective for all entities for annual and interim periods in fiscal</w:t>
            </w:r>
          </w:p>
        </w:tc>
        <w:tc>
          <w:tcPr>
            <w:tcW w:w="80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72"/>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years beginning after December 15, 2026. Early adoption is permitted.</w:t>
            </w:r>
          </w:p>
        </w:tc>
        <w:tc>
          <w:tcPr>
            <w:tcW w:w="800" w:type="dxa"/>
            <w:vAlign w:val="bottom"/>
          </w:tcPr>
          <w:p>
            <w:pPr>
              <w:spacing w:after="0"/>
              <w:rPr>
                <w:sz w:val="14"/>
                <w:szCs w:val="14"/>
                <w:color w:val="auto"/>
              </w:rPr>
            </w:pPr>
          </w:p>
        </w:tc>
        <w:tc>
          <w:tcPr>
            <w:tcW w:w="33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534035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1820" w:space="140"/>
            <w:col w:w="8440"/>
          </w:cols>
          <w:pgMar w:left="660" w:top="1417" w:right="840" w:bottom="1440" w:gutter="0" w:footer="0" w:header="0"/>
          <w:type w:val="continuous"/>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78"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6"/>
          <w:szCs w:val="16"/>
          <w:color w:val="auto"/>
        </w:rPr>
        <w:t>For the second quarter of 2025, we reported net earnings of $50.6 million, compared with $51.1 million for the first quarter of 2025 and $50.0 million for the second quarter of 2024. Diluted earnings per share were $0.37 for the second quarter, compared to $0.36 for the prior quarter and $0.36 for the same period last year. Net income of $50.6 million for the second quarter of 2025 produced an annualized return on average equity (“ROAE”) of 9.06%, an annualized return on average tangible common equity (“ROATCE”) of 14.08%, and an annualized return on average assets (“ROAA”) of 1.34%. Our net interest margin, tax equivalent (“NIM”), was 3.31% for the second quarter of 2025, while our efficiency ratio was 45.55%. Year-to-date net earnings for 2025 were $101.7 million, a $3.0 million increase compared to the same period in 2024.</w:t>
      </w:r>
    </w:p>
    <w:p>
      <w:pPr>
        <w:spacing w:after="0" w:line="161"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6"/>
          <w:szCs w:val="16"/>
          <w:color w:val="auto"/>
        </w:rPr>
        <w:t>Net interest income was $111.6 million for the second quarter of 2025. This represented a $1.2 million, or 1.05%, increase from the first quarter of 2025, and an $0.8 million, or 0.68%, increase from the second quarter of 2024. The quarter-over-quarter increase in net interest income was due to a $ 1.2 million increase in interest income, primarily due to one more day of interest during the second quarter. The increase in net interest income compared to the second quarter of 2024 was the net result of a $ 15.6 million decline in interest expense, that exceeded a $14.9 million decline in interest income. As a result of the Company's deleveraging strategy in the second half of 2024, net interest income increased compared to the second quarter of 2024 as a 26 basis point increase in net interest margin offset a $1.1 billion decrease in earnings assets. Year-to-date net interest income for 2025 was $222.1 million, a $1.3 million decrease compared to the same period in 2024.</w:t>
      </w:r>
    </w:p>
    <w:p>
      <w:pPr>
        <w:spacing w:after="0" w:line="161" w:lineRule="exact"/>
        <w:rPr>
          <w:sz w:val="20"/>
          <w:szCs w:val="20"/>
          <w:color w:val="auto"/>
        </w:rPr>
      </w:pPr>
    </w:p>
    <w:p>
      <w:pPr>
        <w:jc w:val="both"/>
        <w:ind w:right="40" w:firstLine="432"/>
        <w:spacing w:after="0" w:line="243" w:lineRule="auto"/>
        <w:rPr>
          <w:sz w:val="20"/>
          <w:szCs w:val="20"/>
          <w:color w:val="auto"/>
        </w:rPr>
      </w:pPr>
      <w:r>
        <w:rPr>
          <w:rFonts w:ascii="Times New Roman" w:cs="Times New Roman" w:eastAsia="Times New Roman" w:hAnsi="Times New Roman"/>
          <w:sz w:val="16"/>
          <w:szCs w:val="16"/>
          <w:color w:val="auto"/>
        </w:rPr>
        <w:t>Noninterest income was $14.7 million for the second quarter of 2025, compared with $16.2 million for the first quarter of 2025 and $ 14.4 million for the second quarter of 2024. The quarter -over-quarter decrease was primarily due to a $2.2 million gain on the sale of four OREO properties recognized in the first quarter of 2025. Excluding the OREO gains, noninterest income grew by approximately $700,000, including a $ 397,000 increase of income from Bank Owned Life Insurance (“BOLI”). Noninterest income for the first six months of 2025 was $31.0 million, a $2.4 million, or 8.54% increase over the same period in 2024.</w:t>
      </w:r>
    </w:p>
    <w:p>
      <w:pPr>
        <w:spacing w:after="0" w:line="155" w:lineRule="exact"/>
        <w:rPr>
          <w:sz w:val="20"/>
          <w:szCs w:val="20"/>
          <w:color w:val="auto"/>
        </w:rPr>
      </w:pPr>
    </w:p>
    <w:p>
      <w:pPr>
        <w:ind w:right="20" w:firstLine="432"/>
        <w:spacing w:after="0" w:line="243" w:lineRule="auto"/>
        <w:rPr>
          <w:sz w:val="20"/>
          <w:szCs w:val="20"/>
          <w:color w:val="auto"/>
        </w:rPr>
      </w:pPr>
      <w:r>
        <w:rPr>
          <w:rFonts w:ascii="Times New Roman" w:cs="Times New Roman" w:eastAsia="Times New Roman" w:hAnsi="Times New Roman"/>
          <w:sz w:val="16"/>
          <w:szCs w:val="16"/>
          <w:color w:val="auto"/>
        </w:rPr>
        <w:t>As set forth in our financial statements under the heading "Subsequent Events", subsequent to the quarter ended June 30, 2025, the Company entered into a settlement agreement in a lawsuit, which will result in the Bank's receipt of payments from the defendant and recognition of noninterest income of $6 million in the third quarter of 2025. Also, subsequent to entering into the legal settlement agreement, the Company sold, at a pre-tax loss of $6 million, available-for-sale investment securities, with book yields below 1.5%, totaling approximately $50 million.</w:t>
      </w:r>
    </w:p>
    <w:p>
      <w:pPr>
        <w:spacing w:after="0" w:line="155" w:lineRule="exact"/>
        <w:rPr>
          <w:sz w:val="20"/>
          <w:szCs w:val="20"/>
          <w:color w:val="auto"/>
        </w:rPr>
      </w:pPr>
    </w:p>
    <w:p>
      <w:pPr>
        <w:ind w:right="180" w:firstLine="432"/>
        <w:spacing w:after="0" w:line="284" w:lineRule="auto"/>
        <w:rPr>
          <w:sz w:val="20"/>
          <w:szCs w:val="20"/>
          <w:color w:val="auto"/>
        </w:rPr>
      </w:pPr>
      <w:r>
        <w:rPr>
          <w:rFonts w:ascii="Times New Roman" w:cs="Times New Roman" w:eastAsia="Times New Roman" w:hAnsi="Times New Roman"/>
          <w:sz w:val="14"/>
          <w:szCs w:val="14"/>
          <w:color w:val="auto"/>
        </w:rPr>
        <w:t>Noninterest expense for the second quarter of 2025 was $57.6 million, compared to $59.1 million for the first quarter of 2025 and $56.5 million for the second quarter of 2024. The $1.5 million quarter-over-quarter decrease was primarily due to a $500,000 provision for unfunded loan commitments in the first quarter of 2025 and a $1.5 million decrease in salaries and benefits. The $1.1 million increase in expense compared to the second quarter of 2024, was due primarily to the impact of a $500,000 expense reduction in the second quarter of 2024 related to a decrease in reserves for unfunded loan commitments, in addition to a $603,000 increase in regulatory assessment expenses. Noninterest expense for the first six months of 2025 was $116.7 million, a $433,000, or .37% increase over the same period in 2024.</w:t>
      </w:r>
    </w:p>
    <w:p>
      <w:pPr>
        <w:spacing w:after="0" w:line="128" w:lineRule="exact"/>
        <w:rPr>
          <w:sz w:val="20"/>
          <w:szCs w:val="20"/>
          <w:color w:val="auto"/>
        </w:rPr>
      </w:pPr>
    </w:p>
    <w:p>
      <w:pPr>
        <w:ind w:right="140" w:firstLine="432"/>
        <w:spacing w:after="0" w:line="243" w:lineRule="auto"/>
        <w:rPr>
          <w:sz w:val="20"/>
          <w:szCs w:val="20"/>
          <w:color w:val="auto"/>
        </w:rPr>
      </w:pPr>
      <w:r>
        <w:rPr>
          <w:rFonts w:ascii="Times New Roman" w:cs="Times New Roman" w:eastAsia="Times New Roman" w:hAnsi="Times New Roman"/>
          <w:sz w:val="16"/>
          <w:szCs w:val="16"/>
          <w:color w:val="auto"/>
        </w:rPr>
        <w:t>At June 30, 2025, total assets of $ 15.41 billion increased by $260.5 million, or 1.72%, from total assets of $15.15 billion at December 31, 2024. Interest-earning assets of $13.74 billion at June 30, 2025 increased by $217.1 million, or 1.60%, when compared with $13.53 billion at December 31, 2024. The increase in interest-earning assets was primarily due to a $492.8 million increase in interest- earning balances due from the Federal Reserve and a $10.5 million increase in interest-earning balances due from other institutions, offset by a $177.9 million decrease in total loans, and a $108.2 million decrease in investment securities.</w:t>
      </w:r>
    </w:p>
    <w:p>
      <w:pPr>
        <w:spacing w:after="0" w:line="155" w:lineRule="exact"/>
        <w:rPr>
          <w:sz w:val="20"/>
          <w:szCs w:val="20"/>
          <w:color w:val="auto"/>
        </w:rPr>
      </w:pPr>
    </w:p>
    <w:p>
      <w:pPr>
        <w:ind w:right="220" w:firstLine="432"/>
        <w:spacing w:after="0" w:line="284" w:lineRule="auto"/>
        <w:rPr>
          <w:sz w:val="20"/>
          <w:szCs w:val="20"/>
          <w:color w:val="auto"/>
        </w:rPr>
      </w:pPr>
      <w:r>
        <w:rPr>
          <w:rFonts w:ascii="Times New Roman" w:cs="Times New Roman" w:eastAsia="Times New Roman" w:hAnsi="Times New Roman"/>
          <w:sz w:val="14"/>
          <w:szCs w:val="14"/>
          <w:color w:val="auto"/>
        </w:rPr>
        <w:t>Total investment securities were $4.81 billion at June 30, 2025, a decrease of $108.2 million, or 2.20%, from $4.92 billion at December 31, 2024. At June 30, 2025, investment securities held-to-maturity (“HTM”) totaled $2.33 billion, a $52.4 million, or 2.20%, decline from $2.38 billion at December 31, 2024. At June 30, 2025, investment securities available-for-sale (“AFS”) totaled $2.49 billion, inclusive of a pre- tax net unrealized loss of $363.7 million. AFS securities decreased by $55.8 million, or 2.20%, from $2.54 billion at December 31, 2024. The pre-tax unrealized loss decreased by $84 million from December 31, 2024. Our tax equivalent yield on investments was 2.62% for the quarter ended June 30, 2025, compared to 2.63% for the first quarter of 2025 and 2.71% for the second quarter of 2024.</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9" w:right="660" w:bottom="1440" w:gutter="0" w:footer="0" w:header="0"/>
        </w:sectPr>
      </w:pPr>
    </w:p>
    <w:bookmarkStart w:id="41" w:name="page42"/>
    <w:bookmarkEnd w:id="41"/>
    <w:p>
      <w:pPr>
        <w:ind w:right="40" w:firstLine="432"/>
        <w:spacing w:after="0" w:line="241" w:lineRule="auto"/>
        <w:rPr>
          <w:sz w:val="20"/>
          <w:szCs w:val="20"/>
          <w:color w:val="auto"/>
        </w:rPr>
      </w:pPr>
      <w:r>
        <w:rPr>
          <w:rFonts w:ascii="Times New Roman" w:cs="Times New Roman" w:eastAsia="Times New Roman" w:hAnsi="Times New Roman"/>
          <w:sz w:val="16"/>
          <w:szCs w:val="16"/>
          <w:color w:val="auto"/>
        </w:rPr>
        <w:t>Total loans and leases, at amortized cost, of $8.36 billion at June 30, 2025, decreased by $ 177.9 million, or 2.08%, from December 31, 2024. The decrease in total loans included decreases of $186.0 million in dairy and livestock loans and $12.8 million in commercial and industrial loans, offset by increases of $19.3 million in SFR mortgage loans and $10.0 million in commercial real estate loans. The decline in dairy &amp; livestock loans primarily relates to the seasonal peak in line utilization at the end of every calendar year, demonstrated by a decline in utilization from 81% at December 31, 2024 to 62% at June 30, 2025. Our yield on loans was 5.22% for the quarter ended June 30, 2025, compared to 5.22% for the quarter ended March 31, 2025 and 5.26% for the second quarter of 2024.</w:t>
      </w:r>
    </w:p>
    <w:p>
      <w:pPr>
        <w:spacing w:after="0" w:line="157" w:lineRule="exact"/>
        <w:rPr>
          <w:sz w:val="20"/>
          <w:szCs w:val="20"/>
          <w:color w:val="auto"/>
        </w:rPr>
      </w:pPr>
    </w:p>
    <w:p>
      <w:pPr>
        <w:ind w:firstLine="432"/>
        <w:spacing w:after="0" w:line="247" w:lineRule="auto"/>
        <w:rPr>
          <w:sz w:val="20"/>
          <w:szCs w:val="20"/>
          <w:color w:val="auto"/>
        </w:rPr>
      </w:pPr>
      <w:r>
        <w:rPr>
          <w:rFonts w:ascii="Times New Roman" w:cs="Times New Roman" w:eastAsia="Times New Roman" w:hAnsi="Times New Roman"/>
          <w:sz w:val="16"/>
          <w:szCs w:val="16"/>
          <w:color w:val="auto"/>
        </w:rPr>
        <w:t>The allowance for credit losses totaled $78.0 million at June 30, 2025, compared to $80.1 million at December 31, 2024. There was no provision for credit losses in the second quarter of 2025 compared to a $2.0 million recapture of credit losses in the first quarter of 2025. The decline in the allowance from December 31, 2024 was due to improved credit ratings for dairy and livestock loans.</w:t>
      </w:r>
    </w:p>
    <w:p>
      <w:pPr>
        <w:spacing w:after="0" w:line="152" w:lineRule="exact"/>
        <w:rPr>
          <w:sz w:val="20"/>
          <w:szCs w:val="20"/>
          <w:color w:val="auto"/>
        </w:rPr>
      </w:pPr>
    </w:p>
    <w:p>
      <w:pPr>
        <w:ind w:right="420" w:firstLine="432"/>
        <w:spacing w:after="0" w:line="259" w:lineRule="auto"/>
        <w:rPr>
          <w:sz w:val="20"/>
          <w:szCs w:val="20"/>
          <w:color w:val="auto"/>
        </w:rPr>
      </w:pPr>
      <w:r>
        <w:rPr>
          <w:rFonts w:ascii="Times New Roman" w:cs="Times New Roman" w:eastAsia="Times New Roman" w:hAnsi="Times New Roman"/>
          <w:sz w:val="16"/>
          <w:szCs w:val="16"/>
          <w:color w:val="auto"/>
        </w:rPr>
        <w:t>Noninterest-bearing deposits were $7.25 billion at June 30, 2025, an increase of $210.0 million, or 2.98%, when compared to $7.04 billion at December 31, 2024. At June 30, 2025, noninterest-bearing deposits were 60.47% of total deposits, compared to 58.90% at December 31, 2024.</w:t>
      </w:r>
    </w:p>
    <w:p>
      <w:pPr>
        <w:spacing w:after="0" w:line="143" w:lineRule="exact"/>
        <w:rPr>
          <w:sz w:val="20"/>
          <w:szCs w:val="20"/>
          <w:color w:val="auto"/>
        </w:rPr>
      </w:pPr>
    </w:p>
    <w:p>
      <w:pPr>
        <w:ind w:right="340" w:firstLine="432"/>
        <w:spacing w:after="0" w:line="247" w:lineRule="auto"/>
        <w:rPr>
          <w:sz w:val="20"/>
          <w:szCs w:val="20"/>
          <w:color w:val="auto"/>
        </w:rPr>
      </w:pPr>
      <w:r>
        <w:rPr>
          <w:rFonts w:ascii="Times New Roman" w:cs="Times New Roman" w:eastAsia="Times New Roman" w:hAnsi="Times New Roman"/>
          <w:sz w:val="16"/>
          <w:szCs w:val="16"/>
          <w:color w:val="auto"/>
        </w:rPr>
        <w:t>Interest-bearing deposits were $4.74 billion at June 30, 2025, a decrease of $173.6 million, or 3.53%, when compared to $4.91 billion at December 31, 2024. Customer repurchase agreements totaled $404.2 million at June 30, 2025, compared to $261.9 million at December 31, 2024. Our average cost of total deposits including customer repurchase agreements was 0.87% for the quarters ended June 30, 2025, March 31, 2025, and June 30, 2024.</w:t>
      </w:r>
    </w:p>
    <w:p>
      <w:pPr>
        <w:spacing w:after="0" w:line="152" w:lineRule="exact"/>
        <w:rPr>
          <w:sz w:val="20"/>
          <w:szCs w:val="20"/>
          <w:color w:val="auto"/>
        </w:rPr>
      </w:pPr>
    </w:p>
    <w:p>
      <w:pPr>
        <w:ind w:right="400" w:firstLine="432"/>
        <w:spacing w:after="0" w:line="259" w:lineRule="auto"/>
        <w:rPr>
          <w:sz w:val="20"/>
          <w:szCs w:val="20"/>
          <w:color w:val="auto"/>
        </w:rPr>
      </w:pPr>
      <w:r>
        <w:rPr>
          <w:rFonts w:ascii="Times New Roman" w:cs="Times New Roman" w:eastAsia="Times New Roman" w:hAnsi="Times New Roman"/>
          <w:sz w:val="16"/>
          <w:szCs w:val="16"/>
          <w:color w:val="auto"/>
        </w:rPr>
        <w:t>At June 30, 2025, total borrowings, consisted of $500.0 million of FHLB advances, at a weighted average cost of approximately 4.6%. The FHLB advances include maturities of $300 million in May 2026 and $200 million in May 2027.</w:t>
      </w:r>
    </w:p>
    <w:p>
      <w:pPr>
        <w:spacing w:after="0" w:line="143" w:lineRule="exact"/>
        <w:rPr>
          <w:sz w:val="20"/>
          <w:szCs w:val="20"/>
          <w:color w:val="auto"/>
        </w:rPr>
      </w:pPr>
    </w:p>
    <w:p>
      <w:pPr>
        <w:ind w:right="40" w:firstLine="432"/>
        <w:spacing w:after="0" w:line="243" w:lineRule="auto"/>
        <w:rPr>
          <w:sz w:val="20"/>
          <w:szCs w:val="20"/>
          <w:color w:val="auto"/>
        </w:rPr>
      </w:pPr>
      <w:r>
        <w:rPr>
          <w:rFonts w:ascii="Times New Roman" w:cs="Times New Roman" w:eastAsia="Times New Roman" w:hAnsi="Times New Roman"/>
          <w:sz w:val="16"/>
          <w:szCs w:val="16"/>
          <w:color w:val="auto"/>
        </w:rPr>
        <w:t>The Company’s total equity was $2.24 billion at June 30, 2025. This represented an overall increase of $ 54.0 million from total equity of $2.19 billion at December 31, 2024. Increases to equity included $101.7 million in net earnings and a $43.9 million increase in other comprehensive income that were partially offset by $55.6 million in cash dividends. During the first half of 2025, we repurchased, under our stock repurchase plan, 2,063,564 shares at an average price of $18.15, totaling $37.5 million. Our tangible book value per share at June 30, 2025 was $10.64.</w:t>
      </w:r>
    </w:p>
    <w:p>
      <w:pPr>
        <w:spacing w:after="0" w:line="155" w:lineRule="exact"/>
        <w:rPr>
          <w:sz w:val="20"/>
          <w:szCs w:val="20"/>
          <w:color w:val="auto"/>
        </w:rPr>
      </w:pPr>
    </w:p>
    <w:p>
      <w:pPr>
        <w:ind w:right="240" w:firstLine="432"/>
        <w:spacing w:after="0" w:line="242" w:lineRule="auto"/>
        <w:rPr>
          <w:sz w:val="20"/>
          <w:szCs w:val="20"/>
          <w:color w:val="auto"/>
        </w:rPr>
      </w:pPr>
      <w:r>
        <w:rPr>
          <w:rFonts w:ascii="Times New Roman" w:cs="Times New Roman" w:eastAsia="Times New Roman" w:hAnsi="Times New Roman"/>
          <w:sz w:val="16"/>
          <w:szCs w:val="16"/>
          <w:color w:val="auto"/>
        </w:rPr>
        <w:t xml:space="preserve">Our capital ratios under the revised capital framework referred to as Basel III remain well-above regulatory requirements. As of June 30, 2025, the Company’s Tier 1 leverage capital ratio was 11.84%, common equity Tier 1 ratio was 16.52%, Tier 1 risk-based capital ratio was 16.52%, and total risk-based capital ratio was 17.33%. Refer to our </w:t>
      </w:r>
      <w:r>
        <w:rPr>
          <w:rFonts w:ascii="Times New Roman" w:cs="Times New Roman" w:eastAsia="Times New Roman" w:hAnsi="Times New Roman"/>
          <w:sz w:val="16"/>
          <w:szCs w:val="16"/>
          <w:i w:val="1"/>
          <w:iCs w:val="1"/>
          <w:color w:val="auto"/>
        </w:rPr>
        <w:t>Analysis of Financial Condition – Capital Resources</w:t>
      </w:r>
      <w:r>
        <w:rPr>
          <w:rFonts w:ascii="Times New Roman" w:cs="Times New Roman" w:eastAsia="Times New Roman" w:hAnsi="Times New Roman"/>
          <w:sz w:val="16"/>
          <w:szCs w:val="16"/>
          <w:color w:val="auto"/>
        </w:rPr>
        <w:t>.</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1" w:right="66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ANALYSIS OF THE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Performance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4"/>
                <w:szCs w:val="14"/>
                <w:color w:val="auto"/>
              </w:rPr>
            </w:pPr>
          </w:p>
        </w:tc>
        <w:tc>
          <w:tcPr>
            <w:tcW w:w="8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0" w:type="dxa"/>
            <w:vAlign w:val="bottom"/>
            <w:gridSpan w:val="10"/>
          </w:tcPr>
          <w:p>
            <w:pPr>
              <w:jc w:val="right"/>
              <w:ind w:right="6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111,608</w:t>
            </w:r>
          </w:p>
        </w:tc>
        <w:tc>
          <w:tcPr>
            <w:tcW w:w="2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110,444</w:t>
            </w:r>
          </w:p>
        </w:tc>
        <w:tc>
          <w:tcPr>
            <w:tcW w:w="2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Recapture of (provision for) credit losses</w:t>
            </w:r>
          </w:p>
        </w:tc>
        <w:tc>
          <w:tcPr>
            <w:tcW w:w="26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(2,000)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14,744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16,229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4"/>
                <w:szCs w:val="14"/>
                <w:color w:val="auto"/>
              </w:rPr>
              <w:t>(1,485)</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26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(57,557)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(59,144)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(18,231)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(18,425)</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rPr>
              <w:t>Net earnings</w:t>
            </w:r>
          </w:p>
        </w:tc>
        <w:tc>
          <w:tcPr>
            <w:tcW w:w="260" w:type="dxa"/>
            <w:vAlign w:val="bottom"/>
          </w:tcPr>
          <w:p>
            <w:pPr>
              <w:jc w:val="right"/>
              <w:ind w:right="10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50,564</w:t>
            </w:r>
          </w:p>
        </w:tc>
        <w:tc>
          <w:tcPr>
            <w:tcW w:w="200" w:type="dxa"/>
            <w:vAlign w:val="bottom"/>
          </w:tcPr>
          <w:p>
            <w:pPr>
              <w:spacing w:after="0"/>
              <w:rPr>
                <w:sz w:val="14"/>
                <w:szCs w:val="14"/>
                <w:color w:val="auto"/>
              </w:rPr>
            </w:pPr>
          </w:p>
        </w:tc>
        <w:tc>
          <w:tcPr>
            <w:tcW w:w="28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51,104</w:t>
            </w:r>
          </w:p>
        </w:tc>
        <w:tc>
          <w:tcPr>
            <w:tcW w:w="200" w:type="dxa"/>
            <w:vAlign w:val="bottom"/>
          </w:tcPr>
          <w:p>
            <w:pPr>
              <w:spacing w:after="0"/>
              <w:rPr>
                <w:sz w:val="14"/>
                <w:szCs w:val="14"/>
                <w:color w:val="auto"/>
              </w:rPr>
            </w:pPr>
          </w:p>
        </w:tc>
        <w:tc>
          <w:tcPr>
            <w:tcW w:w="36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540"/>
              <w:spacing w:after="0" w:line="148" w:lineRule="exact"/>
              <w:rPr>
                <w:sz w:val="20"/>
                <w:szCs w:val="20"/>
                <w:color w:val="auto"/>
              </w:rPr>
            </w:pPr>
            <w:r>
              <w:rPr>
                <w:rFonts w:ascii="Times New Roman" w:cs="Times New Roman" w:eastAsia="Times New Roman" w:hAnsi="Times New Roman"/>
                <w:sz w:val="14"/>
                <w:szCs w:val="14"/>
                <w:color w:val="auto"/>
              </w:rPr>
              <w:t>(540)</w:t>
            </w: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Earnings per common share:</w:t>
            </w:r>
          </w:p>
        </w:tc>
        <w:tc>
          <w:tcPr>
            <w:tcW w:w="2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0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0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(0.01)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2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w:t>
            </w:r>
          </w:p>
        </w:tc>
        <w:tc>
          <w:tcPr>
            <w:tcW w:w="26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-0.03%</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Return on average shareholders' equity</w:t>
            </w:r>
          </w:p>
        </w:tc>
        <w:tc>
          <w:tcPr>
            <w:tcW w:w="2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-0.25%</w:t>
            </w: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26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46.69%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-1.14%</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Noninterest expense to average assets</w:t>
            </w:r>
          </w:p>
        </w:tc>
        <w:tc>
          <w:tcPr>
            <w:tcW w:w="2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-0.06%</w:t>
            </w: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4"/>
                <w:szCs w:val="14"/>
                <w:color w:val="auto"/>
              </w:rPr>
            </w:pPr>
          </w:p>
        </w:tc>
        <w:tc>
          <w:tcPr>
            <w:tcW w:w="8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540" w:type="dxa"/>
            <w:vAlign w:val="bottom"/>
            <w:gridSpan w:val="10"/>
          </w:tcPr>
          <w:p>
            <w:pPr>
              <w:jc w:val="right"/>
              <w:ind w:right="6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111,608</w:t>
            </w:r>
          </w:p>
        </w:tc>
        <w:tc>
          <w:tcPr>
            <w:tcW w:w="2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110,849</w:t>
            </w:r>
          </w:p>
        </w:tc>
        <w:tc>
          <w:tcPr>
            <w:tcW w:w="2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Recapture of (provision for) credit losses</w:t>
            </w:r>
          </w:p>
        </w:tc>
        <w:tc>
          <w:tcPr>
            <w:tcW w:w="32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14,744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14,424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3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(57,557)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(56,497)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(1,060)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(18,231)</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(18,741)</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rPr>
              <w:t>Net earnings</w:t>
            </w:r>
          </w:p>
        </w:tc>
        <w:tc>
          <w:tcPr>
            <w:tcW w:w="320" w:type="dxa"/>
            <w:vAlign w:val="bottom"/>
          </w:tcPr>
          <w:p>
            <w:pPr>
              <w:jc w:val="right"/>
              <w:ind w:right="16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50,564</w:t>
            </w:r>
          </w:p>
        </w:tc>
        <w:tc>
          <w:tcPr>
            <w:tcW w:w="200" w:type="dxa"/>
            <w:vAlign w:val="bottom"/>
          </w:tcPr>
          <w:p>
            <w:pPr>
              <w:spacing w:after="0"/>
              <w:rPr>
                <w:sz w:val="14"/>
                <w:szCs w:val="14"/>
                <w:color w:val="auto"/>
              </w:rPr>
            </w:pPr>
          </w:p>
        </w:tc>
        <w:tc>
          <w:tcPr>
            <w:tcW w:w="540" w:type="dxa"/>
            <w:vAlign w:val="bottom"/>
            <w:gridSpan w:val="2"/>
          </w:tcPr>
          <w:p>
            <w:pPr>
              <w:jc w:val="right"/>
              <w:ind w:right="3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50,035</w:t>
            </w:r>
          </w:p>
        </w:tc>
        <w:tc>
          <w:tcPr>
            <w:tcW w:w="200" w:type="dxa"/>
            <w:vAlign w:val="bottom"/>
          </w:tcPr>
          <w:p>
            <w:pPr>
              <w:spacing w:after="0"/>
              <w:rPr>
                <w:sz w:val="14"/>
                <w:szCs w:val="14"/>
                <w:color w:val="auto"/>
              </w:rPr>
            </w:pPr>
          </w:p>
        </w:tc>
        <w:tc>
          <w:tcPr>
            <w:tcW w:w="36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529</w:t>
            </w:r>
          </w:p>
        </w:tc>
        <w:tc>
          <w:tcPr>
            <w:tcW w:w="580" w:type="dxa"/>
            <w:vAlign w:val="bottom"/>
          </w:tcPr>
          <w:p>
            <w:pPr>
              <w:spacing w:after="0"/>
              <w:rPr>
                <w:sz w:val="14"/>
                <w:szCs w:val="14"/>
                <w:color w:val="auto"/>
              </w:rPr>
            </w:pP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Earnings per common share:</w:t>
            </w: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00" w:type="dxa"/>
            <w:vAlign w:val="bottom"/>
          </w:tcPr>
          <w:p>
            <w:pPr>
              <w:spacing w:after="0"/>
              <w:rPr>
                <w:sz w:val="14"/>
                <w:szCs w:val="14"/>
                <w:color w:val="auto"/>
              </w:rPr>
            </w:pP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20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2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w:t>
            </w:r>
          </w:p>
        </w:tc>
        <w:tc>
          <w:tcPr>
            <w:tcW w:w="32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0.10%</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Return on average shareholders' equity</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9.57%</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-0.51%</w:t>
            </w: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32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45.55%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0.45%</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Noninterest expense to average assets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0.12%</w:t>
            </w: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4"/>
                <w:szCs w:val="14"/>
                <w:color w:val="auto"/>
              </w:rPr>
            </w:pPr>
          </w:p>
        </w:tc>
        <w:tc>
          <w:tcPr>
            <w:tcW w:w="8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540" w:type="dxa"/>
            <w:vAlign w:val="bottom"/>
            <w:gridSpan w:val="10"/>
          </w:tcPr>
          <w:p>
            <w:pPr>
              <w:jc w:val="right"/>
              <w:ind w:right="6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222,052</w:t>
            </w:r>
          </w:p>
        </w:tc>
        <w:tc>
          <w:tcPr>
            <w:tcW w:w="2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223,310</w:t>
            </w:r>
          </w:p>
        </w:tc>
        <w:tc>
          <w:tcPr>
            <w:tcW w:w="2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4"/>
                <w:szCs w:val="14"/>
                <w:color w:val="auto"/>
              </w:rPr>
              <w:t>(1,258)</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Recapture of (provision for) credit losses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30,973</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28,537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3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(116,701)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(116,268)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(433)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(36,656)</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(36,945)</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rPr>
              <w:t>Net earnings</w:t>
            </w:r>
          </w:p>
        </w:tc>
        <w:tc>
          <w:tcPr>
            <w:tcW w:w="320" w:type="dxa"/>
            <w:vAlign w:val="bottom"/>
          </w:tcPr>
          <w:p>
            <w:pPr>
              <w:jc w:val="right"/>
              <w:ind w:right="16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101,668</w:t>
            </w:r>
          </w:p>
        </w:tc>
        <w:tc>
          <w:tcPr>
            <w:tcW w:w="200" w:type="dxa"/>
            <w:vAlign w:val="bottom"/>
          </w:tcPr>
          <w:p>
            <w:pPr>
              <w:spacing w:after="0"/>
              <w:rPr>
                <w:sz w:val="14"/>
                <w:szCs w:val="14"/>
                <w:color w:val="auto"/>
              </w:rPr>
            </w:pPr>
          </w:p>
        </w:tc>
        <w:tc>
          <w:tcPr>
            <w:tcW w:w="500" w:type="dxa"/>
            <w:vAlign w:val="bottom"/>
            <w:gridSpan w:val="2"/>
          </w:tcPr>
          <w:p>
            <w:pPr>
              <w:jc w:val="right"/>
              <w:ind w:right="3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98,634</w:t>
            </w:r>
          </w:p>
        </w:tc>
        <w:tc>
          <w:tcPr>
            <w:tcW w:w="200" w:type="dxa"/>
            <w:vAlign w:val="bottom"/>
          </w:tcPr>
          <w:p>
            <w:pPr>
              <w:spacing w:after="0"/>
              <w:rPr>
                <w:sz w:val="14"/>
                <w:szCs w:val="14"/>
                <w:color w:val="auto"/>
              </w:rPr>
            </w:pPr>
          </w:p>
        </w:tc>
        <w:tc>
          <w:tcPr>
            <w:tcW w:w="36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3,034</w:t>
            </w:r>
          </w:p>
        </w:tc>
        <w:tc>
          <w:tcPr>
            <w:tcW w:w="580" w:type="dxa"/>
            <w:vAlign w:val="bottom"/>
          </w:tcPr>
          <w:p>
            <w:pPr>
              <w:spacing w:after="0"/>
              <w:rPr>
                <w:sz w:val="14"/>
                <w:szCs w:val="14"/>
                <w:color w:val="auto"/>
              </w:rPr>
            </w:pP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Earnings per common share:</w:t>
            </w: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200" w:type="dxa"/>
            <w:vAlign w:val="bottom"/>
          </w:tcPr>
          <w:p>
            <w:pPr>
              <w:spacing w:after="0"/>
              <w:rPr>
                <w:sz w:val="14"/>
                <w:szCs w:val="14"/>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20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2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2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w:t>
            </w:r>
          </w:p>
        </w:tc>
        <w:tc>
          <w:tcPr>
            <w:tcW w:w="32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0.13%</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Return on average shareholders' equity</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-0.26%</w:t>
            </w: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32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46.12%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-0.05%</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Noninterest expense to average assets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0.11%</w:t>
            </w: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i w:val="1"/>
          <w:iCs w:val="1"/>
          <w:color w:val="auto"/>
        </w:rPr>
        <w:t>Return on Average Tangible Common Equity Reconciliation (Non-GAAP)</w:t>
      </w:r>
    </w:p>
    <w:p>
      <w:pPr>
        <w:spacing w:after="0" w:line="180" w:lineRule="exact"/>
        <w:rPr>
          <w:sz w:val="20"/>
          <w:szCs w:val="20"/>
          <w:color w:val="auto"/>
        </w:rPr>
      </w:pPr>
    </w:p>
    <w:p>
      <w:pPr>
        <w:ind w:right="160" w:firstLine="432"/>
        <w:spacing w:after="0" w:line="243" w:lineRule="auto"/>
        <w:rPr>
          <w:sz w:val="20"/>
          <w:szCs w:val="20"/>
          <w:color w:val="auto"/>
        </w:rPr>
      </w:pPr>
      <w:r>
        <w:rPr>
          <w:rFonts w:ascii="Times New Roman" w:cs="Times New Roman" w:eastAsia="Times New Roman" w:hAnsi="Times New Roman"/>
          <w:sz w:val="16"/>
          <w:szCs w:val="16"/>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gridSpan w:val="5"/>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7"/>
          </w:tcPr>
          <w:p>
            <w:pPr>
              <w:ind w:left="42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0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50,564</w:t>
            </w: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51,104</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50,035</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101,668</w:t>
            </w:r>
          </w:p>
        </w:tc>
        <w:tc>
          <w:tcPr>
            <w:tcW w:w="16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98,634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Add: Amortization of intangible assets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3"/>
                <w:szCs w:val="13"/>
                <w:color w:val="auto"/>
              </w:rPr>
              <w:t xml:space="preserve">Less: Tax effect of amortization of intangible assets </w:t>
            </w:r>
            <w:r>
              <w:rPr>
                <w:rFonts w:ascii="Times New Roman" w:cs="Times New Roman" w:eastAsia="Times New Roman" w:hAnsi="Times New Roman"/>
                <w:sz w:val="16"/>
                <w:szCs w:val="16"/>
                <w:color w:val="auto"/>
                <w:vertAlign w:val="superscript"/>
              </w:rPr>
              <w:t>(1)</w:t>
            </w: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(341)</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(341)</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(425)</w:t>
            </w: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(683)</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Tangible net income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51,378</w:t>
            </w:r>
          </w:p>
        </w:tc>
        <w:tc>
          <w:tcPr>
            <w:tcW w:w="18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74"/>
              <w:spacing w:after="0" w:line="136" w:lineRule="exact"/>
              <w:rPr>
                <w:sz w:val="20"/>
                <w:szCs w:val="20"/>
                <w:color w:val="auto"/>
              </w:rPr>
            </w:pPr>
            <w:r>
              <w:rPr>
                <w:rFonts w:ascii="Times New Roman" w:cs="Times New Roman" w:eastAsia="Times New Roman" w:hAnsi="Times New Roman"/>
                <w:sz w:val="13"/>
                <w:szCs w:val="13"/>
                <w:color w:val="auto"/>
              </w:rPr>
              <w:t>51,918</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51,047</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103,295</w:t>
            </w:r>
          </w:p>
        </w:tc>
        <w:tc>
          <w:tcPr>
            <w:tcW w:w="160" w:type="dxa"/>
            <w:vAlign w:val="bottom"/>
          </w:tcPr>
          <w:p>
            <w:pPr>
              <w:spacing w:after="0"/>
              <w:rPr>
                <w:sz w:val="13"/>
                <w:szCs w:val="13"/>
                <w:color w:val="auto"/>
              </w:rPr>
            </w:pPr>
          </w:p>
        </w:tc>
        <w:tc>
          <w:tcPr>
            <w:tcW w:w="24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100,659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4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Average stockholders' equity</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2,237,948</w:t>
            </w:r>
          </w:p>
        </w:tc>
        <w:tc>
          <w:tcPr>
            <w:tcW w:w="18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2,226,948</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2,102,466</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2,232,478</w:t>
            </w:r>
          </w:p>
        </w:tc>
        <w:tc>
          <w:tcPr>
            <w:tcW w:w="16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2,100,666</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Less: Average goodwill</w:t>
            </w:r>
          </w:p>
        </w:tc>
        <w:tc>
          <w:tcPr>
            <w:tcW w:w="180" w:type="dxa"/>
            <w:vAlign w:val="bottom"/>
          </w:tcPr>
          <w:p>
            <w:pPr>
              <w:spacing w:after="0"/>
              <w:rPr>
                <w:sz w:val="13"/>
                <w:szCs w:val="13"/>
                <w:color w:val="auto"/>
              </w:rPr>
            </w:pPr>
          </w:p>
        </w:tc>
        <w:tc>
          <w:tcPr>
            <w:tcW w:w="11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(765,822)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(765,822)</w:t>
            </w:r>
          </w:p>
        </w:tc>
        <w:tc>
          <w:tcPr>
            <w:tcW w:w="18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(765,822)</w:t>
            </w:r>
          </w:p>
        </w:tc>
        <w:tc>
          <w:tcPr>
            <w:tcW w:w="16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(765,822)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(765,822)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Less: Average intangible assets</w:t>
            </w: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(8,232)</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(9,518)</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(13,258)</w:t>
            </w: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(8,872)</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(13,922)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Average tangible common equity</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1,463,894</w:t>
            </w:r>
          </w:p>
        </w:tc>
        <w:tc>
          <w:tcPr>
            <w:tcW w:w="180" w:type="dxa"/>
            <w:vAlign w:val="bottom"/>
          </w:tcPr>
          <w:p>
            <w:pPr>
              <w:spacing w:after="0"/>
              <w:rPr>
                <w:sz w:val="13"/>
                <w:szCs w:val="13"/>
                <w:color w:val="auto"/>
              </w:rPr>
            </w:pPr>
          </w:p>
        </w:tc>
        <w:tc>
          <w:tcPr>
            <w:tcW w:w="18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1,451,608</w:t>
            </w:r>
          </w:p>
        </w:tc>
        <w:tc>
          <w:tcPr>
            <w:tcW w:w="240" w:type="dxa"/>
            <w:vAlign w:val="bottom"/>
          </w:tcPr>
          <w:p>
            <w:pPr>
              <w:spacing w:after="0"/>
              <w:rPr>
                <w:sz w:val="13"/>
                <w:szCs w:val="13"/>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1,323,386</w:t>
            </w:r>
          </w:p>
        </w:tc>
        <w:tc>
          <w:tcPr>
            <w:tcW w:w="24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1,457,784</w:t>
            </w:r>
          </w:p>
        </w:tc>
        <w:tc>
          <w:tcPr>
            <w:tcW w:w="160" w:type="dxa"/>
            <w:vAlign w:val="bottom"/>
          </w:tcPr>
          <w:p>
            <w:pPr>
              <w:spacing w:after="0"/>
              <w:rPr>
                <w:sz w:val="13"/>
                <w:szCs w:val="13"/>
                <w:color w:val="auto"/>
              </w:rPr>
            </w:pPr>
          </w:p>
        </w:tc>
        <w:tc>
          <w:tcPr>
            <w:tcW w:w="24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1,320,922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4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4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Return on average equity, annualized </w:t>
            </w:r>
            <w:r>
              <w:rPr>
                <w:rFonts w:ascii="Times New Roman" w:cs="Times New Roman" w:eastAsia="Times New Roman" w:hAnsi="Times New Roman"/>
                <w:sz w:val="16"/>
                <w:szCs w:val="16"/>
                <w:color w:val="auto"/>
                <w:vertAlign w:val="superscript"/>
              </w:rPr>
              <w:t>(2)</w:t>
            </w: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9.06%</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9.31%</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9.57%</w:t>
            </w: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9.18%</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Return on average tangible common equity, annualized </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9"/>
                <w:szCs w:val="19"/>
                <w:color w:val="auto"/>
              </w:rPr>
            </w:pPr>
          </w:p>
        </w:tc>
        <w:tc>
          <w:tcPr>
            <w:tcW w:w="11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14.08%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14.51%</w:t>
            </w: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15.51%</w:t>
            </w: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(1)Tax effected at respective statutory rates.</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(2)Annualized where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Interest Income</w:t>
      </w:r>
    </w:p>
    <w:p>
      <w:pPr>
        <w:spacing w:after="0" w:line="156" w:lineRule="exact"/>
        <w:rPr>
          <w:sz w:val="20"/>
          <w:szCs w:val="20"/>
          <w:color w:val="auto"/>
        </w:rPr>
      </w:pPr>
    </w:p>
    <w:p>
      <w:pPr>
        <w:ind w:right="20" w:firstLine="432"/>
        <w:spacing w:after="0" w:line="237" w:lineRule="auto"/>
        <w:rPr>
          <w:sz w:val="20"/>
          <w:szCs w:val="20"/>
          <w:color w:val="auto"/>
        </w:rPr>
      </w:pPr>
      <w:r>
        <w:rPr>
          <w:rFonts w:ascii="Times New Roman" w:cs="Times New Roman" w:eastAsia="Times New Roman" w:hAnsi="Times New Roman"/>
          <w:sz w:val="16"/>
          <w:szCs w:val="16"/>
          <w:color w:val="auto"/>
        </w:rPr>
        <w:t>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 earning assets minus the cost of average interest- bearing liabilities. Net interest margin and net interest spread are included on a tax equivalent (TE) basis by adjusting interest income utilizing the federal statutory tax rates of 21% in effect for the three and six months ended June 30, 2025 and 2024.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 -earning assets, and in the growth and maturity of earning assets. See Item 2 – Management’s Discussion and Analysis of Financial Condition and Results of Operations – Asset/Liability and Market Risk Management – Interest Rate Sensitivity Management included herein.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7" w:right="660" w:bottom="1440" w:gutter="0" w:footer="0" w:header="0"/>
        </w:sectPr>
      </w:pPr>
    </w:p>
    <w:bookmarkStart w:id="44" w:name="page45"/>
    <w:bookmarkEnd w:id="44"/>
    <w:p>
      <w:pPr>
        <w:ind w:right="40" w:firstLine="432"/>
        <w:spacing w:after="0" w:line="259" w:lineRule="auto"/>
        <w:rPr>
          <w:sz w:val="20"/>
          <w:szCs w:val="20"/>
          <w:color w:val="auto"/>
        </w:rPr>
      </w:pPr>
      <w:r>
        <w:rPr>
          <w:rFonts w:ascii="Times New Roman" w:cs="Times New Roman" w:eastAsia="Times New Roman" w:hAnsi="Times New Roman"/>
          <w:sz w:val="16"/>
          <w:szCs w:val="16"/>
          <w:color w:val="auto"/>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30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gridSpan w:val="3"/>
            <w:vMerge w:val="continue"/>
          </w:tcPr>
          <w:p>
            <w:pPr>
              <w:spacing w:after="0"/>
              <w:rPr>
                <w:sz w:val="14"/>
                <w:szCs w:val="14"/>
                <w:color w:val="auto"/>
              </w:rPr>
            </w:pPr>
          </w:p>
        </w:tc>
        <w:tc>
          <w:tcPr>
            <w:tcW w:w="11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1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Rate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0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INTEREST-EARNING ASSETS</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60"/>
              <w:spacing w:after="0" w:line="168" w:lineRule="exact"/>
              <w:rPr>
                <w:sz w:val="20"/>
                <w:szCs w:val="20"/>
                <w:color w:val="auto"/>
              </w:rPr>
            </w:pPr>
            <w:r>
              <w:rPr>
                <w:rFonts w:ascii="Times New Roman" w:cs="Times New Roman" w:eastAsia="Times New Roman" w:hAnsi="Times New Roman"/>
                <w:sz w:val="14"/>
                <w:szCs w:val="14"/>
                <w:color w:val="auto"/>
              </w:rPr>
              <w:t xml:space="preserve">Investment securities </w:t>
            </w:r>
            <w:r>
              <w:rPr>
                <w:rFonts w:ascii="Times New Roman" w:cs="Times New Roman" w:eastAsia="Times New Roman" w:hAnsi="Times New Roman"/>
                <w:sz w:val="19"/>
                <w:szCs w:val="19"/>
                <w:color w:val="auto"/>
                <w:vertAlign w:val="superscript"/>
              </w:rPr>
              <w:t>(1)</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Taxable</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2,485,298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18,154</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2.92%</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2,739,571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21,057</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Tax-advantaged</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20,303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3.41%</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24,525</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Taxable</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1,977,744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10,537</w:t>
            </w:r>
          </w:p>
        </w:tc>
        <w:tc>
          <w:tcPr>
            <w:tcW w:w="1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2.13%</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2,070,086</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Tax-advantaged</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364,070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372,777</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Investment in FHLB stock</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9.15%</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1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337,929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4.47%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716,916</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9,825</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ind w:left="60"/>
              <w:spacing w:after="0" w:line="168" w:lineRule="exact"/>
              <w:rPr>
                <w:sz w:val="20"/>
                <w:szCs w:val="20"/>
                <w:color w:val="auto"/>
              </w:rPr>
            </w:pPr>
            <w:r>
              <w:rPr>
                <w:rFonts w:ascii="Times New Roman" w:cs="Times New Roman" w:eastAsia="Times New Roman" w:hAnsi="Times New Roman"/>
                <w:sz w:val="14"/>
                <w:szCs w:val="14"/>
                <w:color w:val="auto"/>
              </w:rPr>
              <w:t xml:space="preserve">Loans </w:t>
            </w:r>
            <w:r>
              <w:rPr>
                <w:rFonts w:ascii="Times New Roman" w:cs="Times New Roman" w:eastAsia="Times New Roman" w:hAnsi="Times New Roman"/>
                <w:sz w:val="19"/>
                <w:szCs w:val="19"/>
                <w:color w:val="auto"/>
                <w:vertAlign w:val="superscript"/>
              </w:rPr>
              <w:t>(2)</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8,354,898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108,845</w:t>
            </w:r>
          </w:p>
        </w:tc>
        <w:tc>
          <w:tcPr>
            <w:tcW w:w="1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5.22%</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8,731,587</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114,200</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13,558,254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144,209</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14,673,474</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159,072</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noninterest-earning assets</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1,624,920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1,606,092</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60"/>
              <w:spacing w:after="0" w:line="148" w:lineRule="exact"/>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15,183,174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16,279,566</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60"/>
              <w:spacing w:after="0" w:line="168" w:lineRule="exact"/>
              <w:rPr>
                <w:sz w:val="20"/>
                <w:szCs w:val="20"/>
                <w:color w:val="auto"/>
              </w:rPr>
            </w:pPr>
            <w:r>
              <w:rPr>
                <w:rFonts w:ascii="Times New Roman" w:cs="Times New Roman" w:eastAsia="Times New Roman" w:hAnsi="Times New Roman"/>
                <w:sz w:val="14"/>
                <w:szCs w:val="14"/>
                <w:color w:val="auto"/>
              </w:rPr>
              <w:t xml:space="preserve">Savings deposits </w:t>
            </w:r>
            <w:r>
              <w:rPr>
                <w:rFonts w:ascii="Times New Roman" w:cs="Times New Roman" w:eastAsia="Times New Roman" w:hAnsi="Times New Roman"/>
                <w:sz w:val="19"/>
                <w:szCs w:val="19"/>
                <w:color w:val="auto"/>
                <w:vertAlign w:val="superscript"/>
              </w:rPr>
              <w:t>(3)</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4,183,585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20,909</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3,996,035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19,888</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Time deposits</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572,243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3,920</w:t>
            </w:r>
          </w:p>
        </w:tc>
        <w:tc>
          <w:tcPr>
            <w:tcW w:w="1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2.75%</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732,829</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4,755,828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24,829</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4,728,864</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25,979</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4"/>
                <w:szCs w:val="14"/>
                <w:color w:val="auto"/>
              </w:rPr>
              <w:t>FHLB advances, other borrowings, and customer</w:t>
            </w: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repurchase agreements</w:t>
            </w: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884,788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7,401</w:t>
            </w:r>
          </w:p>
        </w:tc>
        <w:tc>
          <w:tcPr>
            <w:tcW w:w="1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3.36%</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2,137,458</w:t>
            </w: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22,244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 expense - Other interest-bearing liabilities</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33,891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5,674,507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32,601</w:t>
            </w:r>
          </w:p>
        </w:tc>
        <w:tc>
          <w:tcPr>
            <w:tcW w:w="1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2.30%</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6,866,322</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7,051,702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7,153,315</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219,017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157,463</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2,237,948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2,102,466</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shd w:val="clear" w:color="auto" w:fill="CFF0FC"/>
          </w:tcPr>
          <w:p>
            <w:pPr>
              <w:ind w:left="60"/>
              <w:spacing w:after="0" w:line="148"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15,183,174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16,279,566</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04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111,608</w:t>
            </w:r>
          </w:p>
        </w:tc>
        <w:tc>
          <w:tcPr>
            <w:tcW w:w="116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110,849</w:t>
            </w:r>
          </w:p>
        </w:tc>
        <w:tc>
          <w:tcPr>
            <w:tcW w:w="1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Net interest spread - tax equivalent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interest margin</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Net interest margin - tax equivalent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3.31%</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540" w:right="520"/>
        <w:spacing w:after="0" w:line="261" w:lineRule="auto"/>
        <w:rPr>
          <w:sz w:val="20"/>
          <w:szCs w:val="20"/>
          <w:color w:val="auto"/>
        </w:rPr>
      </w:pPr>
      <w:r>
        <w:rPr>
          <w:rFonts w:ascii="Times New Roman" w:cs="Times New Roman" w:eastAsia="Times New Roman" w:hAnsi="Times New Roman"/>
          <w:sz w:val="13"/>
          <w:szCs w:val="13"/>
          <w:color w:val="auto"/>
        </w:rPr>
        <w:t>(1)Includes tax equivalent (TE) adjustments utilizing federal statutory rates of 21% in effect for the three months ended June 30, 2025 and June 30, 2024. The non TE rates for total investment securities were 2.57% and 2.71% for the three months ended June 30, 2025 and June 30, 2024, respectively.</w:t>
      </w:r>
    </w:p>
    <w:p>
      <w:pPr>
        <w:spacing w:after="0" w:line="1" w:lineRule="exact"/>
        <w:rPr>
          <w:sz w:val="20"/>
          <w:szCs w:val="20"/>
          <w:color w:val="auto"/>
        </w:rPr>
      </w:pPr>
    </w:p>
    <w:p>
      <w:pPr>
        <w:ind w:left="540" w:right="120"/>
        <w:spacing w:after="0" w:line="250" w:lineRule="auto"/>
        <w:rPr>
          <w:sz w:val="20"/>
          <w:szCs w:val="20"/>
          <w:color w:val="auto"/>
        </w:rPr>
      </w:pPr>
      <w:r>
        <w:rPr>
          <w:rFonts w:ascii="Times New Roman" w:cs="Times New Roman" w:eastAsia="Times New Roman" w:hAnsi="Times New Roman"/>
          <w:sz w:val="13"/>
          <w:szCs w:val="13"/>
          <w:color w:val="auto"/>
        </w:rPr>
        <w:t>(2)Includes loan fees of $ 615,000 and $721,000 for the three months ended June 30, 2025 and June 30, 2024, respectively. Prepayment penalty fees of $680,000 and $440,000 are included in interest income for the three months ended June 30, 2025 and June 30, 2024, respectively.</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(3)Includes interest-bearing demand and money market accounts.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45" w:name="page46"/>
    <w:bookmarkEnd w:id="45"/>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60" w:type="dxa"/>
            <w:vAlign w:val="bottom"/>
          </w:tcPr>
          <w:p>
            <w:pPr>
              <w:spacing w:after="0"/>
              <w:rPr>
                <w:sz w:val="14"/>
                <w:szCs w:val="14"/>
                <w:color w:val="auto"/>
              </w:rPr>
            </w:pP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Pr>
          <w:p>
            <w:pPr>
              <w:spacing w:after="0"/>
              <w:rPr>
                <w:sz w:val="14"/>
                <w:szCs w:val="14"/>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INTEREST-EARNING ASSETS</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ind w:left="60"/>
              <w:spacing w:after="0" w:line="168" w:lineRule="exact"/>
              <w:rPr>
                <w:sz w:val="20"/>
                <w:szCs w:val="20"/>
                <w:color w:val="auto"/>
              </w:rPr>
            </w:pPr>
            <w:r>
              <w:rPr>
                <w:rFonts w:ascii="Times New Roman" w:cs="Times New Roman" w:eastAsia="Times New Roman" w:hAnsi="Times New Roman"/>
                <w:sz w:val="14"/>
                <w:szCs w:val="14"/>
                <w:color w:val="auto"/>
              </w:rPr>
              <w:t xml:space="preserve">Investment securities </w:t>
            </w:r>
            <w:r>
              <w:rPr>
                <w:rFonts w:ascii="Times New Roman" w:cs="Times New Roman" w:eastAsia="Times New Roman" w:hAnsi="Times New Roman"/>
                <w:sz w:val="19"/>
                <w:szCs w:val="19"/>
                <w:color w:val="auto"/>
                <w:vertAlign w:val="superscript"/>
              </w:rPr>
              <w:t>(1)</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Taxable</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2,501,885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36,744</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2.94%</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2,807,107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42,337</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Tax-advantaged</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20,428</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3.38%</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24,990</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Taxable</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1,990,404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21,196</w:t>
            </w:r>
          </w:p>
        </w:tc>
        <w:tc>
          <w:tcPr>
            <w:tcW w:w="1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2.13%</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2,075,535</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22,034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Tax-advantaged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365,180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3.12%</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374,702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Investment in FHLB stock</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8.84%</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250,644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4.48%</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580,508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15,898</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shd w:val="clear" w:color="auto" w:fill="CFF0FC"/>
          </w:tcPr>
          <w:p>
            <w:pPr>
              <w:ind w:left="60"/>
              <w:spacing w:after="0" w:line="168" w:lineRule="exact"/>
              <w:rPr>
                <w:sz w:val="20"/>
                <w:szCs w:val="20"/>
                <w:color w:val="auto"/>
              </w:rPr>
            </w:pPr>
            <w:r>
              <w:rPr>
                <w:rFonts w:ascii="Times New Roman" w:cs="Times New Roman" w:eastAsia="Times New Roman" w:hAnsi="Times New Roman"/>
                <w:sz w:val="14"/>
                <w:szCs w:val="14"/>
                <w:color w:val="auto"/>
              </w:rPr>
              <w:t xml:space="preserve">Loans </w:t>
            </w:r>
            <w:r>
              <w:rPr>
                <w:rFonts w:ascii="Times New Roman" w:cs="Times New Roman" w:eastAsia="Times New Roman" w:hAnsi="Times New Roman"/>
                <w:sz w:val="19"/>
                <w:szCs w:val="19"/>
                <w:color w:val="auto"/>
                <w:vertAlign w:val="superscript"/>
              </w:rPr>
              <w:t>(2)</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8,410,871</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217,916</w:t>
            </w:r>
          </w:p>
        </w:tc>
        <w:tc>
          <w:tcPr>
            <w:tcW w:w="1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5.22%</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8,778,083</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230,549</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13,557,424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287,211</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4.28%</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14,658,937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316,761</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noninterest-earning assets</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1,618,854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1,583,552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ind w:left="60"/>
              <w:spacing w:after="0" w:line="148" w:lineRule="exact"/>
              <w:rPr>
                <w:sz w:val="20"/>
                <w:szCs w:val="20"/>
                <w:color w:val="auto"/>
              </w:rPr>
            </w:pPr>
            <w:r>
              <w:rPr>
                <w:rFonts w:ascii="Times New Roman" w:cs="Times New Roman" w:eastAsia="Times New Roman" w:hAnsi="Times New Roman"/>
                <w:sz w:val="14"/>
                <w:szCs w:val="14"/>
                <w:color w:val="auto"/>
              </w:rPr>
              <w:t>Total assets</w:t>
            </w:r>
          </w:p>
        </w:tc>
        <w:tc>
          <w:tcPr>
            <w:tcW w:w="78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15,176,278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16,242,489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3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Savings deposits </w:t>
            </w:r>
            <w:r>
              <w:rPr>
                <w:rFonts w:ascii="Times New Roman" w:cs="Times New Roman" w:eastAsia="Times New Roman" w:hAnsi="Times New Roman"/>
                <w:sz w:val="19"/>
                <w:szCs w:val="19"/>
                <w:color w:val="auto"/>
                <w:vertAlign w:val="superscript"/>
              </w:rPr>
              <w:t>(3)</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4,243,015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42,285</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2.01%</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4,001,580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38,417</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Time deposits</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567,752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7,866</w:t>
            </w:r>
          </w:p>
        </w:tc>
        <w:tc>
          <w:tcPr>
            <w:tcW w:w="1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2.79%</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589,920</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8,928</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4,810,767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50,151</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2.10%</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4,591,500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47,345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4"/>
                <w:szCs w:val="14"/>
                <w:color w:val="auto"/>
              </w:rPr>
              <w:t>FHLB advances, other borrowings, and customer</w:t>
            </w: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repurchase agreements</w:t>
            </w: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857,745</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14,201</w:t>
            </w:r>
          </w:p>
        </w:tc>
        <w:tc>
          <w:tcPr>
            <w:tcW w:w="1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3.34%</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2,219,354</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46,106</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 expense - Other interest-bearing liabilities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37,070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4.33%</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5,705,582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65,159</w:t>
            </w:r>
          </w:p>
        </w:tc>
        <w:tc>
          <w:tcPr>
            <w:tcW w:w="1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2.30%</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6,810,854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93,451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7,029,156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7,168,016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Other liabilities</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209,062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162,953</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Stockholders' equity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2,232,478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2,100,666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shd w:val="clear" w:color="auto" w:fill="CFF0FC"/>
          </w:tcPr>
          <w:p>
            <w:pPr>
              <w:ind w:left="60"/>
              <w:spacing w:after="0" w:line="148"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780" w:type="dxa"/>
            <w:vAlign w:val="bottom"/>
            <w:gridSpan w:val="2"/>
            <w:shd w:val="clear" w:color="auto" w:fill="CFF0FC"/>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15,176,278</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16,242,489</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60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4"/>
                <w:szCs w:val="14"/>
                <w:color w:val="auto"/>
              </w:rPr>
              <w:t>Net interest income</w:t>
            </w:r>
          </w:p>
        </w:tc>
        <w:tc>
          <w:tcPr>
            <w:tcW w:w="6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222,052</w:t>
            </w:r>
          </w:p>
        </w:tc>
        <w:tc>
          <w:tcPr>
            <w:tcW w:w="1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223,310</w:t>
            </w:r>
          </w:p>
        </w:tc>
        <w:tc>
          <w:tcPr>
            <w:tcW w:w="1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Net interest spread - tax equivalent</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1.98%</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interest margin</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3.30%</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Net interest margin - tax equivalent</w:t>
            </w: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3.31%</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3"/>
          <w:szCs w:val="13"/>
          <w:color w:val="auto"/>
        </w:rPr>
        <w:t>(1)Includes tax equivalent (TE) adjustments utilizing federal statutory rates of 21% in effect for the six months ended June 30, 2025 and June 30, 2024. The non TE rates for total investment securities were 2.58% and 2.63% for the six months ended June 30, 2025 and June 30, 2024, respectively.</w:t>
      </w:r>
    </w:p>
    <w:p>
      <w:pPr>
        <w:spacing w:after="0" w:line="1" w:lineRule="exact"/>
        <w:rPr>
          <w:sz w:val="20"/>
          <w:szCs w:val="20"/>
          <w:color w:val="auto"/>
        </w:rPr>
      </w:pPr>
    </w:p>
    <w:p>
      <w:pPr>
        <w:ind w:left="540" w:right="120"/>
        <w:spacing w:after="0" w:line="250" w:lineRule="auto"/>
        <w:rPr>
          <w:sz w:val="20"/>
          <w:szCs w:val="20"/>
          <w:color w:val="auto"/>
        </w:rPr>
      </w:pPr>
      <w:r>
        <w:rPr>
          <w:rFonts w:ascii="Times New Roman" w:cs="Times New Roman" w:eastAsia="Times New Roman" w:hAnsi="Times New Roman"/>
          <w:sz w:val="13"/>
          <w:szCs w:val="13"/>
          <w:color w:val="auto"/>
        </w:rPr>
        <w:t>(2)Includes loan fees of $1.3 million and $1.4 million for the six months ended June 30, 2025 and June 30, 2024, respectively. Prepayment penalty fees of $1.6 million and $1.1 million are included in interest income for the six months ended June 30, 2025 and June 30, 2024, respectively.</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(3)Includes interest-bearing demand and money market accounts.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6" w:name="page47"/>
    <w:bookmarkEnd w:id="46"/>
    <w:p>
      <w:pPr>
        <w:ind w:firstLine="528"/>
        <w:spacing w:after="0" w:line="241" w:lineRule="auto"/>
        <w:rPr>
          <w:sz w:val="20"/>
          <w:szCs w:val="20"/>
          <w:color w:val="auto"/>
        </w:rPr>
      </w:pPr>
      <w:r>
        <w:rPr>
          <w:rFonts w:ascii="Times New Roman" w:cs="Times New Roman" w:eastAsia="Times New Roman" w:hAnsi="Times New Roman"/>
          <w:sz w:val="16"/>
          <w:szCs w:val="16"/>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Rate and Volume Analysis for Changes in Interest Income, Interest Expense and Net Interest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Comparison of Three Months Ended June 30,</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2025 Compared to 2024</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Increase (Decrease) Due to</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8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Taxable investment securities</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(1,955)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(1,068)</w:t>
            </w: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(2,903)</w:t>
            </w:r>
          </w:p>
        </w:tc>
        <w:tc>
          <w:tcPr>
            <w:tcW w:w="0" w:type="dxa"/>
            <w:vAlign w:val="bottom"/>
          </w:tcPr>
          <w:p>
            <w:pPr>
              <w:spacing w:after="0"/>
              <w:rPr>
                <w:sz w:val="1"/>
                <w:szCs w:val="1"/>
                <w:color w:val="auto"/>
              </w:rPr>
            </w:pPr>
          </w:p>
        </w:tc>
      </w:tr>
      <w:tr>
        <w:trPr>
          <w:trHeight w:val="228"/>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Tax-advantaged investment securities</w:t>
            </w:r>
          </w:p>
        </w:tc>
        <w:tc>
          <w:tcPr>
            <w:tcW w:w="260" w:type="dxa"/>
            <w:vAlign w:val="bottom"/>
          </w:tcPr>
          <w:p>
            <w:pPr>
              <w:spacing w:after="0"/>
              <w:rPr>
                <w:sz w:val="19"/>
                <w:szCs w:val="19"/>
                <w:color w:val="auto"/>
              </w:rPr>
            </w:pPr>
          </w:p>
        </w:tc>
        <w:tc>
          <w:tcPr>
            <w:tcW w:w="1240" w:type="dxa"/>
            <w:vAlign w:val="bottom"/>
            <w:gridSpan w:val="2"/>
          </w:tcPr>
          <w:p>
            <w:pPr>
              <w:jc w:val="right"/>
              <w:ind w:right="100"/>
              <w:spacing w:after="0" w:line="228" w:lineRule="exact"/>
              <w:rPr>
                <w:sz w:val="20"/>
                <w:szCs w:val="20"/>
                <w:color w:val="auto"/>
              </w:rPr>
            </w:pPr>
            <w:r>
              <w:rPr>
                <w:rFonts w:ascii="Times New Roman" w:cs="Times New Roman" w:eastAsia="Times New Roman" w:hAnsi="Times New Roman"/>
                <w:sz w:val="14"/>
                <w:szCs w:val="14"/>
                <w:color w:val="auto"/>
              </w:rPr>
              <w:t>(29</w:t>
            </w:r>
            <w:r>
              <w:rPr>
                <w:rFonts w:ascii="Times New Roman" w:cs="Times New Roman" w:eastAsia="Times New Roman" w:hAnsi="Times New Roman"/>
                <w:sz w:val="26"/>
                <w:szCs w:val="26"/>
                <w:color w:val="auto"/>
                <w:vertAlign w:val="subscript"/>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36"/>
        </w:trPr>
        <w:tc>
          <w:tcPr>
            <w:tcW w:w="4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Taxable investment securities</w:t>
            </w:r>
          </w:p>
        </w:tc>
        <w:tc>
          <w:tcPr>
            <w:tcW w:w="26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Tax-advantaged investment securities</w:t>
            </w:r>
          </w:p>
        </w:tc>
        <w:tc>
          <w:tcPr>
            <w:tcW w:w="2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Investment in FHLB stock</w:t>
            </w:r>
          </w:p>
        </w:tc>
        <w:tc>
          <w:tcPr>
            <w:tcW w:w="2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2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(1,858)</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(6,057)</w:t>
            </w: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Loans</w:t>
            </w:r>
          </w:p>
        </w:tc>
        <w:tc>
          <w:tcPr>
            <w:tcW w:w="26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(754)</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(5,355)</w:t>
            </w: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interest income</w:t>
            </w:r>
          </w:p>
        </w:tc>
        <w:tc>
          <w:tcPr>
            <w:tcW w:w="2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(12,680)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(3,651)</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(14,863)</w:t>
            </w:r>
          </w:p>
        </w:tc>
        <w:tc>
          <w:tcPr>
            <w:tcW w:w="0" w:type="dxa"/>
            <w:vAlign w:val="bottom"/>
          </w:tcPr>
          <w:p>
            <w:pPr>
              <w:spacing w:after="0"/>
              <w:rPr>
                <w:sz w:val="1"/>
                <w:szCs w:val="1"/>
                <w:color w:val="auto"/>
              </w:rPr>
            </w:pPr>
          </w:p>
        </w:tc>
      </w:tr>
      <w:tr>
        <w:trPr>
          <w:trHeight w:val="336"/>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Savings deposits</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Time deposits</w:t>
            </w:r>
          </w:p>
        </w:tc>
        <w:tc>
          <w:tcPr>
            <w:tcW w:w="26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(1,088)</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(2,171)</w:t>
            </w:r>
          </w:p>
        </w:tc>
        <w:tc>
          <w:tcPr>
            <w:tcW w:w="0" w:type="dxa"/>
            <w:vAlign w:val="bottom"/>
          </w:tcPr>
          <w:p>
            <w:pPr>
              <w:spacing w:after="0"/>
              <w:rPr>
                <w:sz w:val="1"/>
                <w:szCs w:val="1"/>
                <w:color w:val="auto"/>
              </w:rPr>
            </w:pPr>
          </w:p>
        </w:tc>
      </w:tr>
      <w:tr>
        <w:trPr>
          <w:trHeight w:val="156"/>
        </w:trPr>
        <w:tc>
          <w:tcPr>
            <w:tcW w:w="426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4"/>
                <w:szCs w:val="14"/>
                <w:color w:val="auto"/>
              </w:rPr>
              <w:t>FHLB advances, other borrowings, and</w:t>
            </w:r>
          </w:p>
        </w:tc>
        <w:tc>
          <w:tcPr>
            <w:tcW w:w="260" w:type="dxa"/>
            <w:vAlign w:val="bottom"/>
            <w:shd w:val="clear" w:color="auto" w:fill="CFF0FC"/>
          </w:tcPr>
          <w:p>
            <w:pPr>
              <w:spacing w:after="0"/>
              <w:rPr>
                <w:sz w:val="13"/>
                <w:szCs w:val="13"/>
                <w:color w:val="auto"/>
              </w:rPr>
            </w:pPr>
          </w:p>
        </w:tc>
        <w:tc>
          <w:tcPr>
            <w:tcW w:w="12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(13,072)</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(4,426)</w:t>
            </w:r>
          </w:p>
        </w:tc>
        <w:tc>
          <w:tcPr>
            <w:tcW w:w="24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(14,843)</w:t>
            </w:r>
          </w:p>
        </w:tc>
        <w:tc>
          <w:tcPr>
            <w:tcW w:w="0" w:type="dxa"/>
            <w:vAlign w:val="bottom"/>
          </w:tcPr>
          <w:p>
            <w:pPr>
              <w:spacing w:after="0"/>
              <w:rPr>
                <w:sz w:val="1"/>
                <w:szCs w:val="1"/>
                <w:color w:val="auto"/>
              </w:rPr>
            </w:pPr>
          </w:p>
        </w:tc>
      </w:tr>
      <w:tr>
        <w:trPr>
          <w:trHeight w:val="104"/>
        </w:trPr>
        <w:tc>
          <w:tcPr>
            <w:tcW w:w="426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customer repurchase agreements</w:t>
            </w:r>
          </w:p>
        </w:tc>
        <w:tc>
          <w:tcPr>
            <w:tcW w:w="260" w:type="dxa"/>
            <w:vAlign w:val="bottom"/>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540" w:type="dxa"/>
            <w:vAlign w:val="bottom"/>
            <w:gridSpan w:val="2"/>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120" w:type="dxa"/>
            <w:vAlign w:val="bottom"/>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26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28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0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expense - Other interest-bearing liabilities</w:t>
            </w:r>
          </w:p>
        </w:tc>
        <w:tc>
          <w:tcPr>
            <w:tcW w:w="2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interest expense</w:t>
            </w:r>
          </w:p>
        </w:tc>
        <w:tc>
          <w:tcPr>
            <w:tcW w:w="2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(13,474)</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(5,485)</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3,337</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(15,622)</w:t>
            </w:r>
          </w:p>
        </w:tc>
        <w:tc>
          <w:tcPr>
            <w:tcW w:w="0" w:type="dxa"/>
            <w:vAlign w:val="bottom"/>
          </w:tcPr>
          <w:p>
            <w:pPr>
              <w:spacing w:after="0"/>
              <w:rPr>
                <w:sz w:val="1"/>
                <w:szCs w:val="1"/>
                <w:color w:val="auto"/>
              </w:rPr>
            </w:pPr>
          </w:p>
        </w:tc>
      </w:tr>
      <w:tr>
        <w:trPr>
          <w:trHeight w:val="168"/>
        </w:trPr>
        <w:tc>
          <w:tcPr>
            <w:tcW w:w="4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interest income</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260" w:type="dxa"/>
            <w:vAlign w:val="bottom"/>
          </w:tcPr>
          <w:p>
            <w:pPr>
              <w:spacing w:after="0"/>
              <w:rPr>
                <w:sz w:val="14"/>
                <w:szCs w:val="14"/>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(1,869)</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47" w:name="page48"/>
    <w:bookmarkEnd w:id="47"/>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Comparison of Six Months Ended June 30,</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2025 Compared to 2024</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Increase (Decrease) Due to</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8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Taxable investment securities</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(9,219)</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(2,267)</w:t>
            </w: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5,893</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(5,593)</w:t>
            </w:r>
          </w:p>
        </w:tc>
        <w:tc>
          <w:tcPr>
            <w:tcW w:w="0" w:type="dxa"/>
            <w:vAlign w:val="bottom"/>
          </w:tcPr>
          <w:p>
            <w:pPr>
              <w:spacing w:after="0"/>
              <w:rPr>
                <w:sz w:val="1"/>
                <w:szCs w:val="1"/>
                <w:color w:val="auto"/>
              </w:rPr>
            </w:pPr>
          </w:p>
        </w:tc>
      </w:tr>
      <w:tr>
        <w:trPr>
          <w:trHeight w:val="168"/>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Tax-advantaged investment securities</w:t>
            </w:r>
          </w:p>
        </w:tc>
        <w:tc>
          <w:tcPr>
            <w:tcW w:w="26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Taxable investment securities</w:t>
            </w:r>
          </w:p>
        </w:tc>
        <w:tc>
          <w:tcPr>
            <w:tcW w:w="26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Tax-advantaged investment securities</w:t>
            </w:r>
          </w:p>
        </w:tc>
        <w:tc>
          <w:tcPr>
            <w:tcW w:w="2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Investment in FHLB stock</w:t>
            </w:r>
          </w:p>
        </w:tc>
        <w:tc>
          <w:tcPr>
            <w:tcW w:w="2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2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(18,167)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(5,979)</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13,813</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(10,333)</w:t>
            </w: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Loans</w:t>
            </w:r>
          </w:p>
        </w:tc>
        <w:tc>
          <w:tcPr>
            <w:tcW w:w="26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(19,392)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(5,045)</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(12,633)</w:t>
            </w: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interest income</w:t>
            </w:r>
          </w:p>
        </w:tc>
        <w:tc>
          <w:tcPr>
            <w:tcW w:w="2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(48,953)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(13,081)</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32,484</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(29,550)</w:t>
            </w:r>
          </w:p>
        </w:tc>
        <w:tc>
          <w:tcPr>
            <w:tcW w:w="0" w:type="dxa"/>
            <w:vAlign w:val="bottom"/>
          </w:tcPr>
          <w:p>
            <w:pPr>
              <w:spacing w:after="0"/>
              <w:rPr>
                <w:sz w:val="1"/>
                <w:szCs w:val="1"/>
                <w:color w:val="auto"/>
              </w:rPr>
            </w:pPr>
          </w:p>
        </w:tc>
      </w:tr>
      <w:tr>
        <w:trPr>
          <w:trHeight w:val="336"/>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Savings deposits</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(3,956)</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Time deposits</w:t>
            </w:r>
          </w:p>
        </w:tc>
        <w:tc>
          <w:tcPr>
            <w:tcW w:w="26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(1,472)</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156"/>
        </w:trPr>
        <w:tc>
          <w:tcPr>
            <w:tcW w:w="426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4"/>
                <w:szCs w:val="14"/>
                <w:color w:val="auto"/>
              </w:rPr>
              <w:t>FHLB advances, other borrowings, and</w:t>
            </w:r>
          </w:p>
        </w:tc>
        <w:tc>
          <w:tcPr>
            <w:tcW w:w="260" w:type="dxa"/>
            <w:vAlign w:val="bottom"/>
            <w:shd w:val="clear" w:color="auto" w:fill="CFF0FC"/>
          </w:tcPr>
          <w:p>
            <w:pPr>
              <w:spacing w:after="0"/>
              <w:rPr>
                <w:sz w:val="13"/>
                <w:szCs w:val="13"/>
                <w:color w:val="auto"/>
              </w:rPr>
            </w:pPr>
          </w:p>
        </w:tc>
        <w:tc>
          <w:tcPr>
            <w:tcW w:w="12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(56,884)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(18,621)</w:t>
            </w:r>
          </w:p>
        </w:tc>
        <w:tc>
          <w:tcPr>
            <w:tcW w:w="24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43,600</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(31,905)</w:t>
            </w:r>
          </w:p>
        </w:tc>
        <w:tc>
          <w:tcPr>
            <w:tcW w:w="0" w:type="dxa"/>
            <w:vAlign w:val="bottom"/>
          </w:tcPr>
          <w:p>
            <w:pPr>
              <w:spacing w:after="0"/>
              <w:rPr>
                <w:sz w:val="1"/>
                <w:szCs w:val="1"/>
                <w:color w:val="auto"/>
              </w:rPr>
            </w:pPr>
          </w:p>
        </w:tc>
      </w:tr>
      <w:tr>
        <w:trPr>
          <w:trHeight w:val="104"/>
        </w:trPr>
        <w:tc>
          <w:tcPr>
            <w:tcW w:w="426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customer repurchase agreements</w:t>
            </w:r>
          </w:p>
        </w:tc>
        <w:tc>
          <w:tcPr>
            <w:tcW w:w="260" w:type="dxa"/>
            <w:vAlign w:val="bottom"/>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500" w:type="dxa"/>
            <w:vAlign w:val="bottom"/>
            <w:gridSpan w:val="2"/>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120" w:type="dxa"/>
            <w:vAlign w:val="bottom"/>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26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4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0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expense - Other interest-bearing liabilities</w:t>
            </w:r>
          </w:p>
        </w:tc>
        <w:tc>
          <w:tcPr>
            <w:tcW w:w="2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interest expense</w:t>
            </w:r>
          </w:p>
        </w:tc>
        <w:tc>
          <w:tcPr>
            <w:tcW w:w="2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(52,898)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(16,930)</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41,536</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(28,292)</w:t>
            </w:r>
          </w:p>
        </w:tc>
        <w:tc>
          <w:tcPr>
            <w:tcW w:w="0" w:type="dxa"/>
            <w:vAlign w:val="bottom"/>
          </w:tcPr>
          <w:p>
            <w:pPr>
              <w:spacing w:after="0"/>
              <w:rPr>
                <w:sz w:val="1"/>
                <w:szCs w:val="1"/>
                <w:color w:val="auto"/>
              </w:rPr>
            </w:pPr>
          </w:p>
        </w:tc>
      </w:tr>
      <w:tr>
        <w:trPr>
          <w:trHeight w:val="168"/>
        </w:trPr>
        <w:tc>
          <w:tcPr>
            <w:tcW w:w="4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interest income</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14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260" w:type="dxa"/>
            <w:vAlign w:val="bottom"/>
          </w:tcPr>
          <w:p>
            <w:pPr>
              <w:spacing w:after="0"/>
              <w:rPr>
                <w:sz w:val="14"/>
                <w:szCs w:val="14"/>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(9,052)</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(1,258)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Second Quarter of 2025 Compared to the Second Quarter of 2024</w:t>
      </w:r>
    </w:p>
    <w:p>
      <w:pPr>
        <w:spacing w:after="0" w:line="156" w:lineRule="exact"/>
        <w:rPr>
          <w:sz w:val="20"/>
          <w:szCs w:val="20"/>
          <w:color w:val="auto"/>
        </w:rPr>
      </w:pPr>
    </w:p>
    <w:p>
      <w:pPr>
        <w:jc w:val="both"/>
        <w:ind w:right="80" w:firstLine="432"/>
        <w:spacing w:after="0" w:line="247" w:lineRule="auto"/>
        <w:rPr>
          <w:sz w:val="20"/>
          <w:szCs w:val="20"/>
          <w:color w:val="auto"/>
        </w:rPr>
      </w:pPr>
      <w:r>
        <w:rPr>
          <w:rFonts w:ascii="Times New Roman" w:cs="Times New Roman" w:eastAsia="Times New Roman" w:hAnsi="Times New Roman"/>
          <w:sz w:val="16"/>
          <w:szCs w:val="16"/>
          <w:color w:val="auto"/>
        </w:rPr>
        <w:t>Net interest income, before provision for credit losses, of $111.6 million for the second quarter of 2025 increased by $759,000, or 0.7%, from the second quarter of 2024. The increase in net interest income compared to the second quarter of 2024 was due primarily to a decrease in interest expense from borrowings offset partially by lower interest income in the second quarter of 2025.</w:t>
      </w:r>
    </w:p>
    <w:p>
      <w:pPr>
        <w:spacing w:after="0" w:line="152" w:lineRule="exact"/>
        <w:rPr>
          <w:sz w:val="20"/>
          <w:szCs w:val="20"/>
          <w:color w:val="auto"/>
        </w:rPr>
      </w:pPr>
    </w:p>
    <w:p>
      <w:pPr>
        <w:jc w:val="both"/>
        <w:ind w:right="120" w:firstLine="432"/>
        <w:spacing w:after="0" w:line="243" w:lineRule="auto"/>
        <w:rPr>
          <w:sz w:val="20"/>
          <w:szCs w:val="20"/>
          <w:color w:val="auto"/>
        </w:rPr>
      </w:pPr>
      <w:r>
        <w:rPr>
          <w:rFonts w:ascii="Times New Roman" w:cs="Times New Roman" w:eastAsia="Times New Roman" w:hAnsi="Times New Roman"/>
          <w:sz w:val="16"/>
          <w:szCs w:val="16"/>
          <w:color w:val="auto"/>
        </w:rPr>
        <w:t>Total interest income of $144.2 million declined by $ 14.9 million, or 9.34%, when compared to the second quarter of 2024. This decrease was primarily due to a $1.12 billion decline in average interest-earning assets and a nine basis point decrease of the yield on earning assets. Average loan balances declined by $376.7 million from the second quarter of 2024. Compared to the second quarter of 2024, the average balance of investment securities decreased by $359.5 million, while the average amount of funds held at the Federal Reserve decreased by $371.9 million.</w:t>
      </w:r>
    </w:p>
    <w:p>
      <w:pPr>
        <w:spacing w:after="0" w:line="155" w:lineRule="exact"/>
        <w:rPr>
          <w:sz w:val="20"/>
          <w:szCs w:val="20"/>
          <w:color w:val="auto"/>
        </w:rPr>
      </w:pPr>
    </w:p>
    <w:p>
      <w:pPr>
        <w:ind w:right="100" w:firstLine="432"/>
        <w:spacing w:after="0" w:line="299" w:lineRule="auto"/>
        <w:rPr>
          <w:sz w:val="20"/>
          <w:szCs w:val="20"/>
          <w:color w:val="auto"/>
        </w:rPr>
      </w:pPr>
      <w:r>
        <w:rPr>
          <w:rFonts w:ascii="Times New Roman" w:cs="Times New Roman" w:eastAsia="Times New Roman" w:hAnsi="Times New Roman"/>
          <w:sz w:val="14"/>
          <w:szCs w:val="14"/>
          <w:color w:val="auto"/>
        </w:rPr>
        <w:t>Total interest income and fees on loans for the second quarter of 2025 was $108.8 million, a decrease of $5.4 million, or 4.69%, from the second quarter of 2024. This decrease in income was primarily due to a decline in loan yields from 5.26% for the second quarter of 2024, to 5.22% for the second quarter of 2025. Loan yields decreased as declining short term interest rates such as the Prime rate impacted variable indexed loans, as well as lower utilization of higher yielding lines of credit.</w:t>
      </w:r>
    </w:p>
    <w:p>
      <w:pPr>
        <w:spacing w:after="0" w:line="119" w:lineRule="exact"/>
        <w:rPr>
          <w:sz w:val="20"/>
          <w:szCs w:val="20"/>
          <w:color w:val="auto"/>
        </w:rPr>
      </w:pPr>
    </w:p>
    <w:p>
      <w:pPr>
        <w:ind w:firstLine="432"/>
        <w:spacing w:after="0" w:line="243" w:lineRule="auto"/>
        <w:rPr>
          <w:sz w:val="20"/>
          <w:szCs w:val="20"/>
          <w:color w:val="auto"/>
        </w:rPr>
      </w:pPr>
      <w:r>
        <w:rPr>
          <w:rFonts w:ascii="Times New Roman" w:cs="Times New Roman" w:eastAsia="Times New Roman" w:hAnsi="Times New Roman"/>
          <w:sz w:val="16"/>
          <w:szCs w:val="16"/>
          <w:color w:val="auto"/>
        </w:rPr>
        <w:t>Interest income from investment securities was $31.2 million, a decrease of $3.5 million, or 10.05%, from the second quarter of 2024. The decrease was driven primarily by a $2.8 million decrease in the positive carry on pay-fixed swaps that are available for sale investment fair value hedges. The spread between daily SOFR and fixed rate paid on these swaps decreased from 1.65% in the second quarter of 2024 to .72% in the second quarter of 2025. Excluding the impact of the fair value hedges, investment security yields increased by 12 basis points, partially offsetting the $360 million decrease in average investment balances.</w:t>
      </w:r>
    </w:p>
    <w:p>
      <w:pPr>
        <w:spacing w:after="0" w:line="155" w:lineRule="exact"/>
        <w:rPr>
          <w:sz w:val="20"/>
          <w:szCs w:val="20"/>
          <w:color w:val="auto"/>
        </w:rPr>
      </w:pPr>
    </w:p>
    <w:p>
      <w:pPr>
        <w:ind w:right="60" w:firstLine="432"/>
        <w:spacing w:after="0" w:line="239" w:lineRule="auto"/>
        <w:rPr>
          <w:sz w:val="20"/>
          <w:szCs w:val="20"/>
          <w:color w:val="auto"/>
        </w:rPr>
      </w:pPr>
      <w:r>
        <w:rPr>
          <w:rFonts w:ascii="Times New Roman" w:cs="Times New Roman" w:eastAsia="Times New Roman" w:hAnsi="Times New Roman"/>
          <w:sz w:val="16"/>
          <w:szCs w:val="16"/>
          <w:color w:val="auto"/>
        </w:rPr>
        <w:t>Interest expense was $ 32.6 million for the second quarter of 2025, a decrease of $15.6 million, compared to the second quarter of 2024. Total cost of funds of 1.03% for the second quarter of 2025 decreased from 1.38% for the year ago quarter. This 35 basis point decrease in cost of funds was primarily the result of a $1.3 billion decrease in borrowings, as well as the 18 basis point decrease in average borrowing costs, when compared to the second quarter of 2024. The redemption of $1.3 billion of Federal Reserve Bank Term Funding Program borrowings in the third quarter of 2024 resulted in the year over year decline in the level of borrowings. A 12 basis point decrease in the cost of total interest-bearing deposits was primarily due to a $160.6</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8" w:name="page49"/>
    <w:bookmarkEnd w:id="48"/>
    <w:p>
      <w:pPr>
        <w:ind w:right="120"/>
        <w:spacing w:after="0" w:line="247" w:lineRule="auto"/>
        <w:rPr>
          <w:sz w:val="20"/>
          <w:szCs w:val="20"/>
          <w:color w:val="auto"/>
        </w:rPr>
      </w:pPr>
      <w:r>
        <w:rPr>
          <w:rFonts w:ascii="Times New Roman" w:cs="Times New Roman" w:eastAsia="Times New Roman" w:hAnsi="Times New Roman"/>
          <w:sz w:val="16"/>
          <w:szCs w:val="16"/>
          <w:color w:val="auto"/>
        </w:rPr>
        <w:t>million decrease in average time deposits and a 59 basis point decrease in the cost of time deposits. The cost of customer repurchase agreements increased from .47% in the second quarter of 2024 to 1.66% in the second quarter of 2025. Average noninterest-bearing deposits were 59.7% of total deposits for the second quarter of 2025, compared to 60.2% for the second quarter of 2024.</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Six Months of 2025 Compared to Six Months of 2024</w:t>
      </w:r>
    </w:p>
    <w:p>
      <w:pPr>
        <w:spacing w:after="0" w:line="180"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4"/>
          <w:szCs w:val="14"/>
          <w:color w:val="auto"/>
        </w:rPr>
        <w:t>Net interest income, before provision for credit losses, was $222.0 million for the six months ended June 30, 2025, a decrease of $1.3 million, or 0.56%, compared to $223.3 million for the same period in 2024. The decrease in net interest income for the six months ended June 30, 2025 compared to the same period in 2024 was due to a decrease in the balance and yield on average interest-earning assets, partially offset by a decrease in the balance and cost in interest -bearing liabilities. The average balance on interest-bearing liabilities decreased by $1.1 billion, or 7.51%, to $5.71 billion for the six months ended June 30, 2025, from $6.81 billion for the same period in the prior year. Our net interest margin (TE) was 3.31% for the first six months of 2025, compared to 3.07% for the same period of 2024.</w:t>
      </w:r>
    </w:p>
    <w:p>
      <w:pPr>
        <w:spacing w:after="0" w:line="128" w:lineRule="exact"/>
        <w:rPr>
          <w:sz w:val="20"/>
          <w:szCs w:val="20"/>
          <w:color w:val="auto"/>
        </w:rPr>
      </w:pPr>
    </w:p>
    <w:p>
      <w:pPr>
        <w:ind w:right="80" w:firstLine="432"/>
        <w:spacing w:after="0" w:line="237" w:lineRule="auto"/>
        <w:rPr>
          <w:sz w:val="20"/>
          <w:szCs w:val="20"/>
          <w:color w:val="auto"/>
        </w:rPr>
      </w:pPr>
      <w:r>
        <w:rPr>
          <w:rFonts w:ascii="Times New Roman" w:cs="Times New Roman" w:eastAsia="Times New Roman" w:hAnsi="Times New Roman"/>
          <w:sz w:val="16"/>
          <w:szCs w:val="16"/>
          <w:color w:val="auto"/>
        </w:rPr>
        <w:t>Total interest income was $ 287.2 million for the six months ended June 30, 2025, which was $29.6 million, or 9.33%, lower than the same period of 2024. The decline was due to the decrease in the average balance on interest-earning assets which decreased by $1.1 billion, or 7.51%, to $13.56 billion for the six months ended June 30, 2025 from $14.66 billion for the same period in 2024, and an eight basis point decrease in the yield on earning assets, to 4.28% for the first six months of 2025, compared to 4.36% for 2024. The year-over-year decrease in average earning assets resulted from a decline of $404.4 million in average investment securities, a $367.2 million decrease in our average loan balances, and a $321.4 million decrease in the average amount of funds held at the Federal Reserve. The eight basis point decrease in the average earning asset yield compared to the first six months of 2024 resulted from a six basis point decrease in loan yields, from 5.28% for the first six months of 2024 to 5.22% for the same period of 2025, and a five basis point decrease in the non tax-equivalent yield on investment securities. Loan yields declined from 5.28% for the second quarter of 2024 to 5.22% for the second quarter of 2025, as the Federal Reserve decreased the fed funds rate by 100 basis points during the second half of 2024. Including the impact of fair value hedges, the yield on investment securities decreased from 2.67% for the first six months of 2024 to 2.62% for the six months ended June 30, 2025. The decrease in yield includes the positive carry on the fair value hedges, which resulted in $2.3 million of interest income for the six months ended June 30, 2025, compared to $7.8 million in the first six months of 2024.</w:t>
      </w:r>
    </w:p>
    <w:p>
      <w:pPr>
        <w:spacing w:after="0" w:line="162" w:lineRule="exact"/>
        <w:rPr>
          <w:sz w:val="20"/>
          <w:szCs w:val="20"/>
          <w:color w:val="auto"/>
        </w:rPr>
      </w:pPr>
    </w:p>
    <w:p>
      <w:pPr>
        <w:ind w:right="60" w:firstLine="432"/>
        <w:spacing w:after="0" w:line="237" w:lineRule="auto"/>
        <w:rPr>
          <w:sz w:val="20"/>
          <w:szCs w:val="20"/>
          <w:color w:val="auto"/>
        </w:rPr>
      </w:pPr>
      <w:r>
        <w:rPr>
          <w:rFonts w:ascii="Times New Roman" w:cs="Times New Roman" w:eastAsia="Times New Roman" w:hAnsi="Times New Roman"/>
          <w:sz w:val="16"/>
          <w:szCs w:val="16"/>
          <w:color w:val="auto"/>
        </w:rPr>
        <w:t>Interest expense of $65.2 million for the six months ended June 30, 2025, decreased by $28.3 million from the same period of 2024. Total cost of funds for the first six months of 2025 was 1.03%, compared with 1.34% for the same period of 2024. Average noninterest- bearing deposits for the six months ending June 30, 2025 decreased by $138.9 million, compared to the first six months of 2024. Average noninterest- bearing deposits represented 59.37% of our total average deposits for the six months ended June 30, 2025, compared to 60.96% for the same period of 2024. The average rate paid on interest-bearing liabilities decreased by 46 basis points, to 2.30% for the first six months of 2025, from 2.76% for the same period of 2024. The average rate paid on interest-bearing deposits for the first six months of 2025 increased by three basis points from the same period in 2024. The average balance of time deposits decreased by $22.2 million to $ 567.8 million in the first six months of 2025 compared to $589.9 million in the same period in 2024, while the cost of time deposits decreased to 2.79%, from 3.04% in the same period in 2024. The average balance on non-maturity interest -bearing deposits increased from the prior year period by $241.4 million, with the cost of these deposits increasing by eight basis points. Average borrowings for the first six months of 2025 were $510.6 million at a cost of 4.61%, compared with a cost of 4.76% on $ 1.92 billion of average borrowings for the same period of 2024. The decrease in rates on deposits and borrowings was due to declining market rates and the redemption of Bank Term Funding Program borrowings.</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21" w:right="62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(Recapture of) Credit Losses</w:t>
      </w:r>
    </w:p>
    <w:p>
      <w:pPr>
        <w:spacing w:after="0" w:line="180"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6"/>
          <w:szCs w:val="16"/>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143" w:lineRule="exact"/>
        <w:rPr>
          <w:sz w:val="20"/>
          <w:szCs w:val="20"/>
          <w:color w:val="auto"/>
        </w:rPr>
      </w:pPr>
    </w:p>
    <w:p>
      <w:pPr>
        <w:jc w:val="both"/>
        <w:ind w:right="280" w:firstLine="432"/>
        <w:spacing w:after="0" w:line="247" w:lineRule="auto"/>
        <w:rPr>
          <w:sz w:val="20"/>
          <w:szCs w:val="20"/>
          <w:color w:val="auto"/>
        </w:rPr>
      </w:pPr>
      <w:r>
        <w:rPr>
          <w:rFonts w:ascii="Times New Roman" w:cs="Times New Roman" w:eastAsia="Times New Roman" w:hAnsi="Times New Roman"/>
          <w:sz w:val="16"/>
          <w:szCs w:val="16"/>
          <w:color w:val="auto"/>
        </w:rPr>
        <w:t>There was no provision for credit losses in the second quarter of 2025, compared to no provision in the second quarter of 2024. Net charge-offs for the second quarter of 2025 were $249,000, compared to $31,000 in the second quarter of 2024. Projected loss rates were 0.93% at June 30, 2025, compared to 0.95% at June 30, 2024.</w:t>
      </w:r>
    </w:p>
    <w:p>
      <w:pPr>
        <w:spacing w:after="0" w:line="152" w:lineRule="exact"/>
        <w:rPr>
          <w:sz w:val="20"/>
          <w:szCs w:val="20"/>
          <w:color w:val="auto"/>
        </w:rPr>
      </w:pPr>
    </w:p>
    <w:p>
      <w:pPr>
        <w:ind w:right="60" w:firstLine="432"/>
        <w:spacing w:after="0" w:line="284" w:lineRule="auto"/>
        <w:rPr>
          <w:sz w:val="20"/>
          <w:szCs w:val="20"/>
          <w:color w:val="auto"/>
        </w:rPr>
      </w:pPr>
      <w:r>
        <w:rPr>
          <w:rFonts w:ascii="Times New Roman" w:cs="Times New Roman" w:eastAsia="Times New Roman" w:hAnsi="Times New Roman"/>
          <w:sz w:val="14"/>
          <w:szCs w:val="14"/>
          <w:color w:val="auto"/>
        </w:rPr>
        <w:t xml:space="preserve">There was a $2 million recapture of credit losses for the six months ended June 30, 2025, compared to no provision or recapture for credit losses for the same period of 2024. We experienced credit charge-offs of $469,000 and total recoveries of $350,000, resulting in net charge-offs of $ 119,000 for 2025 year- to-date. For the six months ended June 30, 2024, we experienced credit charge-offs of $4.3 million and total recoveries of $262,000, resulting in net charge -offs of $4.1 million. Refer to the discussion of “Allowance for Credit Losses” in Item 2 –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contained herein for discussion concerning observed changes in the credit quality of various components of our loan portfolio as well as changes and refinements to our methodology.</w:t>
      </w:r>
    </w:p>
    <w:p>
      <w:pPr>
        <w:spacing w:after="0" w:line="128" w:lineRule="exact"/>
        <w:rPr>
          <w:sz w:val="20"/>
          <w:szCs w:val="20"/>
          <w:color w:val="auto"/>
        </w:rPr>
      </w:pPr>
    </w:p>
    <w:p>
      <w:pPr>
        <w:ind w:right="140" w:firstLine="432"/>
        <w:spacing w:after="0" w:line="241" w:lineRule="auto"/>
        <w:rPr>
          <w:sz w:val="20"/>
          <w:szCs w:val="20"/>
          <w:color w:val="auto"/>
        </w:rPr>
      </w:pPr>
      <w:r>
        <w:rPr>
          <w:rFonts w:ascii="Times New Roman" w:cs="Times New Roman" w:eastAsia="Times New Roman" w:hAnsi="Times New Roman"/>
          <w:sz w:val="16"/>
          <w:szCs w:val="16"/>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from the recent rise in interest rates, geopolitical events in Europe, and global inflation will have on future interest rates, unemployment, the overall economy and resulting impact on our customers. See “Allowance for Credit Losses” under </w:t>
      </w:r>
      <w:r>
        <w:rPr>
          <w:rFonts w:ascii="Times New Roman" w:cs="Times New Roman" w:eastAsia="Times New Roman" w:hAnsi="Times New Roman"/>
          <w:sz w:val="16"/>
          <w:szCs w:val="16"/>
          <w:i w:val="1"/>
          <w:iCs w:val="1"/>
          <w:color w:val="auto"/>
        </w:rPr>
        <w:t>Analysis of Financial Condition</w:t>
      </w:r>
      <w:r>
        <w:rPr>
          <w:rFonts w:ascii="Times New Roman" w:cs="Times New Roman" w:eastAsia="Times New Roman" w:hAnsi="Times New Roman"/>
          <w:sz w:val="16"/>
          <w:szCs w:val="16"/>
          <w:color w:val="auto"/>
        </w:rPr>
        <w:t xml:space="preserve"> herein.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Noninterest Income</w:t>
      </w:r>
    </w:p>
    <w:p>
      <w:pPr>
        <w:spacing w:after="0" w:line="180" w:lineRule="exact"/>
        <w:rPr>
          <w:sz w:val="20"/>
          <w:szCs w:val="20"/>
          <w:color w:val="auto"/>
        </w:rPr>
      </w:pPr>
    </w:p>
    <w:p>
      <w:pPr>
        <w:jc w:val="both"/>
        <w:ind w:right="400" w:firstLine="432"/>
        <w:spacing w:after="0" w:line="299" w:lineRule="auto"/>
        <w:rPr>
          <w:sz w:val="20"/>
          <w:szCs w:val="20"/>
          <w:color w:val="auto"/>
        </w:rPr>
      </w:pPr>
      <w:r>
        <w:rPr>
          <w:rFonts w:ascii="Times New Roman" w:cs="Times New Roman" w:eastAsia="Times New Roman" w:hAnsi="Times New Roman"/>
          <w:sz w:val="14"/>
          <w:szCs w:val="14"/>
          <w:color w:val="auto"/>
        </w:rPr>
        <w:t>Noninterest income includes income derived from financial services offered to our customers, such as CitizensTrust, merchant processing and 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sets forth the various components of noninterest income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5"/>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Noninterest income:</w:t>
            </w: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30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Service charges on deposit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3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5,117</w:t>
            </w:r>
          </w:p>
        </w:tc>
        <w:tc>
          <w:tcPr>
            <w:tcW w:w="24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(158)</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9,867</w:t>
            </w:r>
          </w:p>
        </w:tc>
        <w:tc>
          <w:tcPr>
            <w:tcW w:w="240" w:type="dxa"/>
            <w:vAlign w:val="bottom"/>
          </w:tcPr>
          <w:p>
            <w:pPr>
              <w:spacing w:after="0"/>
              <w:rPr>
                <w:sz w:val="14"/>
                <w:szCs w:val="14"/>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10,153</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(286)</w:t>
            </w:r>
          </w:p>
        </w:tc>
        <w:tc>
          <w:tcPr>
            <w:tcW w:w="3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-2.82%</w:t>
            </w:r>
          </w:p>
        </w:tc>
      </w:tr>
      <w:tr>
        <w:trPr>
          <w:trHeight w:val="208"/>
        </w:trPr>
        <w:tc>
          <w:tcPr>
            <w:tcW w:w="30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Trust and investment services</w:t>
            </w: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3,716</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8.40%</w:t>
            </w:r>
          </w:p>
        </w:tc>
        <w:tc>
          <w:tcPr>
            <w:tcW w:w="1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7,127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6,652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20" w:type="dxa"/>
            <w:vAlign w:val="bottom"/>
          </w:tcPr>
          <w:p>
            <w:pPr>
              <w:spacing w:after="0"/>
              <w:rPr>
                <w:sz w:val="18"/>
                <w:szCs w:val="18"/>
                <w:color w:val="auto"/>
              </w:rPr>
            </w:pPr>
          </w:p>
        </w:tc>
      </w:tr>
      <w:tr>
        <w:trPr>
          <w:trHeight w:val="156"/>
        </w:trPr>
        <w:tc>
          <w:tcPr>
            <w:tcW w:w="3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Bankcard services</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74.86%</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69.14%</w:t>
            </w:r>
          </w:p>
        </w:tc>
        <w:tc>
          <w:tcPr>
            <w:tcW w:w="20" w:type="dxa"/>
            <w:vAlign w:val="bottom"/>
          </w:tcPr>
          <w:p>
            <w:pPr>
              <w:spacing w:after="0"/>
              <w:rPr>
                <w:sz w:val="13"/>
                <w:szCs w:val="13"/>
                <w:color w:val="auto"/>
              </w:rPr>
            </w:pPr>
          </w:p>
        </w:tc>
      </w:tr>
      <w:tr>
        <w:trPr>
          <w:trHeight w:val="156"/>
        </w:trPr>
        <w:tc>
          <w:tcPr>
            <w:tcW w:w="3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BOLI income</w:t>
            </w: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3,228</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2,942</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9.72%</w:t>
            </w: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6,059</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6,535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(476)</w:t>
            </w:r>
          </w:p>
        </w:tc>
        <w:tc>
          <w:tcPr>
            <w:tcW w:w="3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20" w:type="dxa"/>
            <w:vAlign w:val="bottom"/>
          </w:tcPr>
          <w:p>
            <w:pPr>
              <w:spacing w:after="0"/>
              <w:rPr>
                <w:sz w:val="13"/>
                <w:szCs w:val="13"/>
                <w:color w:val="auto"/>
              </w:rPr>
            </w:pPr>
          </w:p>
        </w:tc>
      </w:tr>
      <w:tr>
        <w:trPr>
          <w:trHeight w:val="156"/>
        </w:trPr>
        <w:tc>
          <w:tcPr>
            <w:tcW w:w="3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Gain on OREO, net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r>
      <w:tr>
        <w:trPr>
          <w:trHeight w:val="156"/>
        </w:trPr>
        <w:tc>
          <w:tcPr>
            <w:tcW w:w="3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2,194</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2,567</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(373)</w:t>
            </w: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-14.53%</w:t>
            </w: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4,442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0.41%</w:t>
            </w:r>
          </w:p>
        </w:tc>
        <w:tc>
          <w:tcPr>
            <w:tcW w:w="20" w:type="dxa"/>
            <w:vAlign w:val="bottom"/>
          </w:tcPr>
          <w:p>
            <w:pPr>
              <w:spacing w:after="0"/>
              <w:rPr>
                <w:sz w:val="13"/>
                <w:szCs w:val="13"/>
                <w:color w:val="auto"/>
              </w:rPr>
            </w:pPr>
          </w:p>
        </w:tc>
      </w:tr>
      <w:tr>
        <w:trPr>
          <w:trHeight w:val="156"/>
        </w:trPr>
        <w:tc>
          <w:tcPr>
            <w:tcW w:w="304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Total noninterest income</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14,744</w:t>
            </w:r>
          </w:p>
        </w:tc>
        <w:tc>
          <w:tcPr>
            <w:tcW w:w="4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14,424</w:t>
            </w:r>
          </w:p>
        </w:tc>
        <w:tc>
          <w:tcPr>
            <w:tcW w:w="20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320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2.22</w:t>
            </w:r>
            <w:r>
              <w:rPr>
                <w:rFonts w:ascii="Times New Roman" w:cs="Times New Roman" w:eastAsia="Times New Roman" w:hAnsi="Times New Roman"/>
                <w:sz w:val="15"/>
                <w:szCs w:val="15"/>
                <w:color w:val="auto"/>
                <w:vertAlign w:val="subscript"/>
              </w:rPr>
              <w:t>%</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30,973</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28,537</w:t>
            </w:r>
          </w:p>
        </w:tc>
        <w:tc>
          <w:tcPr>
            <w:tcW w:w="3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2,436</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9"/>
                <w:szCs w:val="9"/>
                <w:color w:val="auto"/>
              </w:rPr>
              <w:t>8.54</w:t>
            </w:r>
            <w:r>
              <w:rPr>
                <w:rFonts w:ascii="Times New Roman" w:cs="Times New Roman" w:eastAsia="Times New Roman" w:hAnsi="Times New Roman"/>
                <w:sz w:val="15"/>
                <w:szCs w:val="15"/>
                <w:color w:val="auto"/>
                <w:vertAlign w:val="subscript"/>
              </w:rPr>
              <w:t>%</w:t>
            </w:r>
          </w:p>
        </w:tc>
        <w:tc>
          <w:tcPr>
            <w:tcW w:w="20" w:type="dxa"/>
            <w:vAlign w:val="bottom"/>
          </w:tcPr>
          <w:p>
            <w:pPr>
              <w:spacing w:after="0"/>
              <w:rPr>
                <w:sz w:val="13"/>
                <w:szCs w:val="13"/>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Second Quarter of 2025 Compared to the Second Quarter of 2024</w:t>
      </w:r>
    </w:p>
    <w:p>
      <w:pPr>
        <w:spacing w:after="0" w:line="180" w:lineRule="exact"/>
        <w:rPr>
          <w:sz w:val="20"/>
          <w:szCs w:val="20"/>
          <w:color w:val="auto"/>
        </w:rPr>
      </w:pPr>
    </w:p>
    <w:p>
      <w:pPr>
        <w:ind w:right="140" w:firstLine="432"/>
        <w:spacing w:after="0" w:line="243" w:lineRule="auto"/>
        <w:rPr>
          <w:sz w:val="20"/>
          <w:szCs w:val="20"/>
          <w:color w:val="auto"/>
        </w:rPr>
      </w:pPr>
      <w:r>
        <w:rPr>
          <w:rFonts w:ascii="Times New Roman" w:cs="Times New Roman" w:eastAsia="Times New Roman" w:hAnsi="Times New Roman"/>
          <w:sz w:val="16"/>
          <w:szCs w:val="16"/>
          <w:color w:val="auto"/>
        </w:rPr>
        <w:t>The $320,000 increase in noninterest income included a $286,000 increase in BOLI, primarily due to higher death benefits received during the second quarter of 2025. The decrease in other income included the impact in the second quarter of 2024 from income of approximately $500,000 related to previously acquired and charged- off loans, as well as income from a building sale originally consummated in 2013. The $158,000 decrease in deposit service charges was offset by $277,000 increase in bankcard service fees, primarily due to increased merchant processing fees.</w:t>
      </w:r>
    </w:p>
    <w:p>
      <w:pPr>
        <w:spacing w:after="0" w:line="155" w:lineRule="exact"/>
        <w:rPr>
          <w:sz w:val="20"/>
          <w:szCs w:val="20"/>
          <w:color w:val="auto"/>
        </w:rPr>
      </w:pPr>
    </w:p>
    <w:p>
      <w:pPr>
        <w:ind w:right="180" w:firstLine="432"/>
        <w:spacing w:after="0"/>
        <w:rPr>
          <w:sz w:val="20"/>
          <w:szCs w:val="20"/>
          <w:color w:val="auto"/>
        </w:rPr>
      </w:pPr>
      <w:r>
        <w:rPr>
          <w:rFonts w:ascii="Times New Roman" w:cs="Times New Roman" w:eastAsia="Times New Roman" w:hAnsi="Times New Roman"/>
          <w:sz w:val="16"/>
          <w:szCs w:val="16"/>
          <w:color w:val="auto"/>
        </w:rPr>
        <w:t>Trust and Investment Services represents our CitizensTrust group. The CitizensTrust group is made up of wealth management and investment services. They provide a variety of services, which include asset management, financial planning, estate planning, retirement planning, private and corporate trustee services, and probate services. Investment Services provides self-directed brokerage, 401(k) plans, mutual funds, insurance and other non -insured investment products. At June 30, 2025, CitizensTrust had approximately $5 billion in assets under management and administration, including $3.54 billion in assets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17" w:right="6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color w:val="auto"/>
        </w:rPr>
        <w:t>under management. CitizensTrust generated fees of $3.7 million for the second quarter of 2025, compared to $3.4 million for the same period of 2024.</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Six Months of 2025 Compared to Six Months of 2024</w:t>
      </w:r>
    </w:p>
    <w:p>
      <w:pPr>
        <w:spacing w:after="0" w:line="180" w:lineRule="exact"/>
        <w:rPr>
          <w:sz w:val="20"/>
          <w:szCs w:val="20"/>
          <w:color w:val="auto"/>
        </w:rPr>
      </w:pPr>
    </w:p>
    <w:p>
      <w:pPr>
        <w:ind w:right="40" w:firstLine="432"/>
        <w:spacing w:after="0" w:line="241" w:lineRule="auto"/>
        <w:rPr>
          <w:sz w:val="20"/>
          <w:szCs w:val="20"/>
          <w:color w:val="auto"/>
        </w:rPr>
      </w:pPr>
      <w:r>
        <w:rPr>
          <w:rFonts w:ascii="Times New Roman" w:cs="Times New Roman" w:eastAsia="Times New Roman" w:hAnsi="Times New Roman"/>
          <w:sz w:val="16"/>
          <w:szCs w:val="16"/>
          <w:color w:val="auto"/>
        </w:rPr>
        <w:t>The $2.4 million year-over- year increase in noninterest income included a $2.2 million gain on sale of OREO during the first quarter of 2025. Trust and investment fees grew by $475,000 or 7.14% due to increased assets under management. The $286,000 decrease in deposit service charges was offset by $522,000 increase in bankcard service fees, primarily due to $530,000 increase in merchant processing fees. CRA investment income increased by approximately $475,000, due to changes in the net asset value of certain equity investments, but BOLI income decreased by $476,000 due to lower death benefits and changes in net asset value of policies related to deferred compensation.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Noninterest Expense</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summarizes the various components of noninterest expense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6"/>
          </w:tcPr>
          <w:p>
            <w:pPr>
              <w:ind w:left="8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Noninterest expense:</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34,999</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35,426</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(427)</w:t>
            </w:r>
          </w:p>
        </w:tc>
        <w:tc>
          <w:tcPr>
            <w:tcW w:w="2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-1.21%</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71,476</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71,827</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(351)</w:t>
            </w:r>
          </w:p>
        </w:tc>
        <w:tc>
          <w:tcPr>
            <w:tcW w:w="2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-0.49%</w:t>
            </w:r>
          </w:p>
        </w:tc>
        <w:tc>
          <w:tcPr>
            <w:tcW w:w="20" w:type="dxa"/>
            <w:vAlign w:val="bottom"/>
          </w:tcPr>
          <w:p>
            <w:pPr>
              <w:spacing w:after="0"/>
              <w:rPr>
                <w:sz w:val="13"/>
                <w:szCs w:val="13"/>
                <w:color w:val="auto"/>
              </w:rPr>
            </w:pPr>
          </w:p>
        </w:tc>
      </w:tr>
      <w:tr>
        <w:trPr>
          <w:trHeight w:val="156"/>
        </w:trPr>
        <w:tc>
          <w:tcPr>
            <w:tcW w:w="2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Occupancy</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4,865</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4,665</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4.29%</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9,628</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9,235</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20" w:type="dxa"/>
            <w:vAlign w:val="bottom"/>
          </w:tcPr>
          <w:p>
            <w:pPr>
              <w:spacing w:after="0"/>
              <w:rPr>
                <w:sz w:val="13"/>
                <w:szCs w:val="13"/>
                <w:color w:val="auto"/>
              </w:rPr>
            </w:pPr>
          </w:p>
        </w:tc>
      </w:tr>
      <w:tr>
        <w:trPr>
          <w:trHeight w:val="156"/>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Equipment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12.10%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17.79%</w:t>
            </w:r>
          </w:p>
        </w:tc>
        <w:tc>
          <w:tcPr>
            <w:tcW w:w="20" w:type="dxa"/>
            <w:vAlign w:val="bottom"/>
          </w:tcPr>
          <w:p>
            <w:pPr>
              <w:spacing w:after="0"/>
              <w:rPr>
                <w:sz w:val="13"/>
                <w:szCs w:val="13"/>
                <w:color w:val="auto"/>
              </w:rPr>
            </w:pPr>
          </w:p>
        </w:tc>
      </w:tr>
      <w:tr>
        <w:trPr>
          <w:trHeight w:val="156"/>
        </w:trPr>
        <w:tc>
          <w:tcPr>
            <w:tcW w:w="2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Professional services</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2,726</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(535)</w:t>
            </w:r>
          </w:p>
        </w:tc>
        <w:tc>
          <w:tcPr>
            <w:tcW w:w="2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-19.63%</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4,272</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4,981</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(709)</w:t>
            </w:r>
          </w:p>
        </w:tc>
        <w:tc>
          <w:tcPr>
            <w:tcW w:w="2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-14.23%</w:t>
            </w:r>
          </w:p>
        </w:tc>
        <w:tc>
          <w:tcPr>
            <w:tcW w:w="20" w:type="dxa"/>
            <w:vAlign w:val="bottom"/>
          </w:tcPr>
          <w:p>
            <w:pPr>
              <w:spacing w:after="0"/>
              <w:rPr>
                <w:sz w:val="13"/>
                <w:szCs w:val="13"/>
                <w:color w:val="auto"/>
              </w:rPr>
            </w:pPr>
          </w:p>
        </w:tc>
      </w:tr>
      <w:tr>
        <w:trPr>
          <w:trHeight w:val="156"/>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Computer software expense</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11.67%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8,631</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7,474</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20" w:type="dxa"/>
            <w:vAlign w:val="bottom"/>
          </w:tcPr>
          <w:p>
            <w:pPr>
              <w:spacing w:after="0"/>
              <w:rPr>
                <w:sz w:val="13"/>
                <w:szCs w:val="13"/>
                <w:color w:val="auto"/>
              </w:rPr>
            </w:pPr>
          </w:p>
        </w:tc>
      </w:tr>
      <w:tr>
        <w:trPr>
          <w:trHeight w:val="156"/>
        </w:trPr>
        <w:tc>
          <w:tcPr>
            <w:tcW w:w="2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Marketing and promotion</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1,817</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1,956</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(139)</w:t>
            </w:r>
          </w:p>
        </w:tc>
        <w:tc>
          <w:tcPr>
            <w:tcW w:w="2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-7.11%</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3,805</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3,586</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20" w:type="dxa"/>
            <w:vAlign w:val="bottom"/>
          </w:tcPr>
          <w:p>
            <w:pPr>
              <w:spacing w:after="0"/>
              <w:rPr>
                <w:sz w:val="13"/>
                <w:szCs w:val="13"/>
                <w:color w:val="auto"/>
              </w:rPr>
            </w:pPr>
          </w:p>
        </w:tc>
      </w:tr>
      <w:tr>
        <w:trPr>
          <w:trHeight w:val="156"/>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(282)</w:t>
            </w:r>
          </w:p>
        </w:tc>
        <w:tc>
          <w:tcPr>
            <w:tcW w:w="2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-19.62%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(565)</w:t>
            </w:r>
          </w:p>
        </w:tc>
        <w:tc>
          <w:tcPr>
            <w:tcW w:w="2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-19.65%</w:t>
            </w:r>
          </w:p>
        </w:tc>
        <w:tc>
          <w:tcPr>
            <w:tcW w:w="20" w:type="dxa"/>
            <w:vAlign w:val="bottom"/>
          </w:tcPr>
          <w:p>
            <w:pPr>
              <w:spacing w:after="0"/>
              <w:rPr>
                <w:sz w:val="13"/>
                <w:szCs w:val="13"/>
                <w:color w:val="auto"/>
              </w:rPr>
            </w:pPr>
          </w:p>
        </w:tc>
      </w:tr>
      <w:tr>
        <w:trPr>
          <w:trHeight w:val="156"/>
        </w:trPr>
        <w:tc>
          <w:tcPr>
            <w:tcW w:w="2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Telecommunications expense</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10.43%</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1,054</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20" w:type="dxa"/>
            <w:vAlign w:val="bottom"/>
          </w:tcPr>
          <w:p>
            <w:pPr>
              <w:spacing w:after="0"/>
              <w:rPr>
                <w:sz w:val="13"/>
                <w:szCs w:val="13"/>
                <w:color w:val="auto"/>
              </w:rPr>
            </w:pPr>
          </w:p>
        </w:tc>
      </w:tr>
      <w:tr>
        <w:trPr>
          <w:trHeight w:val="156"/>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Regulatory assessments</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42.72%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4,035</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(1,824)</w:t>
            </w:r>
          </w:p>
        </w:tc>
        <w:tc>
          <w:tcPr>
            <w:tcW w:w="2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-31.13%</w:t>
            </w:r>
          </w:p>
        </w:tc>
        <w:tc>
          <w:tcPr>
            <w:tcW w:w="20" w:type="dxa"/>
            <w:vAlign w:val="bottom"/>
          </w:tcPr>
          <w:p>
            <w:pPr>
              <w:spacing w:after="0"/>
              <w:rPr>
                <w:sz w:val="13"/>
                <w:szCs w:val="13"/>
                <w:color w:val="auto"/>
              </w:rPr>
            </w:pPr>
          </w:p>
        </w:tc>
      </w:tr>
      <w:tr>
        <w:trPr>
          <w:trHeight w:val="156"/>
        </w:trPr>
        <w:tc>
          <w:tcPr>
            <w:tcW w:w="2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Insurance</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w:t>
            </w:r>
          </w:p>
        </w:tc>
        <w:tc>
          <w:tcPr>
            <w:tcW w:w="2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-3.34%</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974</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20" w:type="dxa"/>
            <w:vAlign w:val="bottom"/>
          </w:tcPr>
          <w:p>
            <w:pPr>
              <w:spacing w:after="0"/>
              <w:rPr>
                <w:sz w:val="13"/>
                <w:szCs w:val="13"/>
                <w:color w:val="auto"/>
              </w:rPr>
            </w:pPr>
          </w:p>
        </w:tc>
      </w:tr>
      <w:tr>
        <w:trPr>
          <w:trHeight w:val="144"/>
        </w:trPr>
        <w:tc>
          <w:tcPr>
            <w:tcW w:w="25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Provision for (recapture of)</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2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unfunded loan commitments</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100.00%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200.00%</w:t>
            </w:r>
          </w:p>
        </w:tc>
      </w:tr>
      <w:tr>
        <w:trPr>
          <w:trHeight w:val="240"/>
        </w:trPr>
        <w:tc>
          <w:tcPr>
            <w:tcW w:w="2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Directors' expenses</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60"/>
              <w:spacing w:after="0" w:line="240" w:lineRule="exact"/>
              <w:rPr>
                <w:sz w:val="20"/>
                <w:szCs w:val="20"/>
                <w:color w:val="auto"/>
              </w:rPr>
            </w:pPr>
            <w:r>
              <w:rPr>
                <w:rFonts w:ascii="Times New Roman" w:cs="Times New Roman" w:eastAsia="Times New Roman" w:hAnsi="Times New Roman"/>
                <w:sz w:val="13"/>
                <w:szCs w:val="13"/>
                <w:color w:val="auto"/>
              </w:rPr>
              <w:t>(32</w:t>
            </w:r>
            <w:r>
              <w:rPr>
                <w:rFonts w:ascii="Times New Roman" w:cs="Times New Roman" w:eastAsia="Times New Roman" w:hAnsi="Times New Roman"/>
                <w:sz w:val="26"/>
                <w:szCs w:val="26"/>
                <w:color w:val="auto"/>
                <w:vertAlign w:val="superscript"/>
              </w:rPr>
              <w:t>)</w:t>
            </w:r>
          </w:p>
        </w:tc>
        <w:tc>
          <w:tcPr>
            <w:tcW w:w="2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line="240" w:lineRule="exact"/>
              <w:rPr>
                <w:sz w:val="20"/>
                <w:szCs w:val="20"/>
                <w:color w:val="auto"/>
              </w:rPr>
            </w:pPr>
            <w:r>
              <w:rPr>
                <w:rFonts w:ascii="Times New Roman" w:cs="Times New Roman" w:eastAsia="Times New Roman" w:hAnsi="Times New Roman"/>
                <w:sz w:val="13"/>
                <w:szCs w:val="13"/>
                <w:color w:val="auto"/>
              </w:rPr>
              <w:t>-9.79</w:t>
            </w:r>
            <w:r>
              <w:rPr>
                <w:rFonts w:ascii="Times New Roman" w:cs="Times New Roman" w:eastAsia="Times New Roman" w:hAnsi="Times New Roman"/>
                <w:sz w:val="26"/>
                <w:szCs w:val="26"/>
                <w:color w:val="auto"/>
                <w:vertAlign w:val="superscript"/>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line="240" w:lineRule="exact"/>
              <w:rPr>
                <w:sz w:val="20"/>
                <w:szCs w:val="20"/>
                <w:color w:val="auto"/>
              </w:rPr>
            </w:pPr>
            <w:r>
              <w:rPr>
                <w:rFonts w:ascii="Times New Roman" w:cs="Times New Roman" w:eastAsia="Times New Roman" w:hAnsi="Times New Roman"/>
                <w:sz w:val="13"/>
                <w:szCs w:val="13"/>
                <w:color w:val="auto"/>
              </w:rPr>
              <w:t>(58</w:t>
            </w:r>
            <w:r>
              <w:rPr>
                <w:rFonts w:ascii="Times New Roman" w:cs="Times New Roman" w:eastAsia="Times New Roman" w:hAnsi="Times New Roman"/>
                <w:sz w:val="26"/>
                <w:szCs w:val="26"/>
                <w:color w:val="auto"/>
                <w:vertAlign w:val="superscript"/>
              </w:rPr>
              <w:t>)</w:t>
            </w:r>
          </w:p>
        </w:tc>
        <w:tc>
          <w:tcPr>
            <w:tcW w:w="2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line="240" w:lineRule="exact"/>
              <w:rPr>
                <w:sz w:val="20"/>
                <w:szCs w:val="20"/>
                <w:color w:val="auto"/>
              </w:rPr>
            </w:pPr>
            <w:r>
              <w:rPr>
                <w:rFonts w:ascii="Times New Roman" w:cs="Times New Roman" w:eastAsia="Times New Roman" w:hAnsi="Times New Roman"/>
                <w:sz w:val="13"/>
                <w:szCs w:val="13"/>
                <w:color w:val="auto"/>
              </w:rPr>
              <w:t>-8.85</w:t>
            </w:r>
            <w:r>
              <w:rPr>
                <w:rFonts w:ascii="Times New Roman" w:cs="Times New Roman" w:eastAsia="Times New Roman" w:hAnsi="Times New Roman"/>
                <w:sz w:val="26"/>
                <w:szCs w:val="26"/>
                <w:color w:val="auto"/>
                <w:vertAlign w:val="superscript"/>
              </w:rPr>
              <w:t>%</w:t>
            </w:r>
          </w:p>
        </w:tc>
        <w:tc>
          <w:tcPr>
            <w:tcW w:w="20" w:type="dxa"/>
            <w:vAlign w:val="bottom"/>
          </w:tcPr>
          <w:p>
            <w:pPr>
              <w:spacing w:after="0"/>
              <w:rPr>
                <w:sz w:val="20"/>
                <w:szCs w:val="20"/>
                <w:color w:val="auto"/>
              </w:rPr>
            </w:pPr>
          </w:p>
        </w:tc>
      </w:tr>
      <w:tr>
        <w:trPr>
          <w:trHeight w:val="156"/>
        </w:trPr>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18.11%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20" w:type="dxa"/>
            <w:vAlign w:val="bottom"/>
          </w:tcPr>
          <w:p>
            <w:pPr>
              <w:spacing w:after="0"/>
              <w:rPr>
                <w:sz w:val="13"/>
                <w:szCs w:val="13"/>
                <w:color w:val="auto"/>
              </w:rPr>
            </w:pPr>
          </w:p>
        </w:tc>
      </w:tr>
      <w:tr>
        <w:trPr>
          <w:trHeight w:val="196"/>
        </w:trPr>
        <w:tc>
          <w:tcPr>
            <w:tcW w:w="2520" w:type="dxa"/>
            <w:vAlign w:val="bottom"/>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color w:val="auto"/>
              </w:rPr>
              <w:t>Total noninterest expense</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57,557</w:t>
            </w:r>
          </w:p>
        </w:tc>
        <w:tc>
          <w:tcPr>
            <w:tcW w:w="240" w:type="dxa"/>
            <w:vAlign w:val="bottom"/>
            <w:shd w:val="clear" w:color="auto" w:fill="CFF0FC"/>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56,497</w:t>
            </w:r>
          </w:p>
        </w:tc>
        <w:tc>
          <w:tcPr>
            <w:tcW w:w="260" w:type="dxa"/>
            <w:vAlign w:val="bottom"/>
            <w:gridSpan w:val="2"/>
            <w:shd w:val="clear" w:color="auto" w:fill="CFF0FC"/>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1,060</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line="136" w:lineRule="exact"/>
              <w:rPr>
                <w:sz w:val="20"/>
                <w:szCs w:val="20"/>
                <w:color w:val="auto"/>
              </w:rPr>
            </w:pPr>
            <w:r>
              <w:rPr>
                <w:rFonts w:ascii="Times New Roman" w:cs="Times New Roman" w:eastAsia="Times New Roman" w:hAnsi="Times New Roman"/>
                <w:sz w:val="9"/>
                <w:szCs w:val="9"/>
                <w:color w:val="auto"/>
              </w:rPr>
              <w:t>1.88</w:t>
            </w:r>
            <w:r>
              <w:rPr>
                <w:rFonts w:ascii="Times New Roman" w:cs="Times New Roman" w:eastAsia="Times New Roman" w:hAnsi="Times New Roman"/>
                <w:sz w:val="15"/>
                <w:szCs w:val="15"/>
                <w:color w:val="auto"/>
                <w:vertAlign w:val="subscript"/>
              </w:rPr>
              <w:t>%</w:t>
            </w:r>
          </w:p>
        </w:tc>
        <w:tc>
          <w:tcPr>
            <w:tcW w:w="240" w:type="dxa"/>
            <w:vAlign w:val="bottom"/>
            <w:gridSpan w:val="2"/>
            <w:shd w:val="clear" w:color="auto" w:fill="CFF0FC"/>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116,701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116,268</w:t>
            </w:r>
          </w:p>
        </w:tc>
        <w:tc>
          <w:tcPr>
            <w:tcW w:w="1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433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9"/>
                <w:szCs w:val="9"/>
                <w:color w:val="auto"/>
              </w:rPr>
              <w:t>0.37</w:t>
            </w:r>
            <w:r>
              <w:rPr>
                <w:rFonts w:ascii="Times New Roman" w:cs="Times New Roman" w:eastAsia="Times New Roman" w:hAnsi="Times New Roman"/>
                <w:sz w:val="15"/>
                <w:szCs w:val="15"/>
                <w:color w:val="auto"/>
                <w:vertAlign w:val="subscript"/>
              </w:rPr>
              <w:t>%</w:t>
            </w:r>
          </w:p>
        </w:tc>
        <w:tc>
          <w:tcPr>
            <w:tcW w:w="20" w:type="dxa"/>
            <w:vAlign w:val="bottom"/>
          </w:tcPr>
          <w:p>
            <w:pPr>
              <w:spacing w:after="0"/>
              <w:rPr>
                <w:sz w:val="17"/>
                <w:szCs w:val="17"/>
                <w:color w:val="auto"/>
              </w:rPr>
            </w:pPr>
          </w:p>
        </w:tc>
      </w:tr>
      <w:tr>
        <w:trPr>
          <w:trHeight w:val="276"/>
        </w:trPr>
        <w:tc>
          <w:tcPr>
            <w:tcW w:w="252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3"/>
                <w:szCs w:val="13"/>
                <w:color w:val="auto"/>
              </w:rPr>
              <w:t>Noninterest expense to average</w:t>
            </w: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168"/>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assets</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1.52%</w:t>
            </w:r>
          </w:p>
        </w:tc>
        <w:tc>
          <w:tcPr>
            <w:tcW w:w="2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1.55%</w:t>
            </w:r>
          </w:p>
        </w:tc>
        <w:tc>
          <w:tcPr>
            <w:tcW w:w="2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52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 xml:space="preserve">Efficiency ratio </w:t>
            </w:r>
            <w:r>
              <w:rPr>
                <w:rFonts w:ascii="Times New Roman" w:cs="Times New Roman" w:eastAsia="Times New Roman" w:hAnsi="Times New Roman"/>
                <w:sz w:val="16"/>
                <w:szCs w:val="16"/>
                <w:color w:val="auto"/>
                <w:vertAlign w:val="superscript"/>
              </w:rPr>
              <w:t>(1)</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45.55%</w:t>
            </w:r>
          </w:p>
        </w:tc>
        <w:tc>
          <w:tcPr>
            <w:tcW w:w="2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45.10%</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46.12%</w:t>
            </w:r>
          </w:p>
        </w:tc>
        <w:tc>
          <w:tcPr>
            <w:tcW w:w="2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46.17%</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bl>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(1)Noninterest expense divided by net interest income before provision for credit losses plus noninterest income.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Our ability to control noninterest expenses in relation to asset growth can be measured in terms of total noninterest expenses as a percentage of average assets.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Noninterest expense as a percentage of average assets was 1.52% for the second quarter of 2025, compared to 1.40% for the second quarter of 2024.</w:t>
      </w:r>
    </w:p>
    <w:p>
      <w:pPr>
        <w:spacing w:after="0" w:line="158" w:lineRule="exact"/>
        <w:rPr>
          <w:sz w:val="20"/>
          <w:szCs w:val="20"/>
          <w:color w:val="auto"/>
        </w:rPr>
      </w:pPr>
    </w:p>
    <w:p>
      <w:pPr>
        <w:ind w:firstLine="432"/>
        <w:spacing w:after="0" w:line="247" w:lineRule="auto"/>
        <w:rPr>
          <w:sz w:val="20"/>
          <w:szCs w:val="20"/>
          <w:color w:val="auto"/>
        </w:rPr>
      </w:pPr>
      <w:r>
        <w:rPr>
          <w:rFonts w:ascii="Times New Roman" w:cs="Times New Roman" w:eastAsia="Times New Roman" w:hAnsi="Times New Roman"/>
          <w:sz w:val="16"/>
          <w:szCs w:val="16"/>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45.55% for the second quarter of 2025, compared to 45.10% for the second quarter of 2024.</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21" w:right="640"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Second Quarter of 2025 Compared to the Second Quarter of 2024</w:t>
      </w:r>
    </w:p>
    <w:p>
      <w:pPr>
        <w:spacing w:after="0" w:line="180" w:lineRule="exact"/>
        <w:rPr>
          <w:sz w:val="20"/>
          <w:szCs w:val="20"/>
          <w:color w:val="auto"/>
        </w:rPr>
      </w:pPr>
    </w:p>
    <w:p>
      <w:pPr>
        <w:ind w:firstLine="432"/>
        <w:spacing w:after="0" w:line="247" w:lineRule="auto"/>
        <w:rPr>
          <w:sz w:val="20"/>
          <w:szCs w:val="20"/>
          <w:color w:val="auto"/>
        </w:rPr>
      </w:pPr>
      <w:r>
        <w:rPr>
          <w:rFonts w:ascii="Times New Roman" w:cs="Times New Roman" w:eastAsia="Times New Roman" w:hAnsi="Times New Roman"/>
          <w:sz w:val="16"/>
          <w:szCs w:val="16"/>
          <w:color w:val="auto"/>
        </w:rPr>
        <w:t>Noninterest expense of $57.6 million for the second quarter of 2025, was $1.1 million, or 1.88% higher than the second quarter of 2024. The $1.1 million increase in noninterest expense year-over-year included the impact of a $500,000 recapture of unfunded commitments reserve in the second quarter of 2024 and a $700,000 reduction of the FDIC special assessment accrual recorded in the second quarter of 2024.</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Six Months of 2025 Compared to Six Months of 2024</w:t>
      </w:r>
    </w:p>
    <w:p>
      <w:pPr>
        <w:spacing w:after="0" w:line="180" w:lineRule="exact"/>
        <w:rPr>
          <w:sz w:val="20"/>
          <w:szCs w:val="20"/>
          <w:color w:val="auto"/>
        </w:rPr>
      </w:pPr>
    </w:p>
    <w:p>
      <w:pPr>
        <w:ind w:firstLine="432"/>
        <w:spacing w:after="0" w:line="275" w:lineRule="auto"/>
        <w:rPr>
          <w:sz w:val="20"/>
          <w:szCs w:val="20"/>
          <w:color w:val="auto"/>
        </w:rPr>
      </w:pPr>
      <w:r>
        <w:rPr>
          <w:rFonts w:ascii="Times New Roman" w:cs="Times New Roman" w:eastAsia="Times New Roman" w:hAnsi="Times New Roman"/>
          <w:sz w:val="14"/>
          <w:szCs w:val="14"/>
          <w:color w:val="auto"/>
        </w:rPr>
        <w:t>Noninterest expense of $116.7 million for the first six months of 2025 was $433,000 higher than the prior year period. Year-over-year expense increases included $1.2 billion, or a 15.5% increase in data processing costs from continued investments in technology and automation, which coincides with a $351,000 decrease in salary and benefit expense. Regulatory assessment expense declined by $1.8 million as there was additional accruals in the first half of 2024 for the FDIC special assessment fee from initial estimates of losses from bank failures in 2023. This was offset by the impact of the change in unfunded commitment reserve. The first six months of</w:t>
      </w:r>
    </w:p>
    <w:p>
      <w:pPr>
        <w:spacing w:after="0" w:line="236" w:lineRule="auto"/>
        <w:rPr>
          <w:sz w:val="20"/>
          <w:szCs w:val="20"/>
          <w:color w:val="auto"/>
        </w:rPr>
      </w:pPr>
      <w:r>
        <w:rPr>
          <w:rFonts w:ascii="Times New Roman" w:cs="Times New Roman" w:eastAsia="Times New Roman" w:hAnsi="Times New Roman"/>
          <w:sz w:val="16"/>
          <w:szCs w:val="16"/>
          <w:color w:val="auto"/>
        </w:rPr>
        <w:t>2025 included $500,000 in provision for unfunded loan commitments, compared to $500,000 recapture of for the same period of 2024, resulting in a $1 million increase in expense. Legal expenses also decreased by $896,000 in the first half of 2025, primarily due to legal expenses incurred in the first half of 2024 related to the lawsuit the Company pursued related to allegations of trade secrets misappropriation that was settled subsequent to the end of the second quarter of 2025. As a percentage of average assets, noninterest expense was 1.55% for the six months ended June 30, 2025, compared to 1.44% for the same period of 2024. For the six months ended June 30, 2025, the efficiency ratio was 46.12%, compared to 46.17% for the same period of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56" w:lineRule="exact"/>
        <w:rPr>
          <w:sz w:val="20"/>
          <w:szCs w:val="20"/>
          <w:color w:val="auto"/>
        </w:rPr>
      </w:pPr>
    </w:p>
    <w:p>
      <w:pPr>
        <w:ind w:right="20" w:firstLine="432"/>
        <w:spacing w:after="0" w:line="247" w:lineRule="auto"/>
        <w:rPr>
          <w:sz w:val="20"/>
          <w:szCs w:val="20"/>
          <w:color w:val="auto"/>
        </w:rPr>
      </w:pPr>
      <w:r>
        <w:rPr>
          <w:rFonts w:ascii="Times New Roman" w:cs="Times New Roman" w:eastAsia="Times New Roman" w:hAnsi="Times New Roman"/>
          <w:sz w:val="16"/>
          <w:szCs w:val="16"/>
          <w:color w:val="auto"/>
        </w:rPr>
        <w:t>The Company’s effective tax rate for the three and six months ended June 30, 2025 was 26.50%, compared to 27.25% for the three and six months ended June 30, 2024, respectively. Our estimated annual effective tax rate also varies depending upon the level of tax-advantaged income from municipal securities and BOLI, as well as available tax credits. The decrease in the effective tax rate was primarily driven by increased investments in solar tax credits.</w:t>
      </w:r>
    </w:p>
    <w:p>
      <w:pPr>
        <w:spacing w:after="0" w:line="152" w:lineRule="exact"/>
        <w:rPr>
          <w:sz w:val="20"/>
          <w:szCs w:val="20"/>
          <w:color w:val="auto"/>
        </w:rPr>
      </w:pPr>
    </w:p>
    <w:p>
      <w:pPr>
        <w:ind w:right="540" w:firstLine="432"/>
        <w:spacing w:after="0" w:line="259" w:lineRule="auto"/>
        <w:rPr>
          <w:sz w:val="20"/>
          <w:szCs w:val="20"/>
          <w:color w:val="auto"/>
        </w:rPr>
      </w:pPr>
      <w:r>
        <w:rPr>
          <w:rFonts w:ascii="Times New Roman" w:cs="Times New Roman" w:eastAsia="Times New Roman" w:hAnsi="Times New Roman"/>
          <w:sz w:val="16"/>
          <w:szCs w:val="16"/>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7" w:right="660" w:bottom="1440" w:gutter="0" w:footer="0" w:header="0"/>
        </w:sectPr>
      </w:pPr>
    </w:p>
    <w:bookmarkStart w:id="52" w:name="page53"/>
    <w:bookmarkEnd w:id="52"/>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ANALYSIS OF FINANCIAL CONDITION</w:t>
      </w:r>
    </w:p>
    <w:p>
      <w:pPr>
        <w:spacing w:after="0" w:line="178" w:lineRule="exact"/>
        <w:rPr>
          <w:sz w:val="20"/>
          <w:szCs w:val="20"/>
          <w:color w:val="auto"/>
        </w:rPr>
      </w:pPr>
    </w:p>
    <w:p>
      <w:pPr>
        <w:ind w:right="120" w:firstLine="432"/>
        <w:spacing w:after="0" w:line="243" w:lineRule="auto"/>
        <w:rPr>
          <w:sz w:val="20"/>
          <w:szCs w:val="20"/>
          <w:color w:val="auto"/>
        </w:rPr>
      </w:pPr>
      <w:r>
        <w:rPr>
          <w:rFonts w:ascii="Times New Roman" w:cs="Times New Roman" w:eastAsia="Times New Roman" w:hAnsi="Times New Roman"/>
          <w:sz w:val="16"/>
          <w:szCs w:val="16"/>
          <w:color w:val="auto"/>
        </w:rPr>
        <w:t>Total assets of $ 15.41 billion at June 30, 2025 increased by $260.5 million, or 1.72%, from total assets of $15.15 billion at December 31, 2024. Interest-earning assets of $13.74 billion at June 30, 2025 increased by $217.1 million, or 1.60%, when compared with $13.53 billion at December 31, 2024. The increase in interest-earning assets was primarily due to a $492.8 million increase in interest-earning balances due from the Federal Reserve, offset by a $177.9 million decrease in total loans, and a $108.2 million decrease in investment securities.</w:t>
      </w:r>
    </w:p>
    <w:p>
      <w:pPr>
        <w:spacing w:after="0" w:line="155" w:lineRule="exact"/>
        <w:rPr>
          <w:sz w:val="20"/>
          <w:szCs w:val="20"/>
          <w:color w:val="auto"/>
        </w:rPr>
      </w:pPr>
    </w:p>
    <w:p>
      <w:pPr>
        <w:ind w:firstLine="432"/>
        <w:spacing w:after="0" w:line="243" w:lineRule="auto"/>
        <w:rPr>
          <w:sz w:val="20"/>
          <w:szCs w:val="20"/>
          <w:color w:val="auto"/>
        </w:rPr>
      </w:pPr>
      <w:r>
        <w:rPr>
          <w:rFonts w:ascii="Times New Roman" w:cs="Times New Roman" w:eastAsia="Times New Roman" w:hAnsi="Times New Roman"/>
          <w:sz w:val="16"/>
          <w:szCs w:val="16"/>
          <w:color w:val="auto"/>
        </w:rPr>
        <w:t>Total liabilities were $13.17 billion at June 30, 2025, an increase of $206.5 million, or 1.59%, from total liabilities of $12.97 billion at December 31, 2024. Total deposits increased by $36.4 million, or 0.30%, with noninterest- bearing deposits increasing by $210.0 million, or 2.98%. Interest-bearing deposits declined by $173.6 million, or 3.53%. Borrowings remained the same balance as of December 31, 2024. At June 30, 2025, total borrowings consisted of $500 million of FHLB advances, at an average cost of approximately 4.6%.</w:t>
      </w:r>
    </w:p>
    <w:p>
      <w:pPr>
        <w:spacing w:after="0" w:line="155" w:lineRule="exact"/>
        <w:rPr>
          <w:sz w:val="20"/>
          <w:szCs w:val="20"/>
          <w:color w:val="auto"/>
        </w:rPr>
      </w:pPr>
    </w:p>
    <w:p>
      <w:pPr>
        <w:ind w:right="20" w:firstLine="432"/>
        <w:spacing w:after="0" w:line="243" w:lineRule="auto"/>
        <w:rPr>
          <w:sz w:val="20"/>
          <w:szCs w:val="20"/>
          <w:color w:val="auto"/>
        </w:rPr>
      </w:pPr>
      <w:r>
        <w:rPr>
          <w:rFonts w:ascii="Times New Roman" w:cs="Times New Roman" w:eastAsia="Times New Roman" w:hAnsi="Times New Roman"/>
          <w:sz w:val="16"/>
          <w:szCs w:val="16"/>
          <w:color w:val="auto"/>
        </w:rPr>
        <w:t>Total equity increased $54.0 million to $2.24 billion at June 30, 2025, compared to total equity of $2.19 billion at December 31, 2024. Increases to equity included $101.7 million in net earnings and a $43.9 million increase in other comprehensive income that were partially offset by $55.6 million in cash dividends. In the first half of 2025, we repurchased, under our stock repurchase plan, 2,063,564 shares of common stock, at an average repurchase price of $18.15, totaling $37.5 million. We engaged in no stock repurchases during the first half of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Securities</w:t>
      </w:r>
    </w:p>
    <w:p>
      <w:pPr>
        <w:spacing w:after="0" w:line="180" w:lineRule="exact"/>
        <w:rPr>
          <w:sz w:val="20"/>
          <w:szCs w:val="20"/>
          <w:color w:val="auto"/>
        </w:rPr>
      </w:pPr>
    </w:p>
    <w:p>
      <w:pPr>
        <w:ind w:firstLine="432"/>
        <w:spacing w:after="0" w:line="237" w:lineRule="auto"/>
        <w:rPr>
          <w:sz w:val="20"/>
          <w:szCs w:val="20"/>
          <w:color w:val="auto"/>
        </w:rPr>
      </w:pPr>
      <w:r>
        <w:rPr>
          <w:rFonts w:ascii="Times New Roman" w:cs="Times New Roman" w:eastAsia="Times New Roman" w:hAnsi="Times New Roman"/>
          <w:sz w:val="16"/>
          <w:szCs w:val="16"/>
          <w:color w:val="auto"/>
        </w:rPr>
        <w:t>The Company maintains a portfolio of investment securities to provide interest income and to serve as a source of liquidity for its ongoing operations. We continued to shrink our investment portfolio. At June 30, 2025, total investment securities were $4.81 billion. This represented a decrease of $108.2 million, or 2.20%, from $4.92 billion at December 31, 2024. The overall decrease in investment securities was primarily due to a $55.8 million decline in our AFS securities. At June 30, 2025, our AFS investment securities totaled $2.49 billion, inclusive of a pre-tax net unrealized loss of $363.7 million. The $ 84 million increase in fair value of our AFS securities was partially offset by a $17 million decrease in the fair value of our derivatives that hedge the change in value of our AFS portfolio. The after-tax unrealized loss reported in AOCI on our AFS investment securities at June 30, 2025 was $258 million. The changes in the net unrealized holding loss resulted primarily from fluctuations in market interest rates. At June 30, 2025, investment securities HTM totaled $2.33 billion. For the six months ended June 30, 2025 and 2024, repayments/maturities of investment securities totaled $ 220 million and $258.4 million, respectively. The Company purchased $29.3 million and $33 million of short-term treasury notes for pledging purposes in the second quarter of 2025 and 2024, respectively. We also originated $6.2 million of Commercial Property Assessed Clean Energy ("C-PACE") bonds in the first half of 2025, which are included in our HTM securities portfolio. There were no investment securities sold during the second quarter of 2025 and 2024.</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19" w:right="700" w:bottom="1440" w:gutter="0" w:footer="0" w:header="0"/>
        </w:sectPr>
      </w:pPr>
    </w:p>
    <w:bookmarkStart w:id="53" w:name="page54"/>
    <w:bookmarkEnd w:id="53"/>
    <w:p>
      <w:pPr>
        <w:ind w:left="440"/>
        <w:spacing w:after="0"/>
        <w:rPr>
          <w:sz w:val="20"/>
          <w:szCs w:val="20"/>
          <w:color w:val="auto"/>
        </w:rPr>
      </w:pPr>
      <w:r>
        <w:rPr>
          <w:rFonts w:ascii="Times New Roman" w:cs="Times New Roman" w:eastAsia="Times New Roman" w:hAnsi="Times New Roman"/>
          <w:sz w:val="16"/>
          <w:szCs w:val="16"/>
          <w:color w:val="auto"/>
        </w:rPr>
        <w:t>The tables below set forth our investment securities AFS and HTM portfolio by type for the dates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40" w:type="dxa"/>
            <w:vAlign w:val="bottom"/>
          </w:tcPr>
          <w:p>
            <w:pPr>
              <w:spacing w:after="0"/>
              <w:rPr>
                <w:sz w:val="17"/>
                <w:szCs w:val="17"/>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June 30, 2025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40" w:type="dxa"/>
            <w:vAlign w:val="bottom"/>
          </w:tcPr>
          <w:p>
            <w:pPr>
              <w:spacing w:after="0"/>
              <w:rPr>
                <w:sz w:val="15"/>
                <w:szCs w:val="15"/>
                <w:color w:val="auto"/>
              </w:rPr>
            </w:pPr>
          </w:p>
        </w:tc>
        <w:tc>
          <w:tcPr>
            <w:tcW w:w="134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Holding Gain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Holding Loss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Total Percent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34,369</w:t>
            </w:r>
          </w:p>
        </w:tc>
        <w:tc>
          <w:tcPr>
            <w:tcW w:w="160" w:type="dxa"/>
            <w:vAlign w:val="bottom"/>
          </w:tcPr>
          <w:p>
            <w:pPr>
              <w:spacing w:after="0"/>
              <w:rPr>
                <w:sz w:val="15"/>
                <w:szCs w:val="15"/>
                <w:color w:val="auto"/>
              </w:rPr>
            </w:pP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6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34,372</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2,329,953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1,339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(251,108)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2,080,184</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462,422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(112,812)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349,610</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21,770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(1,179)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20,619</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securities</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Unallocated portfolio layer fair value basis</w:t>
            </w: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(1)</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(9,585)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840" w:type="dxa"/>
            <w:vAlign w:val="bottom"/>
            <w:gridSpan w:val="2"/>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2,840,450</w:t>
            </w:r>
          </w:p>
        </w:tc>
        <w:tc>
          <w:tcPr>
            <w:tcW w:w="160" w:type="dxa"/>
            <w:vAlign w:val="bottom"/>
          </w:tcPr>
          <w:p>
            <w:pPr>
              <w:spacing w:after="0"/>
              <w:rPr>
                <w:sz w:val="15"/>
                <w:szCs w:val="15"/>
                <w:color w:val="auto"/>
              </w:rPr>
            </w:pPr>
          </w:p>
        </w:tc>
        <w:tc>
          <w:tcPr>
            <w:tcW w:w="22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10,957</w:t>
            </w:r>
          </w:p>
        </w:tc>
        <w:tc>
          <w:tcPr>
            <w:tcW w:w="36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(365,101</w:t>
            </w:r>
            <w:r>
              <w:rPr>
                <w:rFonts w:ascii="Times New Roman" w:cs="Times New Roman" w:eastAsia="Times New Roman" w:hAnsi="Times New Roman"/>
                <w:sz w:val="18"/>
                <w:szCs w:val="18"/>
                <w:color w:val="auto"/>
                <w:vertAlign w:val="subscript"/>
              </w:rPr>
              <w:t>)</w:t>
            </w:r>
          </w:p>
        </w:tc>
        <w:tc>
          <w:tcPr>
            <w:tcW w:w="26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2,486,306</w:t>
            </w:r>
          </w:p>
        </w:tc>
        <w:tc>
          <w:tcPr>
            <w:tcW w:w="240" w:type="dxa"/>
            <w:vAlign w:val="bottom"/>
          </w:tcPr>
          <w:p>
            <w:pPr>
              <w:spacing w:after="0"/>
              <w:rPr>
                <w:sz w:val="15"/>
                <w:szCs w:val="15"/>
                <w:color w:val="auto"/>
              </w:rPr>
            </w:pPr>
          </w:p>
        </w:tc>
        <w:tc>
          <w:tcPr>
            <w:tcW w:w="11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506,465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312" w:lineRule="exact"/>
              <w:rPr>
                <w:sz w:val="20"/>
                <w:szCs w:val="20"/>
                <w:color w:val="auto"/>
              </w:rPr>
            </w:pPr>
            <w:r>
              <w:rPr>
                <w:rFonts w:ascii="Times New Roman" w:cs="Times New Roman" w:eastAsia="Times New Roman" w:hAnsi="Times New Roman"/>
                <w:sz w:val="16"/>
                <w:szCs w:val="16"/>
                <w:color w:val="auto"/>
              </w:rPr>
              <w:t>(91,663</w:t>
            </w:r>
            <w:r>
              <w:rPr>
                <w:rFonts w:ascii="Times New Roman" w:cs="Times New Roman" w:eastAsia="Times New Roman" w:hAnsi="Times New Roman"/>
                <w:sz w:val="31"/>
                <w:szCs w:val="31"/>
                <w:color w:val="auto"/>
                <w:vertAlign w:val="subscript"/>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414,802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583,542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(98,102)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485,440</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770,567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(160,170)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610,397</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33.11%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448,971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(42,898)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406,432</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 xml:space="preserve">Other securities </w:t>
            </w:r>
            <w:r>
              <w:rPr>
                <w:rFonts w:ascii="Times New Roman" w:cs="Times New Roman" w:eastAsia="Times New Roman" w:hAnsi="Times New Roman"/>
                <w:sz w:val="20"/>
                <w:szCs w:val="20"/>
                <w:color w:val="auto"/>
                <w:vertAlign w:val="superscript"/>
              </w:rPr>
              <w:t>(2)</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17,685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17,685</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0.76%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0" w:type="dxa"/>
            <w:vAlign w:val="bottom"/>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held-to-maturity securities</w:t>
            </w:r>
          </w:p>
        </w:tc>
        <w:tc>
          <w:tcPr>
            <w:tcW w:w="840" w:type="dxa"/>
            <w:vAlign w:val="bottom"/>
            <w:gridSpan w:val="2"/>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2,327,230</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359</w:t>
            </w:r>
          </w:p>
        </w:tc>
        <w:tc>
          <w:tcPr>
            <w:tcW w:w="360" w:type="dxa"/>
            <w:vAlign w:val="bottom"/>
            <w:gridSpan w:val="2"/>
            <w:shd w:val="clear" w:color="auto" w:fill="CFF0FC"/>
          </w:tcPr>
          <w:p>
            <w:pPr>
              <w:ind w:lef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(392,833</w:t>
            </w:r>
            <w:r>
              <w:rPr>
                <w:rFonts w:ascii="Times New Roman" w:cs="Times New Roman" w:eastAsia="Times New Roman" w:hAnsi="Times New Roman"/>
                <w:sz w:val="18"/>
                <w:szCs w:val="18"/>
                <w:color w:val="auto"/>
                <w:vertAlign w:val="subscript"/>
              </w:rPr>
              <w:t>)</w:t>
            </w:r>
          </w:p>
        </w:tc>
        <w:tc>
          <w:tcPr>
            <w:tcW w:w="26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1,934,756</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vMerge w:val="restart"/>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40" w:type="dxa"/>
            <w:vAlign w:val="bottom"/>
          </w:tcPr>
          <w:p>
            <w:pPr>
              <w:spacing w:after="0"/>
              <w:rPr>
                <w:sz w:val="15"/>
                <w:szCs w:val="15"/>
                <w:color w:val="auto"/>
              </w:rPr>
            </w:pPr>
          </w:p>
        </w:tc>
        <w:tc>
          <w:tcPr>
            <w:tcW w:w="134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Holding Gain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Holding Loss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Total Percent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34,149</w:t>
            </w:r>
          </w:p>
        </w:tc>
        <w:tc>
          <w:tcPr>
            <w:tcW w:w="160" w:type="dxa"/>
            <w:vAlign w:val="bottom"/>
          </w:tcPr>
          <w:p>
            <w:pPr>
              <w:spacing w:after="0"/>
              <w:rPr>
                <w:sz w:val="15"/>
                <w:szCs w:val="15"/>
                <w:color w:val="auto"/>
              </w:rPr>
            </w:pP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36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34,255</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2,460,573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(326,376)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2,134,534</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471,921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(120,399)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351,522</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21,755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(1,406)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20,377</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securities</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Unallocated portfolio layer fair value basis</w:t>
            </w: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(1)</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7,222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(7,222)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840" w:type="dxa"/>
            <w:vAlign w:val="bottom"/>
            <w:gridSpan w:val="2"/>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2,997,047</w:t>
            </w:r>
          </w:p>
        </w:tc>
        <w:tc>
          <w:tcPr>
            <w:tcW w:w="160" w:type="dxa"/>
            <w:vAlign w:val="bottom"/>
          </w:tcPr>
          <w:p>
            <w:pPr>
              <w:spacing w:after="0"/>
              <w:rPr>
                <w:sz w:val="15"/>
                <w:szCs w:val="15"/>
                <w:color w:val="auto"/>
              </w:rPr>
            </w:pPr>
          </w:p>
        </w:tc>
        <w:tc>
          <w:tcPr>
            <w:tcW w:w="22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471</w:t>
            </w:r>
          </w:p>
        </w:tc>
        <w:tc>
          <w:tcPr>
            <w:tcW w:w="36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(455,403</w:t>
            </w:r>
            <w:r>
              <w:rPr>
                <w:rFonts w:ascii="Times New Roman" w:cs="Times New Roman" w:eastAsia="Times New Roman" w:hAnsi="Times New Roman"/>
                <w:sz w:val="18"/>
                <w:szCs w:val="18"/>
                <w:color w:val="auto"/>
                <w:vertAlign w:val="subscript"/>
              </w:rPr>
              <w:t>)</w:t>
            </w:r>
          </w:p>
        </w:tc>
        <w:tc>
          <w:tcPr>
            <w:tcW w:w="26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2,542,115</w:t>
            </w:r>
          </w:p>
        </w:tc>
        <w:tc>
          <w:tcPr>
            <w:tcW w:w="240" w:type="dxa"/>
            <w:vAlign w:val="bottom"/>
          </w:tcPr>
          <w:p>
            <w:pPr>
              <w:spacing w:after="0"/>
              <w:rPr>
                <w:sz w:val="15"/>
                <w:szCs w:val="15"/>
                <w:color w:val="auto"/>
              </w:rPr>
            </w:pPr>
          </w:p>
        </w:tc>
        <w:tc>
          <w:tcPr>
            <w:tcW w:w="11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514,572</w:t>
            </w: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(106,315)</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408,257</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614,383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(110,020)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504,363</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784,059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(170,121)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613,938</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32.95%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455,199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1,158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(40,025)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416,332</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 xml:space="preserve">Other securities </w:t>
            </w:r>
            <w:r>
              <w:rPr>
                <w:rFonts w:ascii="Times New Roman" w:cs="Times New Roman" w:eastAsia="Times New Roman" w:hAnsi="Times New Roman"/>
                <w:sz w:val="20"/>
                <w:szCs w:val="20"/>
                <w:color w:val="auto"/>
                <w:vertAlign w:val="superscript"/>
              </w:rPr>
              <w:t>(2)</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11,455</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0" w:type="dxa"/>
            <w:vAlign w:val="bottom"/>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held-to-maturity securities</w:t>
            </w:r>
          </w:p>
        </w:tc>
        <w:tc>
          <w:tcPr>
            <w:tcW w:w="840" w:type="dxa"/>
            <w:vAlign w:val="bottom"/>
            <w:gridSpan w:val="2"/>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2,379,668</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1,158</w:t>
            </w:r>
          </w:p>
        </w:tc>
        <w:tc>
          <w:tcPr>
            <w:tcW w:w="360" w:type="dxa"/>
            <w:vAlign w:val="bottom"/>
            <w:gridSpan w:val="2"/>
            <w:shd w:val="clear" w:color="auto" w:fill="CFF0FC"/>
          </w:tcPr>
          <w:p>
            <w:pPr>
              <w:ind w:lef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(426,481</w:t>
            </w:r>
            <w:r>
              <w:rPr>
                <w:rFonts w:ascii="Times New Roman" w:cs="Times New Roman" w:eastAsia="Times New Roman" w:hAnsi="Times New Roman"/>
                <w:sz w:val="18"/>
                <w:szCs w:val="18"/>
                <w:color w:val="auto"/>
                <w:vertAlign w:val="subscript"/>
              </w:rPr>
              <w:t>)</w:t>
            </w:r>
          </w:p>
        </w:tc>
        <w:tc>
          <w:tcPr>
            <w:tcW w:w="26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1,954,345</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60" w:right="100"/>
        <w:spacing w:after="0" w:line="268" w:lineRule="auto"/>
        <w:rPr>
          <w:sz w:val="20"/>
          <w:szCs w:val="20"/>
          <w:color w:val="auto"/>
        </w:rPr>
      </w:pPr>
      <w:r>
        <w:rPr>
          <w:rFonts w:ascii="Times New Roman" w:cs="Times New Roman" w:eastAsia="Times New Roman" w:hAnsi="Times New Roman"/>
          <w:sz w:val="13"/>
          <w:szCs w:val="13"/>
          <w:color w:val="auto"/>
        </w:rPr>
        <w:t>(1)Represents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9 for additional information.</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(2)Represents Commercial Property Assessed Clean Energy ("C-PACE") bonds.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54" w:name="page55"/>
    <w:bookmarkEnd w:id="54"/>
    <w:p>
      <w:pPr>
        <w:spacing w:after="0" w:line="161" w:lineRule="exact"/>
        <w:rPr>
          <w:sz w:val="20"/>
          <w:szCs w:val="20"/>
          <w:color w:val="auto"/>
        </w:rPr>
      </w:pPr>
    </w:p>
    <w:p>
      <w:pPr>
        <w:ind w:right="260" w:firstLine="432"/>
        <w:spacing w:after="0" w:line="331" w:lineRule="auto"/>
        <w:rPr>
          <w:sz w:val="20"/>
          <w:szCs w:val="20"/>
          <w:color w:val="auto"/>
        </w:rPr>
      </w:pPr>
      <w:r>
        <w:rPr>
          <w:rFonts w:ascii="Times New Roman" w:cs="Times New Roman" w:eastAsia="Times New Roman" w:hAnsi="Times New Roman"/>
          <w:sz w:val="14"/>
          <w:szCs w:val="14"/>
          <w:color w:val="auto"/>
        </w:rPr>
        <w:t>As of June 30, 2025, approximately $24.0 million in U.S. government agency bonds are callable. The Agency CMO/REMIC securities are backed by agency-pooled collateral. Municipal bonds, which represented approximately 9% of the total investment portfolio, are predominately AA or higher rated securities.</w:t>
      </w:r>
    </w:p>
    <w:p>
      <w:pPr>
        <w:spacing w:after="0" w:line="96"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Company’s AFS investment securities and HTM investment securities, by investment category, in an unrealized loss position for which an allowance for credit losses has not been recorded as of June 30, 2025 and December 31,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4"/>
                <w:szCs w:val="14"/>
                <w:color w:val="auto"/>
              </w:rPr>
            </w:pP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4,914</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4,914</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192,892</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1,725,631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(250,072)</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1,918,523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(251,108)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(112,812)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349,609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(112,812)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19,696</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19,696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Total available-for-sale securities</w:t>
            </w:r>
          </w:p>
        </w:tc>
        <w:tc>
          <w:tcPr>
            <w:tcW w:w="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197,806</w:t>
            </w:r>
          </w:p>
        </w:tc>
        <w:tc>
          <w:tcPr>
            <w:tcW w:w="400" w:type="dxa"/>
            <w:vAlign w:val="bottom"/>
            <w:gridSpan w:val="2"/>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(1,038</w:t>
            </w:r>
            <w:r>
              <w:rPr>
                <w:rFonts w:ascii="Times New Roman" w:cs="Times New Roman" w:eastAsia="Times New Roman" w:hAnsi="Times New Roman"/>
                <w:sz w:val="17"/>
                <w:szCs w:val="17"/>
                <w:color w:val="auto"/>
                <w:vertAlign w:val="subscript"/>
              </w:rPr>
              <w:t>)</w:t>
            </w:r>
          </w:p>
        </w:tc>
        <w:tc>
          <w:tcPr>
            <w:tcW w:w="24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2,094,936</w:t>
            </w:r>
          </w:p>
        </w:tc>
        <w:tc>
          <w:tcPr>
            <w:tcW w:w="400" w:type="dxa"/>
            <w:vAlign w:val="bottom"/>
            <w:gridSpan w:val="2"/>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(364,063</w:t>
            </w:r>
            <w:r>
              <w:rPr>
                <w:rFonts w:ascii="Times New Roman" w:cs="Times New Roman" w:eastAsia="Times New Roman" w:hAnsi="Times New Roman"/>
                <w:sz w:val="17"/>
                <w:szCs w:val="17"/>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2,292,742</w:t>
            </w:r>
          </w:p>
        </w:tc>
        <w:tc>
          <w:tcPr>
            <w:tcW w:w="360" w:type="dxa"/>
            <w:vAlign w:val="bottom"/>
            <w:gridSpan w:val="2"/>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(365,101</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414,802</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(91,663)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414,802</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(91,663)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483,518</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(98,097)</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485,440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(98,102)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610,397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(160,170)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610,397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(160,170)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89,306</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(3,976)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292,372</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(38,922)</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381,678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(42,898)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Total held-to-maturity securities</w:t>
            </w:r>
          </w:p>
        </w:tc>
        <w:tc>
          <w:tcPr>
            <w:tcW w:w="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91,228</w:t>
            </w:r>
          </w:p>
        </w:tc>
        <w:tc>
          <w:tcPr>
            <w:tcW w:w="400" w:type="dxa"/>
            <w:vAlign w:val="bottom"/>
            <w:gridSpan w:val="2"/>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(3,981</w:t>
            </w:r>
            <w:r>
              <w:rPr>
                <w:rFonts w:ascii="Times New Roman" w:cs="Times New Roman" w:eastAsia="Times New Roman" w:hAnsi="Times New Roman"/>
                <w:sz w:val="17"/>
                <w:szCs w:val="17"/>
                <w:color w:val="auto"/>
                <w:vertAlign w:val="subscript"/>
              </w:rPr>
              <w:t>)</w:t>
            </w:r>
          </w:p>
        </w:tc>
        <w:tc>
          <w:tcPr>
            <w:tcW w:w="24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1,801,089</w:t>
            </w:r>
          </w:p>
        </w:tc>
        <w:tc>
          <w:tcPr>
            <w:tcW w:w="400" w:type="dxa"/>
            <w:vAlign w:val="bottom"/>
            <w:gridSpan w:val="2"/>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(388,852</w:t>
            </w:r>
            <w:r>
              <w:rPr>
                <w:rFonts w:ascii="Times New Roman" w:cs="Times New Roman" w:eastAsia="Times New Roman" w:hAnsi="Times New Roman"/>
                <w:sz w:val="17"/>
                <w:szCs w:val="17"/>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1,892,317</w:t>
            </w:r>
          </w:p>
        </w:tc>
        <w:tc>
          <w:tcPr>
            <w:tcW w:w="360" w:type="dxa"/>
            <w:vAlign w:val="bottom"/>
            <w:gridSpan w:val="2"/>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(392,833</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4"/>
                <w:szCs w:val="14"/>
                <w:color w:val="auto"/>
              </w:rPr>
            </w:pP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204,428</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1,757,066</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(325,677)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1,961,494</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(326,377)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351,521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(120,399)</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351,522</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(120,399)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(1,405)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shd w:val="clear" w:color="auto" w:fill="CFF0FC"/>
          </w:tcPr>
          <w:p>
            <w:pPr>
              <w:ind w:left="140"/>
              <w:spacing w:after="0" w:line="148" w:lineRule="exact"/>
              <w:rPr>
                <w:sz w:val="20"/>
                <w:szCs w:val="20"/>
                <w:color w:val="auto"/>
              </w:rPr>
            </w:pPr>
            <w:r>
              <w:rPr>
                <w:rFonts w:ascii="Times New Roman" w:cs="Times New Roman" w:eastAsia="Times New Roman" w:hAnsi="Times New Roman"/>
                <w:sz w:val="14"/>
                <w:szCs w:val="14"/>
                <w:color w:val="auto"/>
              </w:rPr>
              <w:t>Total available-for-sale securities</w:t>
            </w: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207,644</w:t>
            </w:r>
          </w:p>
        </w:tc>
        <w:tc>
          <w:tcPr>
            <w:tcW w:w="400" w:type="dxa"/>
            <w:vAlign w:val="bottom"/>
            <w:gridSpan w:val="2"/>
            <w:shd w:val="clear" w:color="auto" w:fill="CFF0FC"/>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(855</w:t>
            </w:r>
            <w:r>
              <w:rPr>
                <w:rFonts w:ascii="Times New Roman" w:cs="Times New Roman" w:eastAsia="Times New Roman" w:hAnsi="Times New Roman"/>
                <w:sz w:val="17"/>
                <w:szCs w:val="17"/>
                <w:color w:val="auto"/>
                <w:vertAlign w:val="subscript"/>
              </w:rPr>
              <w:t>)</w:t>
            </w:r>
          </w:p>
        </w:tc>
        <w:tc>
          <w:tcPr>
            <w:tcW w:w="24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2,124,849</w:t>
            </w:r>
          </w:p>
        </w:tc>
        <w:tc>
          <w:tcPr>
            <w:tcW w:w="400" w:type="dxa"/>
            <w:vAlign w:val="bottom"/>
            <w:gridSpan w:val="2"/>
            <w:shd w:val="clear" w:color="auto" w:fill="CFF0FC"/>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(447,326</w:t>
            </w:r>
            <w:r>
              <w:rPr>
                <w:rFonts w:ascii="Times New Roman" w:cs="Times New Roman" w:eastAsia="Times New Roman" w:hAnsi="Times New Roman"/>
                <w:sz w:val="17"/>
                <w:szCs w:val="17"/>
                <w:color w:val="auto"/>
                <w:vertAlign w:val="subscript"/>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2,332,493</w:t>
            </w:r>
          </w:p>
        </w:tc>
        <w:tc>
          <w:tcPr>
            <w:tcW w:w="3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(448,181</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Government agency/GSE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408,257</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(106,315)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408,257</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(106,315)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502,292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(109,978)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504,364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(110,020)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613,937</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(170,121)</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613,937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(170,121)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63,668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286,868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(38,958)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350,536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(40,025)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shd w:val="clear" w:color="auto" w:fill="CFF0FC"/>
          </w:tcPr>
          <w:p>
            <w:pPr>
              <w:ind w:left="140"/>
              <w:spacing w:after="0" w:line="148" w:lineRule="exact"/>
              <w:rPr>
                <w:sz w:val="20"/>
                <w:szCs w:val="20"/>
                <w:color w:val="auto"/>
              </w:rPr>
            </w:pPr>
            <w:r>
              <w:rPr>
                <w:rFonts w:ascii="Times New Roman" w:cs="Times New Roman" w:eastAsia="Times New Roman" w:hAnsi="Times New Roman"/>
                <w:sz w:val="14"/>
                <w:szCs w:val="14"/>
                <w:color w:val="auto"/>
              </w:rPr>
              <w:t>Total held-to-maturity securities</w:t>
            </w: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65,740</w:t>
            </w:r>
          </w:p>
        </w:tc>
        <w:tc>
          <w:tcPr>
            <w:tcW w:w="400" w:type="dxa"/>
            <w:vAlign w:val="bottom"/>
            <w:gridSpan w:val="2"/>
            <w:shd w:val="clear" w:color="auto" w:fill="CFF0FC"/>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(1,109</w:t>
            </w:r>
            <w:r>
              <w:rPr>
                <w:rFonts w:ascii="Times New Roman" w:cs="Times New Roman" w:eastAsia="Times New Roman" w:hAnsi="Times New Roman"/>
                <w:sz w:val="17"/>
                <w:szCs w:val="17"/>
                <w:color w:val="auto"/>
                <w:vertAlign w:val="subscript"/>
              </w:rPr>
              <w:t>)</w:t>
            </w:r>
          </w:p>
        </w:tc>
        <w:tc>
          <w:tcPr>
            <w:tcW w:w="24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1,811,354</w:t>
            </w:r>
          </w:p>
        </w:tc>
        <w:tc>
          <w:tcPr>
            <w:tcW w:w="400" w:type="dxa"/>
            <w:vAlign w:val="bottom"/>
            <w:gridSpan w:val="2"/>
            <w:shd w:val="clear" w:color="auto" w:fill="CFF0FC"/>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(425,372</w:t>
            </w:r>
            <w:r>
              <w:rPr>
                <w:rFonts w:ascii="Times New Roman" w:cs="Times New Roman" w:eastAsia="Times New Roman" w:hAnsi="Times New Roman"/>
                <w:sz w:val="17"/>
                <w:szCs w:val="17"/>
                <w:color w:val="auto"/>
                <w:vertAlign w:val="subscript"/>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1,877,094</w:t>
            </w:r>
          </w:p>
        </w:tc>
        <w:tc>
          <w:tcPr>
            <w:tcW w:w="3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(426,481</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Once it is determined that a credit loss has occurred, an allowance for credit losses is established on our available-for-sale and held-to-maturity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Management determined that credit losses did not exist for securities in an unrealized loss position as of June 30, 2025 and December 31, 2024.</w:t>
      </w:r>
    </w:p>
    <w:p>
      <w:pPr>
        <w:spacing w:after="0" w:line="156"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6"/>
          <w:szCs w:val="16"/>
          <w:color w:val="auto"/>
        </w:rPr>
        <w:t xml:space="preserve">Refer to Note 4 – </w:t>
      </w:r>
      <w:r>
        <w:rPr>
          <w:rFonts w:ascii="Times New Roman" w:cs="Times New Roman" w:eastAsia="Times New Roman" w:hAnsi="Times New Roman"/>
          <w:sz w:val="16"/>
          <w:szCs w:val="16"/>
          <w:i w:val="1"/>
          <w:iCs w:val="1"/>
          <w:color w:val="auto"/>
        </w:rPr>
        <w:t>Investment Securities</w:t>
      </w:r>
      <w:r>
        <w:rPr>
          <w:rFonts w:ascii="Times New Roman" w:cs="Times New Roman" w:eastAsia="Times New Roman" w:hAnsi="Times New Roman"/>
          <w:sz w:val="16"/>
          <w:szCs w:val="16"/>
          <w:color w:val="auto"/>
        </w:rPr>
        <w:t xml:space="preserve"> of the notes to the unaudited condensed consolidated financial statements of this report for additional information on our investment securities portfolio.</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i w:val="1"/>
          <w:iCs w:val="1"/>
          <w:color w:val="auto"/>
        </w:rPr>
        <w:t>Loans</w:t>
      </w:r>
    </w:p>
    <w:p>
      <w:pPr>
        <w:spacing w:after="0" w:line="180" w:lineRule="exact"/>
        <w:rPr>
          <w:sz w:val="20"/>
          <w:szCs w:val="20"/>
          <w:color w:val="auto"/>
        </w:rPr>
      </w:pPr>
    </w:p>
    <w:p>
      <w:pPr>
        <w:ind w:right="20" w:firstLine="432"/>
        <w:spacing w:after="0" w:line="241" w:lineRule="auto"/>
        <w:rPr>
          <w:sz w:val="20"/>
          <w:szCs w:val="20"/>
          <w:color w:val="auto"/>
        </w:rPr>
      </w:pPr>
      <w:r>
        <w:rPr>
          <w:rFonts w:ascii="Times New Roman" w:cs="Times New Roman" w:eastAsia="Times New Roman" w:hAnsi="Times New Roman"/>
          <w:sz w:val="16"/>
          <w:szCs w:val="16"/>
          <w:color w:val="auto"/>
        </w:rPr>
        <w:t>Total loans and leases, at amortized cost, of $8.36 billion at June 30, 2025 decreased by $177.9 million, or 2.08%, from December 31, 2024. The decrease in total loans included decreases of $186.1 million in dairy &amp; livestock and agribusiness loans and $12.8 million in commercial and industrial loans. The decline in dairy &amp; livestock loans primarily relates to the seasonal peak in line utilization at the end of every calendar year, demonstrated by a decline in utilization from 81% at the end of 2024 to 62% at June 30, 2025. Excluding the decline in dairy &amp; livestock loans, total gross loans would have increased by $8 million, as commercial real estate loans grew by $10 million and SFR mortgage loans grew by $19.3 million.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4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The following table presents our loan portfolio by type as of the dates presented.</w:t>
            </w: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gridSpan w:val="6"/>
          </w:tcPr>
          <w:p>
            <w:pPr>
              <w:jc w:val="right"/>
              <w:ind w:right="13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6,517,415</w:t>
            </w:r>
          </w:p>
        </w:tc>
        <w:tc>
          <w:tcPr>
            <w:tcW w:w="2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6,507,452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28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17,658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Small Business Administration ("SBA")</w:t>
            </w:r>
          </w:p>
        </w:tc>
        <w:tc>
          <w:tcPr>
            <w:tcW w:w="28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271,735</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273,013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SBA - Paycheck Protection Program ("PPP")</w:t>
            </w:r>
          </w:p>
        </w:tc>
        <w:tc>
          <w:tcPr>
            <w:tcW w:w="28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28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912,427</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925,178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280" w:type="dxa"/>
            <w:vAlign w:val="bottom"/>
          </w:tcPr>
          <w:p>
            <w:pPr>
              <w:spacing w:after="0"/>
              <w:rPr>
                <w:sz w:val="15"/>
                <w:szCs w:val="15"/>
                <w:color w:val="auto"/>
              </w:rPr>
            </w:pPr>
          </w:p>
        </w:tc>
        <w:tc>
          <w:tcPr>
            <w:tcW w:w="17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233,772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419,904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Municipal lease finance receivables</w:t>
            </w: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63,652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66,114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SFR mortgage</w:t>
            </w:r>
          </w:p>
        </w:tc>
        <w:tc>
          <w:tcPr>
            <w:tcW w:w="280" w:type="dxa"/>
            <w:vAlign w:val="bottom"/>
          </w:tcPr>
          <w:p>
            <w:pPr>
              <w:spacing w:after="0"/>
              <w:rPr>
                <w:sz w:val="15"/>
                <w:szCs w:val="15"/>
                <w:color w:val="auto"/>
              </w:rPr>
            </w:pPr>
          </w:p>
        </w:tc>
        <w:tc>
          <w:tcPr>
            <w:tcW w:w="17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288,435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269,172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Consumer and other loans</w:t>
            </w:r>
          </w:p>
        </w:tc>
        <w:tc>
          <w:tcPr>
            <w:tcW w:w="2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53,322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58,743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loans, at amortized cost</w:t>
            </w:r>
          </w:p>
        </w:tc>
        <w:tc>
          <w:tcPr>
            <w:tcW w:w="280" w:type="dxa"/>
            <w:vAlign w:val="bottom"/>
          </w:tcPr>
          <w:p>
            <w:pPr>
              <w:spacing w:after="0"/>
              <w:rPr>
                <w:sz w:val="15"/>
                <w:szCs w:val="15"/>
                <w:color w:val="auto"/>
              </w:rPr>
            </w:pPr>
          </w:p>
        </w:tc>
        <w:tc>
          <w:tcPr>
            <w:tcW w:w="1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8,358,501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8,536,432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28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(78,003)</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(80,122)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ind w:left="260"/>
              <w:spacing w:after="0" w:line="160" w:lineRule="exact"/>
              <w:rPr>
                <w:sz w:val="20"/>
                <w:szCs w:val="20"/>
                <w:color w:val="auto"/>
              </w:rPr>
            </w:pPr>
            <w:r>
              <w:rPr>
                <w:rFonts w:ascii="Times New Roman" w:cs="Times New Roman" w:eastAsia="Times New Roman" w:hAnsi="Times New Roman"/>
                <w:sz w:val="16"/>
                <w:szCs w:val="16"/>
                <w:color w:val="auto"/>
              </w:rPr>
              <w:t>Total loans and lease finance receivables, net</w:t>
            </w:r>
          </w:p>
        </w:tc>
        <w:tc>
          <w:tcPr>
            <w:tcW w:w="28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8,280,498</w:t>
            </w:r>
          </w:p>
        </w:tc>
        <w:tc>
          <w:tcPr>
            <w:tcW w:w="240" w:type="dxa"/>
            <w:vAlign w:val="bottom"/>
          </w:tcPr>
          <w:p>
            <w:pPr>
              <w:spacing w:after="0"/>
              <w:rPr>
                <w:sz w:val="15"/>
                <w:szCs w:val="15"/>
                <w:color w:val="auto"/>
              </w:rPr>
            </w:pPr>
          </w:p>
        </w:tc>
        <w:tc>
          <w:tcPr>
            <w:tcW w:w="34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8,456,310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As of June 30, 2025, $417.1 million, or 6.40% of the total commercial real estate loans included loans secured by farmland, compared to $449.8 million,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6.91%, at December 31, 2024. The loans secured by farmland included $104.6 million for loans secured by dairy &amp; livestock land and $312.6 million for loans secured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agricultural land at June 30, 2025, compared to $109.1 million for loans secured by dairy &amp; livestock land and $340.7 million for loans secured by agricultural land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2024. As of June 30, 2025, dairy &amp; livestock and agribusiness loans of $233.8 million were comprised of $199.4 million of dairy &amp; livestock loans 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$34.4 million of agribusiness loans, compared to $419.9 million comprised of $385.3 million of dairy &amp; livestock loans and $34.6 million of agribusiness loans</w:t>
      </w:r>
    </w:p>
    <w:p>
      <w:pPr>
        <w:spacing w:after="0"/>
        <w:rPr>
          <w:sz w:val="20"/>
          <w:szCs w:val="20"/>
          <w:color w:val="auto"/>
        </w:rPr>
      </w:pPr>
      <w:r>
        <w:rPr>
          <w:rFonts w:ascii="Times New Roman" w:cs="Times New Roman" w:eastAsia="Times New Roman" w:hAnsi="Times New Roman"/>
          <w:sz w:val="16"/>
          <w:szCs w:val="16"/>
          <w:color w:val="auto"/>
        </w:rPr>
        <w:t>December 31, 2024.</w:t>
      </w:r>
    </w:p>
    <w:p>
      <w:pPr>
        <w:spacing w:after="0" w:line="158" w:lineRule="exact"/>
        <w:rPr>
          <w:sz w:val="20"/>
          <w:szCs w:val="20"/>
          <w:color w:val="auto"/>
        </w:rPr>
      </w:pPr>
    </w:p>
    <w:p>
      <w:pPr>
        <w:ind w:right="20" w:firstLine="432"/>
        <w:spacing w:after="0" w:line="241" w:lineRule="auto"/>
        <w:rPr>
          <w:sz w:val="20"/>
          <w:szCs w:val="20"/>
          <w:color w:val="auto"/>
        </w:rPr>
      </w:pPr>
      <w:r>
        <w:rPr>
          <w:rFonts w:ascii="Times New Roman" w:cs="Times New Roman" w:eastAsia="Times New Roman" w:hAnsi="Times New Roman"/>
          <w:sz w:val="16"/>
          <w:szCs w:val="16"/>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57" w:lineRule="exact"/>
        <w:rPr>
          <w:sz w:val="20"/>
          <w:szCs w:val="20"/>
          <w:color w:val="auto"/>
        </w:rPr>
      </w:pPr>
    </w:p>
    <w:p>
      <w:pPr>
        <w:ind w:right="20" w:firstLine="432"/>
        <w:spacing w:after="0" w:line="238" w:lineRule="auto"/>
        <w:rPr>
          <w:sz w:val="20"/>
          <w:szCs w:val="20"/>
          <w:color w:val="auto"/>
        </w:rPr>
      </w:pPr>
      <w:r>
        <w:rPr>
          <w:rFonts w:ascii="Times New Roman" w:cs="Times New Roman" w:eastAsia="Times New Roman" w:hAnsi="Times New Roman"/>
          <w:sz w:val="16"/>
          <w:szCs w:val="16"/>
          <w:color w:val="auto"/>
        </w:rPr>
        <w:t>As of June 30, 2025, the Company had $ 210.5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June 30, 2025, the Company had $61.3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56" w:name="page57"/>
    <w:bookmarkEnd w:id="56"/>
    <w:p>
      <w:pPr>
        <w:spacing w:after="0" w:line="161" w:lineRule="exact"/>
        <w:rPr>
          <w:sz w:val="20"/>
          <w:szCs w:val="20"/>
          <w:color w:val="auto"/>
        </w:rPr>
      </w:pPr>
    </w:p>
    <w:p>
      <w:pPr>
        <w:ind w:right="860" w:firstLine="432"/>
        <w:spacing w:after="0" w:line="259" w:lineRule="auto"/>
        <w:rPr>
          <w:sz w:val="20"/>
          <w:szCs w:val="20"/>
          <w:color w:val="auto"/>
        </w:rPr>
      </w:pPr>
      <w:r>
        <w:rPr>
          <w:rFonts w:ascii="Times New Roman" w:cs="Times New Roman" w:eastAsia="Times New Roman" w:hAnsi="Times New Roman"/>
          <w:sz w:val="16"/>
          <w:szCs w:val="16"/>
          <w:color w:val="auto"/>
        </w:rPr>
        <w:t>As of June 30, 2025, the Company had $17.7 million in construction loans. This represents 0.21% of total loans held-for-investment. There were no nonperforming construction loans at June 30, 2025.</w:t>
      </w:r>
    </w:p>
    <w:p>
      <w:pPr>
        <w:spacing w:after="0" w:line="143" w:lineRule="exact"/>
        <w:rPr>
          <w:sz w:val="20"/>
          <w:szCs w:val="20"/>
          <w:color w:val="auto"/>
        </w:rPr>
      </w:pPr>
    </w:p>
    <w:p>
      <w:pPr>
        <w:ind w:right="340" w:firstLine="432"/>
        <w:spacing w:after="0" w:line="259" w:lineRule="auto"/>
        <w:rPr>
          <w:sz w:val="20"/>
          <w:szCs w:val="20"/>
          <w:color w:val="auto"/>
        </w:rPr>
      </w:pPr>
      <w:r>
        <w:rPr>
          <w:rFonts w:ascii="Times New Roman" w:cs="Times New Roman" w:eastAsia="Times New Roman" w:hAnsi="Times New Roman"/>
          <w:sz w:val="16"/>
          <w:szCs w:val="16"/>
          <w:color w:val="auto"/>
        </w:rPr>
        <w:t>Our loan portfolio is geographically disbursed throughout our marketplace. The following is the breakdown of our total held-for-investment commercial real estate loans, by region as of June 30,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tcPr>
          <w:p>
            <w:pPr>
              <w:jc w:val="center"/>
              <w:ind w:left="45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40" w:type="dxa"/>
            <w:vAlign w:val="bottom"/>
            <w:gridSpan w:val="4"/>
            <w:vMerge w:val="restart"/>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Commercial Real</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Estate Loans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gridSpan w:val="6"/>
          </w:tcPr>
          <w:p>
            <w:pPr>
              <w:jc w:val="center"/>
              <w:ind w:right="9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 Angeles County</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3,047,841</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36.5%</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2,238,800</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Central Valley and Sacramento</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995,182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11.9%</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1,532,720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6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Orange County</w:t>
            </w: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1,903,291</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22.8%</w:t>
            </w: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738,795</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Inland Empire</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1,200,839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14.4%</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874,071</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6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Central Coast</w:t>
            </w: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437,697</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5.2%</w:t>
            </w: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377,038</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76"/>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San Diego</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318,920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240"/>
              <w:spacing w:after="0" w:line="276" w:lineRule="exact"/>
              <w:rPr>
                <w:sz w:val="20"/>
                <w:szCs w:val="20"/>
                <w:color w:val="auto"/>
              </w:rPr>
            </w:pPr>
            <w:r>
              <w:rPr>
                <w:rFonts w:ascii="Times New Roman" w:cs="Times New Roman" w:eastAsia="Times New Roman" w:hAnsi="Times New Roman"/>
                <w:sz w:val="14"/>
                <w:szCs w:val="14"/>
                <w:color w:val="auto"/>
              </w:rPr>
              <w:t>3.8</w:t>
            </w:r>
            <w:r>
              <w:rPr>
                <w:rFonts w:ascii="Times New Roman" w:cs="Times New Roman" w:eastAsia="Times New Roman" w:hAnsi="Times New Roman"/>
                <w:sz w:val="28"/>
                <w:szCs w:val="28"/>
                <w:color w:val="auto"/>
                <w:vertAlign w:val="superscript"/>
              </w:rPr>
              <w:t>%</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321,808</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4"/>
                <w:szCs w:val="14"/>
                <w:color w:val="auto"/>
              </w:rPr>
              <w:t>4.9</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16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California</w:t>
            </w: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145,146</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95,445</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Out of State</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309,585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3.7%</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338,738</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8"/>
        </w:trPr>
        <w:tc>
          <w:tcPr>
            <w:tcW w:w="47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8,358,501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7"/>
                <w:szCs w:val="17"/>
                <w:color w:val="auto"/>
                <w:vertAlign w:val="subscript"/>
              </w:rPr>
              <w:t>%</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6,517,415</w:t>
            </w: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346"/>
        </w:trPr>
        <w:tc>
          <w:tcPr>
            <w:tcW w:w="4720" w:type="dxa"/>
            <w:vAlign w:val="bottom"/>
            <w:tcBorders>
              <w:top w:val="single" w:sz="8" w:color="CFF0FC"/>
            </w:tcBorders>
          </w:tcPr>
          <w:p>
            <w:pPr>
              <w:ind w:left="440"/>
              <w:spacing w:after="0"/>
              <w:rPr>
                <w:sz w:val="20"/>
                <w:szCs w:val="20"/>
                <w:color w:val="auto"/>
              </w:rPr>
            </w:pPr>
            <w:r>
              <w:rPr>
                <w:rFonts w:ascii="Times New Roman" w:cs="Times New Roman" w:eastAsia="Times New Roman" w:hAnsi="Times New Roman"/>
                <w:sz w:val="16"/>
                <w:szCs w:val="16"/>
                <w:color w:val="auto"/>
              </w:rPr>
              <w:t>The table below breaks down our commercial real estate portfolio.</w:t>
            </w: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6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jc w:val="center"/>
              <w:ind w:right="640"/>
              <w:spacing w:after="0" w:line="157" w:lineRule="exact"/>
              <w:rPr>
                <w:sz w:val="20"/>
                <w:szCs w:val="20"/>
                <w:color w:val="auto"/>
              </w:rPr>
            </w:pPr>
            <w:r>
              <w:rPr>
                <w:rFonts w:ascii="Times New Roman" w:cs="Times New Roman" w:eastAsia="Times New Roman" w:hAnsi="Times New Roman"/>
                <w:sz w:val="14"/>
                <w:szCs w:val="14"/>
                <w:b w:val="1"/>
                <w:bCs w:val="1"/>
                <w:color w:val="auto"/>
              </w:rPr>
              <w:t>Owner-</w:t>
            </w:r>
          </w:p>
        </w:tc>
        <w:tc>
          <w:tcPr>
            <w:tcW w:w="180" w:type="dxa"/>
            <w:vAlign w:val="bottom"/>
          </w:tcPr>
          <w:p>
            <w:pPr>
              <w:spacing w:after="0"/>
              <w:rPr>
                <w:sz w:val="13"/>
                <w:szCs w:val="13"/>
                <w:color w:val="auto"/>
              </w:rPr>
            </w:pPr>
          </w:p>
        </w:tc>
        <w:tc>
          <w:tcPr>
            <w:tcW w:w="860" w:type="dxa"/>
            <w:vAlign w:val="bottom"/>
            <w:gridSpan w:val="2"/>
          </w:tcPr>
          <w:p>
            <w:pPr>
              <w:jc w:val="right"/>
              <w:ind w:right="300"/>
              <w:spacing w:after="0" w:line="15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9"/>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Loan Balance</w:t>
            </w: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5"/>
                <w:szCs w:val="15"/>
                <w:color w:val="auto"/>
              </w:rPr>
            </w:pPr>
          </w:p>
        </w:tc>
        <w:tc>
          <w:tcPr>
            <w:tcW w:w="1460" w:type="dxa"/>
            <w:vAlign w:val="bottom"/>
            <w:gridSpan w:val="3"/>
          </w:tcPr>
          <w:p>
            <w:pPr>
              <w:jc w:val="center"/>
              <w:ind w:right="640"/>
              <w:spacing w:after="0" w:line="179" w:lineRule="exact"/>
              <w:rPr>
                <w:sz w:val="20"/>
                <w:szCs w:val="20"/>
                <w:color w:val="auto"/>
              </w:rPr>
            </w:pPr>
            <w:r>
              <w:rPr>
                <w:rFonts w:ascii="Times New Roman" w:cs="Times New Roman" w:eastAsia="Times New Roman" w:hAnsi="Times New Roman"/>
                <w:sz w:val="14"/>
                <w:szCs w:val="14"/>
                <w:b w:val="1"/>
                <w:bCs w:val="1"/>
                <w:color w:val="auto"/>
                <w:w w:val="98"/>
              </w:rPr>
              <w:t xml:space="preserve">Occupied </w:t>
            </w:r>
            <w:r>
              <w:rPr>
                <w:rFonts w:ascii="Times New Roman" w:cs="Times New Roman" w:eastAsia="Times New Roman" w:hAnsi="Times New Roman"/>
                <w:sz w:val="19"/>
                <w:szCs w:val="19"/>
                <w:b w:val="1"/>
                <w:bCs w:val="1"/>
                <w:color w:val="auto"/>
                <w:w w:val="98"/>
                <w:vertAlign w:val="superscript"/>
              </w:rPr>
              <w:t>(1)</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Loan Balance</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gridSpan w:val="6"/>
          </w:tcPr>
          <w:p>
            <w:pPr>
              <w:jc w:val="center"/>
              <w:ind w:right="9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Industrial</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2,227,319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34.2%</w:t>
            </w:r>
          </w:p>
        </w:tc>
        <w:tc>
          <w:tcPr>
            <w:tcW w:w="26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46.3%</w:t>
            </w:r>
          </w:p>
        </w:tc>
        <w:tc>
          <w:tcPr>
            <w:tcW w:w="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1,646</w:t>
            </w:r>
          </w:p>
        </w:tc>
        <w:tc>
          <w:tcPr>
            <w:tcW w:w="0" w:type="dxa"/>
            <w:vAlign w:val="bottom"/>
          </w:tcPr>
          <w:p>
            <w:pPr>
              <w:spacing w:after="0"/>
              <w:rPr>
                <w:sz w:val="1"/>
                <w:szCs w:val="1"/>
                <w:color w:val="auto"/>
              </w:rPr>
            </w:pPr>
          </w:p>
        </w:tc>
      </w:tr>
      <w:tr>
        <w:trPr>
          <w:trHeight w:val="168"/>
        </w:trPr>
        <w:tc>
          <w:tcPr>
            <w:tcW w:w="4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Office</w:t>
            </w: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1,036,089</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15.9%</w:t>
            </w:r>
          </w:p>
        </w:tc>
        <w:tc>
          <w:tcPr>
            <w:tcW w:w="26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27.7%</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1,690</w:t>
            </w:r>
          </w:p>
        </w:tc>
        <w:tc>
          <w:tcPr>
            <w:tcW w:w="0" w:type="dxa"/>
            <w:vAlign w:val="bottom"/>
          </w:tcPr>
          <w:p>
            <w:pPr>
              <w:spacing w:after="0"/>
              <w:rPr>
                <w:sz w:val="1"/>
                <w:szCs w:val="1"/>
                <w:color w:val="auto"/>
              </w:rPr>
            </w:pPr>
          </w:p>
        </w:tc>
      </w:tr>
      <w:tr>
        <w:trPr>
          <w:trHeight w:val="168"/>
        </w:trPr>
        <w:tc>
          <w:tcPr>
            <w:tcW w:w="4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Retail</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894,414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13.7%</w:t>
            </w:r>
          </w:p>
        </w:tc>
        <w:tc>
          <w:tcPr>
            <w:tcW w:w="26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1,720</w:t>
            </w:r>
          </w:p>
        </w:tc>
        <w:tc>
          <w:tcPr>
            <w:tcW w:w="0" w:type="dxa"/>
            <w:vAlign w:val="bottom"/>
          </w:tcPr>
          <w:p>
            <w:pPr>
              <w:spacing w:after="0"/>
              <w:rPr>
                <w:sz w:val="1"/>
                <w:szCs w:val="1"/>
                <w:color w:val="auto"/>
              </w:rPr>
            </w:pPr>
          </w:p>
        </w:tc>
      </w:tr>
      <w:tr>
        <w:trPr>
          <w:trHeight w:val="288"/>
        </w:trPr>
        <w:tc>
          <w:tcPr>
            <w:tcW w:w="4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815,624</w:t>
            </w:r>
          </w:p>
        </w:tc>
        <w:tc>
          <w:tcPr>
            <w:tcW w:w="2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240"/>
              <w:spacing w:after="0" w:line="288" w:lineRule="exact"/>
              <w:rPr>
                <w:sz w:val="20"/>
                <w:szCs w:val="20"/>
                <w:color w:val="auto"/>
              </w:rPr>
            </w:pPr>
            <w:r>
              <w:rPr>
                <w:rFonts w:ascii="Times New Roman" w:cs="Times New Roman" w:eastAsia="Times New Roman" w:hAnsi="Times New Roman"/>
                <w:sz w:val="14"/>
                <w:szCs w:val="14"/>
                <w:color w:val="auto"/>
              </w:rPr>
              <w:t>12.5</w:t>
            </w:r>
            <w:r>
              <w:rPr>
                <w:rFonts w:ascii="Times New Roman" w:cs="Times New Roman" w:eastAsia="Times New Roman" w:hAnsi="Times New Roman"/>
                <w:sz w:val="28"/>
                <w:szCs w:val="28"/>
                <w:color w:val="auto"/>
                <w:vertAlign w:val="subscript"/>
              </w:rPr>
              <w:t>%</w:t>
            </w:r>
          </w:p>
        </w:tc>
        <w:tc>
          <w:tcPr>
            <w:tcW w:w="26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1,551</w:t>
            </w:r>
          </w:p>
        </w:tc>
        <w:tc>
          <w:tcPr>
            <w:tcW w:w="0" w:type="dxa"/>
            <w:vAlign w:val="bottom"/>
          </w:tcPr>
          <w:p>
            <w:pPr>
              <w:spacing w:after="0"/>
              <w:rPr>
                <w:sz w:val="1"/>
                <w:szCs w:val="1"/>
                <w:color w:val="auto"/>
              </w:rPr>
            </w:pPr>
          </w:p>
        </w:tc>
      </w:tr>
      <w:tr>
        <w:trPr>
          <w:trHeight w:val="168"/>
        </w:trPr>
        <w:tc>
          <w:tcPr>
            <w:tcW w:w="4720" w:type="dxa"/>
            <w:vAlign w:val="bottom"/>
          </w:tcPr>
          <w:p>
            <w:pPr>
              <w:ind w:left="40"/>
              <w:spacing w:after="0" w:line="168" w:lineRule="exact"/>
              <w:rPr>
                <w:sz w:val="20"/>
                <w:szCs w:val="20"/>
                <w:color w:val="auto"/>
              </w:rPr>
            </w:pPr>
            <w:r>
              <w:rPr>
                <w:rFonts w:ascii="Times New Roman" w:cs="Times New Roman" w:eastAsia="Times New Roman" w:hAnsi="Times New Roman"/>
                <w:sz w:val="14"/>
                <w:szCs w:val="14"/>
                <w:color w:val="auto"/>
              </w:rPr>
              <w:t xml:space="preserve">Secured by farmland </w:t>
            </w:r>
            <w:r>
              <w:rPr>
                <w:rFonts w:ascii="Times New Roman" w:cs="Times New Roman" w:eastAsia="Times New Roman" w:hAnsi="Times New Roman"/>
                <w:sz w:val="19"/>
                <w:szCs w:val="19"/>
                <w:color w:val="auto"/>
                <w:vertAlign w:val="superscript"/>
              </w:rPr>
              <w:t>(2)</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417,189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6.4%</w:t>
            </w:r>
          </w:p>
        </w:tc>
        <w:tc>
          <w:tcPr>
            <w:tcW w:w="26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99.5%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1,405</w:t>
            </w:r>
          </w:p>
        </w:tc>
        <w:tc>
          <w:tcPr>
            <w:tcW w:w="0" w:type="dxa"/>
            <w:vAlign w:val="bottom"/>
          </w:tcPr>
          <w:p>
            <w:pPr>
              <w:spacing w:after="0"/>
              <w:rPr>
                <w:sz w:val="1"/>
                <w:szCs w:val="1"/>
                <w:color w:val="auto"/>
              </w:rPr>
            </w:pPr>
          </w:p>
        </w:tc>
      </w:tr>
      <w:tr>
        <w:trPr>
          <w:trHeight w:val="168"/>
        </w:trPr>
        <w:tc>
          <w:tcPr>
            <w:tcW w:w="4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Medical</w:t>
            </w: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313,793</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34.1%</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1,480</w:t>
            </w:r>
          </w:p>
        </w:tc>
        <w:tc>
          <w:tcPr>
            <w:tcW w:w="0" w:type="dxa"/>
            <w:vAlign w:val="bottom"/>
          </w:tcPr>
          <w:p>
            <w:pPr>
              <w:spacing w:after="0"/>
              <w:rPr>
                <w:sz w:val="1"/>
                <w:szCs w:val="1"/>
                <w:color w:val="auto"/>
              </w:rPr>
            </w:pPr>
          </w:p>
        </w:tc>
      </w:tr>
      <w:tr>
        <w:trPr>
          <w:trHeight w:val="168"/>
        </w:trPr>
        <w:tc>
          <w:tcPr>
            <w:tcW w:w="4720" w:type="dxa"/>
            <w:vAlign w:val="bottom"/>
          </w:tcPr>
          <w:p>
            <w:pPr>
              <w:ind w:left="40"/>
              <w:spacing w:after="0" w:line="168"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9"/>
                <w:szCs w:val="19"/>
                <w:color w:val="auto"/>
                <w:vertAlign w:val="superscript"/>
              </w:rPr>
              <w:t>(3)</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812,987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12.5%</w:t>
            </w:r>
          </w:p>
        </w:tc>
        <w:tc>
          <w:tcPr>
            <w:tcW w:w="26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1,795</w:t>
            </w:r>
          </w:p>
        </w:tc>
        <w:tc>
          <w:tcPr>
            <w:tcW w:w="0" w:type="dxa"/>
            <w:vAlign w:val="bottom"/>
          </w:tcPr>
          <w:p>
            <w:pPr>
              <w:spacing w:after="0"/>
              <w:rPr>
                <w:sz w:val="1"/>
                <w:szCs w:val="1"/>
                <w:color w:val="auto"/>
              </w:rPr>
            </w:pPr>
          </w:p>
        </w:tc>
      </w:tr>
      <w:tr>
        <w:trPr>
          <w:trHeight w:val="188"/>
        </w:trPr>
        <w:tc>
          <w:tcPr>
            <w:tcW w:w="4720" w:type="dxa"/>
            <w:vAlign w:val="bottom"/>
            <w:shd w:val="clear" w:color="auto" w:fill="CFF0FC"/>
          </w:tcPr>
          <w:p>
            <w:pPr>
              <w:ind w:left="100"/>
              <w:spacing w:after="0" w:line="148" w:lineRule="exact"/>
              <w:rPr>
                <w:sz w:val="20"/>
                <w:szCs w:val="20"/>
                <w:color w:val="auto"/>
              </w:rPr>
            </w:pPr>
            <w:r>
              <w:rPr>
                <w:rFonts w:ascii="Times New Roman" w:cs="Times New Roman" w:eastAsia="Times New Roman" w:hAnsi="Times New Roman"/>
                <w:sz w:val="14"/>
                <w:szCs w:val="14"/>
                <w:color w:val="auto"/>
              </w:rPr>
              <w:t>Total commercial real estate</w:t>
            </w:r>
          </w:p>
        </w:tc>
        <w:tc>
          <w:tcPr>
            <w:tcW w:w="180" w:type="dxa"/>
            <w:vAlign w:val="bottom"/>
            <w:shd w:val="clear" w:color="auto" w:fill="CFF0FC"/>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6,517,415</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7"/>
                <w:szCs w:val="17"/>
                <w:color w:val="auto"/>
                <w:vertAlign w:val="subscript"/>
              </w:rPr>
              <w:t>%</w:t>
            </w:r>
          </w:p>
        </w:tc>
        <w:tc>
          <w:tcPr>
            <w:tcW w:w="26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35.1%</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(1)Represents percentage of reported owner-occupied at origination in each real estate loan category.</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3"/>
          <w:szCs w:val="13"/>
          <w:color w:val="auto"/>
        </w:rPr>
        <w:t>(2)The loans secured by farmland included $104.6 million for loans secured by dairy &amp; livestock land and $312.6 million for loans secured by agricultural land at June 30, 2025.</w:t>
      </w:r>
    </w:p>
    <w:p>
      <w:pPr>
        <w:spacing w:after="0" w:line="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3"/>
          <w:szCs w:val="13"/>
          <w:color w:val="auto"/>
        </w:rPr>
        <w:t>(3)Other loans consist of a variety of loan types, none of which exceeded 2.0% of total commercial real estate loans at June 30, 2025.</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i w:val="1"/>
          <w:iCs w:val="1"/>
          <w:color w:val="auto"/>
        </w:rPr>
        <w:t>Nonperforming Assets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provides information on nonperforming assets as of the dates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840" w:type="dxa"/>
            <w:vAlign w:val="bottom"/>
            <w:gridSpan w:val="7"/>
          </w:tcPr>
          <w:p>
            <w:pPr>
              <w:jc w:val="right"/>
              <w:ind w:right="13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Nonaccrual loans</w:t>
            </w:r>
          </w:p>
        </w:tc>
        <w:tc>
          <w:tcPr>
            <w:tcW w:w="3200" w:type="dxa"/>
            <w:vAlign w:val="bottom"/>
            <w:gridSpan w:val="2"/>
            <w:shd w:val="clear" w:color="auto" w:fill="CFF0FC"/>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25,969</w:t>
            </w:r>
          </w:p>
        </w:tc>
        <w:tc>
          <w:tcPr>
            <w:tcW w:w="20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27,795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nonperforming loans</w:t>
            </w:r>
          </w:p>
        </w:tc>
        <w:tc>
          <w:tcPr>
            <w:tcW w:w="1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OREO, net</w:t>
            </w:r>
          </w:p>
        </w:tc>
        <w:tc>
          <w:tcPr>
            <w:tcW w:w="19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Total nonperforming assets</w:t>
            </w:r>
          </w:p>
        </w:tc>
        <w:tc>
          <w:tcPr>
            <w:tcW w:w="3200" w:type="dxa"/>
            <w:vAlign w:val="bottom"/>
            <w:gridSpan w:val="2"/>
          </w:tcPr>
          <w:p>
            <w:pPr>
              <w:jc w:val="right"/>
              <w:ind w:right="11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26,630</w:t>
            </w:r>
          </w:p>
        </w:tc>
        <w:tc>
          <w:tcPr>
            <w:tcW w:w="200" w:type="dxa"/>
            <w:vAlign w:val="bottom"/>
          </w:tcPr>
          <w:p>
            <w:pPr>
              <w:spacing w:after="0"/>
              <w:rPr>
                <w:sz w:val="14"/>
                <w:szCs w:val="14"/>
                <w:color w:val="auto"/>
              </w:rPr>
            </w:pPr>
          </w:p>
        </w:tc>
        <w:tc>
          <w:tcPr>
            <w:tcW w:w="260" w:type="dxa"/>
            <w:vAlign w:val="bottom"/>
            <w:gridSpan w:val="2"/>
          </w:tcPr>
          <w:p>
            <w:pPr>
              <w:jc w:val="right"/>
              <w:ind w:right="43"/>
              <w:spacing w:after="0" w:line="148"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47,098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800" w:type="dxa"/>
            <w:vAlign w:val="bottom"/>
            <w:tcBorders>
              <w:bottom w:val="single" w:sz="8" w:color="CFF0FC"/>
            </w:tcBorders>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Modified loans to borrowers experiencing financial difficulty</w:t>
            </w:r>
          </w:p>
        </w:tc>
        <w:tc>
          <w:tcPr>
            <w:tcW w:w="190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114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9,529</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6,467</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nonperforming loans and performing modified loans to borrowers</w:t>
            </w:r>
          </w:p>
        </w:tc>
        <w:tc>
          <w:tcPr>
            <w:tcW w:w="1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experiencing financial difficulty</w:t>
            </w:r>
          </w:p>
        </w:tc>
        <w:tc>
          <w:tcPr>
            <w:tcW w:w="3200" w:type="dxa"/>
            <w:vAlign w:val="bottom"/>
            <w:gridSpan w:val="2"/>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35,498</w:t>
            </w:r>
          </w:p>
        </w:tc>
        <w:tc>
          <w:tcPr>
            <w:tcW w:w="200" w:type="dxa"/>
            <w:vAlign w:val="bottom"/>
          </w:tcPr>
          <w:p>
            <w:pPr>
              <w:spacing w:after="0"/>
              <w:rPr>
                <w:sz w:val="16"/>
                <w:szCs w:val="16"/>
                <w:color w:val="auto"/>
              </w:rPr>
            </w:pPr>
          </w:p>
        </w:tc>
        <w:tc>
          <w:tcPr>
            <w:tcW w:w="26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8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Percentage of nonperforming loans and performing modified loans to</w:t>
            </w:r>
          </w:p>
        </w:tc>
        <w:tc>
          <w:tcPr>
            <w:tcW w:w="19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borrowers experiencing financial difficulty to total loans, at amortized cost</w:t>
            </w:r>
          </w:p>
        </w:tc>
        <w:tc>
          <w:tcPr>
            <w:tcW w:w="19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324"/>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Percentage of nonperforming assets to total loans, at amortized cost,</w:t>
            </w:r>
          </w:p>
        </w:tc>
        <w:tc>
          <w:tcPr>
            <w:tcW w:w="1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OREO</w:t>
            </w:r>
          </w:p>
        </w:tc>
        <w:tc>
          <w:tcPr>
            <w:tcW w:w="1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Percentage of nonperforming assets to total assets</w:t>
            </w:r>
          </w:p>
        </w:tc>
        <w:tc>
          <w:tcPr>
            <w:tcW w:w="19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550"/>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900" w:type="dxa"/>
            <w:vAlign w:val="bottom"/>
          </w:tcPr>
          <w:p>
            <w:pPr>
              <w:jc w:val="right"/>
              <w:ind w:right="1286"/>
              <w:spacing w:after="0"/>
              <w:rPr>
                <w:sz w:val="20"/>
                <w:szCs w:val="20"/>
                <w:color w:val="auto"/>
              </w:rPr>
            </w:pPr>
            <w:r>
              <w:rPr>
                <w:rFonts w:ascii="Times New Roman" w:cs="Times New Roman" w:eastAsia="Times New Roman" w:hAnsi="Times New Roman"/>
                <w:sz w:val="16"/>
                <w:szCs w:val="16"/>
                <w:color w:val="auto"/>
              </w:rPr>
              <w:t>58</w:t>
            </w: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20" w:type="dxa"/>
            <w:vAlign w:val="bottom"/>
          </w:tcPr>
          <w:p>
            <w:pPr>
              <w:spacing w:after="0"/>
              <w:rPr>
                <w:sz w:val="24"/>
                <w:szCs w:val="24"/>
                <w:color w:val="auto"/>
              </w:rPr>
            </w:pPr>
          </w:p>
        </w:tc>
        <w:tc>
          <w:tcPr>
            <w:tcW w:w="480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58" w:name="page59"/>
    <w:bookmarkEnd w:id="58"/>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Modifications of Loans to Borrowers Experiencing Financial Difficulty</w:t>
      </w:r>
    </w:p>
    <w:p>
      <w:pPr>
        <w:spacing w:after="0" w:line="180" w:lineRule="exact"/>
        <w:rPr>
          <w:sz w:val="20"/>
          <w:szCs w:val="20"/>
          <w:color w:val="auto"/>
        </w:rPr>
      </w:pPr>
    </w:p>
    <w:p>
      <w:pPr>
        <w:jc w:val="both"/>
        <w:ind w:right="480" w:firstLine="432"/>
        <w:spacing w:after="0" w:line="247" w:lineRule="auto"/>
        <w:rPr>
          <w:sz w:val="20"/>
          <w:szCs w:val="20"/>
          <w:color w:val="auto"/>
        </w:rPr>
      </w:pPr>
      <w:r>
        <w:rPr>
          <w:rFonts w:ascii="Times New Roman" w:cs="Times New Roman" w:eastAsia="Times New Roman" w:hAnsi="Times New Roman"/>
          <w:sz w:val="16"/>
          <w:szCs w:val="16"/>
          <w:color w:val="auto"/>
        </w:rPr>
        <w:t>There were four loans to borrowers experiencing financial difficulty that were modified during the six months ended June 30, 2025 with an amortized cost totaling $6.1 million at June 30, 2025, including three commercial real estate loans totaling $5.7 million and one dairy &amp; livestock and agribusiness loans of $0.4 million.</w:t>
      </w:r>
    </w:p>
    <w:p>
      <w:pPr>
        <w:spacing w:after="0" w:line="152"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6"/>
          <w:szCs w:val="16"/>
          <w:color w:val="auto"/>
        </w:rPr>
        <w:t>The table below reflects the amortized cost of loans by type made to borrowers experiencing financial difficulty that were modified as of June 30, 2025 and June 30, 2024, and the financial effect of those modifications.</w:t>
      </w:r>
    </w:p>
    <w:p>
      <w:pPr>
        <w:sectPr>
          <w:pgSz w:w="11900" w:h="16840" w:orient="portrait"/>
          <w:cols w:equalWidth="0" w:num="1">
            <w:col w:w="10560"/>
          </w:cols>
          <w:pgMar w:left="660" w:top="1440" w:right="680" w:bottom="1440" w:gutter="0" w:footer="0" w:header="0"/>
        </w:sectPr>
      </w:pP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of Total Class</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142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Amortized Cost</w:t>
            </w:r>
          </w:p>
        </w:tc>
        <w:tc>
          <w:tcPr>
            <w:tcW w:w="14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of Financing</w:t>
            </w:r>
          </w:p>
        </w:tc>
        <w:tc>
          <w:tcPr>
            <w:tcW w:w="0" w:type="dxa"/>
            <w:vAlign w:val="bottom"/>
          </w:tcPr>
          <w:p>
            <w:pPr>
              <w:spacing w:after="0"/>
              <w:rPr>
                <w:sz w:val="1"/>
                <w:szCs w:val="1"/>
                <w:color w:val="auto"/>
              </w:rPr>
            </w:pPr>
          </w:p>
        </w:tc>
      </w:tr>
      <w:tr>
        <w:trPr>
          <w:trHeight w:val="205"/>
        </w:trPr>
        <w:tc>
          <w:tcPr>
            <w:tcW w:w="2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60" w:type="dxa"/>
            <w:vAlign w:val="bottom"/>
          </w:tcPr>
          <w:p>
            <w:pPr>
              <w:spacing w:after="0"/>
              <w:rPr>
                <w:sz w:val="17"/>
                <w:szCs w:val="17"/>
                <w:color w:val="auto"/>
              </w:rPr>
            </w:pPr>
          </w:p>
        </w:tc>
        <w:tc>
          <w:tcPr>
            <w:tcW w:w="96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Receivables</w:t>
            </w:r>
          </w:p>
        </w:tc>
        <w:tc>
          <w:tcPr>
            <w:tcW w:w="0" w:type="dxa"/>
            <w:vAlign w:val="bottom"/>
          </w:tcPr>
          <w:p>
            <w:pPr>
              <w:spacing w:after="0"/>
              <w:rPr>
                <w:sz w:val="1"/>
                <w:szCs w:val="1"/>
                <w:color w:val="auto"/>
              </w:rPr>
            </w:pPr>
          </w:p>
        </w:tc>
      </w:tr>
      <w:tr>
        <w:trPr>
          <w:trHeight w:val="155"/>
        </w:trPr>
        <w:tc>
          <w:tcPr>
            <w:tcW w:w="2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4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7,193</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360"/>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460" w:type="dxa"/>
            <w:vAlign w:val="bottom"/>
          </w:tcPr>
          <w:p>
            <w:pPr>
              <w:spacing w:after="0"/>
              <w:rPr>
                <w:sz w:val="24"/>
                <w:szCs w:val="24"/>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481</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60"/>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460" w:type="dxa"/>
            <w:vAlign w:val="bottom"/>
          </w:tcPr>
          <w:p>
            <w:pPr>
              <w:spacing w:after="0"/>
              <w:rPr>
                <w:sz w:val="24"/>
                <w:szCs w:val="24"/>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395</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-859155</wp:posOffset>
            </wp:positionV>
            <wp:extent cx="6707505" cy="114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-630555</wp:posOffset>
            </wp:positionV>
            <wp:extent cx="6707505" cy="228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7505" cy="2286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-173355</wp:posOffset>
            </wp:positionV>
            <wp:extent cx="6707505" cy="228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Financial Effect</w:t>
      </w:r>
    </w:p>
    <w:p>
      <w:pPr>
        <w:spacing w:after="0" w:line="358" w:lineRule="exact"/>
        <w:rPr>
          <w:sz w:val="20"/>
          <w:szCs w:val="20"/>
          <w:color w:val="auto"/>
        </w:rPr>
      </w:pPr>
    </w:p>
    <w:p>
      <w:pPr>
        <w:ind w:right="140" w:firstLine="39"/>
        <w:spacing w:after="0" w:line="246" w:lineRule="auto"/>
        <w:rPr>
          <w:sz w:val="20"/>
          <w:szCs w:val="20"/>
          <w:color w:val="auto"/>
        </w:rPr>
      </w:pPr>
      <w:r>
        <w:rPr>
          <w:rFonts w:ascii="Times New Roman" w:cs="Times New Roman" w:eastAsia="Times New Roman" w:hAnsi="Times New Roman"/>
          <w:sz w:val="16"/>
          <w:szCs w:val="16"/>
          <w:color w:val="auto"/>
        </w:rPr>
        <w:t>Added a weighted-average 1.9 years to the life of loans, which reduced monthly payment amounts for the borrowers.</w:t>
      </w:r>
    </w:p>
    <w:p>
      <w:pPr>
        <w:spacing w:after="0" w:line="1" w:lineRule="exact"/>
        <w:rPr>
          <w:sz w:val="20"/>
          <w:szCs w:val="20"/>
          <w:color w:val="auto"/>
        </w:rPr>
      </w:pPr>
    </w:p>
    <w:p>
      <w:pPr>
        <w:ind w:right="140" w:firstLine="39"/>
        <w:spacing w:after="0" w:line="234" w:lineRule="auto"/>
        <w:rPr>
          <w:sz w:val="20"/>
          <w:szCs w:val="20"/>
          <w:color w:val="auto"/>
        </w:rPr>
      </w:pPr>
      <w:r>
        <w:rPr>
          <w:rFonts w:ascii="Times New Roman" w:cs="Times New Roman" w:eastAsia="Times New Roman" w:hAnsi="Times New Roman"/>
          <w:sz w:val="16"/>
          <w:szCs w:val="16"/>
          <w:color w:val="auto"/>
        </w:rPr>
        <w:t>Added a weighted-average 1.2 years to the life of loans, which reduced monthly payment amounts for the borrowers.</w:t>
      </w:r>
    </w:p>
    <w:p>
      <w:pPr>
        <w:spacing w:after="0" w:line="1" w:lineRule="exact"/>
        <w:rPr>
          <w:sz w:val="20"/>
          <w:szCs w:val="20"/>
          <w:color w:val="auto"/>
        </w:rPr>
      </w:pPr>
    </w:p>
    <w:p>
      <w:pPr>
        <w:ind w:right="140" w:firstLine="39"/>
        <w:spacing w:after="0" w:line="234" w:lineRule="auto"/>
        <w:rPr>
          <w:sz w:val="20"/>
          <w:szCs w:val="20"/>
          <w:color w:val="auto"/>
        </w:rPr>
      </w:pPr>
      <w:r>
        <w:rPr>
          <w:rFonts w:ascii="Times New Roman" w:cs="Times New Roman" w:eastAsia="Times New Roman" w:hAnsi="Times New Roman"/>
          <w:sz w:val="16"/>
          <w:szCs w:val="16"/>
          <w:color w:val="auto"/>
        </w:rPr>
        <w:t>Added a weighted-average 1.6 years to the life of loans, which reduced monthly payment amounts for the borrowers.</w:t>
      </w:r>
    </w:p>
    <w:p>
      <w:pPr>
        <w:spacing w:after="0" w:line="1" w:lineRule="exact"/>
        <w:rPr>
          <w:sz w:val="20"/>
          <w:szCs w:val="20"/>
          <w:color w:val="auto"/>
        </w:rPr>
      </w:pPr>
    </w:p>
    <w:p>
      <w:pPr>
        <w:sectPr>
          <w:pgSz w:w="11900" w:h="16840" w:orient="portrait"/>
          <w:cols w:equalWidth="0" w:num="2">
            <w:col w:w="5260" w:space="120"/>
            <w:col w:w="5180"/>
          </w:cols>
          <w:pgMar w:left="660" w:top="1440" w:right="680"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640" w:type="dxa"/>
            <w:vAlign w:val="bottom"/>
          </w:tcPr>
          <w:p>
            <w:pPr>
              <w:ind w:left="100"/>
              <w:spacing w:after="0" w:line="177" w:lineRule="exact"/>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tcPr>
          <w:p>
            <w:pPr>
              <w:jc w:val="right"/>
              <w:ind w:right="242"/>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560"/>
              <w:spacing w:after="0" w:line="177" w:lineRule="exact"/>
              <w:rPr>
                <w:sz w:val="20"/>
                <w:szCs w:val="20"/>
                <w:color w:val="auto"/>
              </w:rPr>
            </w:pPr>
            <w:r>
              <w:rPr>
                <w:rFonts w:ascii="Times New Roman" w:cs="Times New Roman" w:eastAsia="Times New Roman" w:hAnsi="Times New Roman"/>
                <w:sz w:val="16"/>
                <w:szCs w:val="16"/>
                <w:color w:val="auto"/>
              </w:rPr>
              <w:t>8,069</w:t>
            </w:r>
          </w:p>
        </w:tc>
        <w:tc>
          <w:tcPr>
            <w:tcW w:w="6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6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264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Term Extension and Interest Rate</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280" w:type="dxa"/>
            <w:vAlign w:val="bottom"/>
            <w:shd w:val="clear" w:color="auto" w:fill="CFF0FC"/>
          </w:tcPr>
          <w:p>
            <w:pPr>
              <w:ind w:left="1100"/>
              <w:spacing w:after="0" w:line="167" w:lineRule="exact"/>
              <w:rPr>
                <w:sz w:val="20"/>
                <w:szCs w:val="20"/>
                <w:color w:val="auto"/>
              </w:rPr>
            </w:pPr>
            <w:r>
              <w:rPr>
                <w:rFonts w:ascii="Times New Roman" w:cs="Times New Roman" w:eastAsia="Times New Roman" w:hAnsi="Times New Roman"/>
                <w:sz w:val="16"/>
                <w:szCs w:val="16"/>
                <w:color w:val="auto"/>
              </w:rPr>
              <w:t>Added a weighted-average 7.6 years to the life of loans, which reduced monthly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4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677</w:t>
            </w:r>
          </w:p>
        </w:tc>
        <w:tc>
          <w:tcPr>
            <w:tcW w:w="560" w:type="dxa"/>
            <w:vAlign w:val="bottom"/>
            <w:shd w:val="clear" w:color="auto" w:fill="CFF0FC"/>
          </w:tcPr>
          <w:p>
            <w:pPr>
              <w:spacing w:after="0"/>
              <w:rPr>
                <w:sz w:val="15"/>
                <w:szCs w:val="15"/>
                <w:color w:val="auto"/>
              </w:rPr>
            </w:pPr>
          </w:p>
        </w:tc>
        <w:tc>
          <w:tcPr>
            <w:tcW w:w="6280" w:type="dxa"/>
            <w:vAlign w:val="bottom"/>
            <w:shd w:val="clear" w:color="auto" w:fill="CFF0FC"/>
          </w:tcPr>
          <w:p>
            <w:pPr>
              <w:ind w:left="580"/>
              <w:spacing w:after="0" w:line="180" w:lineRule="exact"/>
              <w:rPr>
                <w:sz w:val="20"/>
                <w:szCs w:val="20"/>
                <w:color w:val="auto"/>
              </w:rPr>
            </w:pPr>
            <w:r>
              <w:rPr>
                <w:rFonts w:ascii="Times New Roman" w:cs="Times New Roman" w:eastAsia="Times New Roman" w:hAnsi="Times New Roman"/>
                <w:sz w:val="16"/>
                <w:szCs w:val="16"/>
                <w:color w:val="auto"/>
                <w:w w:val="97"/>
              </w:rPr>
              <w:t>0.01%  payment amounts for the borrowers; reduced weighted-average contractual interest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62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rPr>
              <w:t>rate from 10.00% to 7.25%.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80" w:type="dxa"/>
            <w:vAlign w:val="bottom"/>
          </w:tcPr>
          <w:p>
            <w:pPr>
              <w:ind w:left="1100"/>
              <w:spacing w:after="0" w:line="167" w:lineRule="exact"/>
              <w:rPr>
                <w:sz w:val="20"/>
                <w:szCs w:val="20"/>
                <w:color w:val="auto"/>
              </w:rPr>
            </w:pPr>
            <w:r>
              <w:rPr>
                <w:rFonts w:ascii="Times New Roman" w:cs="Times New Roman" w:eastAsia="Times New Roman" w:hAnsi="Times New Roman"/>
                <w:sz w:val="16"/>
                <w:szCs w:val="16"/>
                <w:color w:val="auto"/>
              </w:rPr>
              <w:t>Added a weighted-average 1.1 years to the life of loans, which reduced monthly</w:t>
            </w:r>
          </w:p>
        </w:tc>
        <w:tc>
          <w:tcPr>
            <w:tcW w:w="0" w:type="dxa"/>
            <w:vAlign w:val="bottom"/>
          </w:tcPr>
          <w:p>
            <w:pPr>
              <w:spacing w:after="0"/>
              <w:rPr>
                <w:sz w:val="1"/>
                <w:szCs w:val="1"/>
                <w:color w:val="auto"/>
              </w:rPr>
            </w:pPr>
          </w:p>
        </w:tc>
      </w:tr>
      <w:tr>
        <w:trPr>
          <w:trHeight w:val="180"/>
        </w:trPr>
        <w:tc>
          <w:tcPr>
            <w:tcW w:w="26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40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783</w:t>
            </w:r>
          </w:p>
        </w:tc>
        <w:tc>
          <w:tcPr>
            <w:tcW w:w="560" w:type="dxa"/>
            <w:vAlign w:val="bottom"/>
          </w:tcPr>
          <w:p>
            <w:pPr>
              <w:spacing w:after="0"/>
              <w:rPr>
                <w:sz w:val="15"/>
                <w:szCs w:val="15"/>
                <w:color w:val="auto"/>
              </w:rPr>
            </w:pPr>
          </w:p>
        </w:tc>
        <w:tc>
          <w:tcPr>
            <w:tcW w:w="6280" w:type="dxa"/>
            <w:vAlign w:val="bottom"/>
          </w:tcPr>
          <w:p>
            <w:pPr>
              <w:ind w:left="580"/>
              <w:spacing w:after="0" w:line="180" w:lineRule="exact"/>
              <w:rPr>
                <w:sz w:val="20"/>
                <w:szCs w:val="20"/>
                <w:color w:val="auto"/>
              </w:rPr>
            </w:pPr>
            <w:r>
              <w:rPr>
                <w:rFonts w:ascii="Times New Roman" w:cs="Times New Roman" w:eastAsia="Times New Roman" w:hAnsi="Times New Roman"/>
                <w:sz w:val="16"/>
                <w:szCs w:val="16"/>
                <w:color w:val="auto"/>
                <w:w w:val="97"/>
              </w:rPr>
              <w:t>0.01%  payment amounts for the borrowers; reduced weighted-average contractual interest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rate from 8.50% to 7.75%.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560"/>
              <w:spacing w:after="0" w:line="180" w:lineRule="exact"/>
              <w:rPr>
                <w:sz w:val="20"/>
                <w:szCs w:val="20"/>
                <w:color w:val="auto"/>
              </w:rPr>
            </w:pPr>
            <w:r>
              <w:rPr>
                <w:rFonts w:ascii="Times New Roman" w:cs="Times New Roman" w:eastAsia="Times New Roman" w:hAnsi="Times New Roman"/>
                <w:sz w:val="16"/>
                <w:szCs w:val="16"/>
                <w:color w:val="auto"/>
              </w:rPr>
              <w:t>1,460</w:t>
            </w:r>
          </w:p>
        </w:tc>
        <w:tc>
          <w:tcPr>
            <w:tcW w:w="6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4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Total Modified</w:t>
            </w:r>
          </w:p>
        </w:tc>
        <w:tc>
          <w:tcPr>
            <w:tcW w:w="400" w:type="dxa"/>
            <w:vAlign w:val="bottom"/>
          </w:tcPr>
          <w:p>
            <w:pPr>
              <w:jc w:val="right"/>
              <w:ind w:right="2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6"/>
                <w:szCs w:val="16"/>
                <w:color w:val="auto"/>
              </w:rPr>
              <w:t>9,529</w:t>
            </w:r>
          </w:p>
        </w:tc>
        <w:tc>
          <w:tcPr>
            <w:tcW w:w="6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8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20" w:type="dxa"/>
            <w:vAlign w:val="bottom"/>
          </w:tcPr>
          <w:p>
            <w:pPr>
              <w:spacing w:after="0"/>
              <w:rPr>
                <w:sz w:val="24"/>
                <w:szCs w:val="24"/>
                <w:color w:val="auto"/>
              </w:rPr>
            </w:pPr>
          </w:p>
        </w:tc>
        <w:tc>
          <w:tcPr>
            <w:tcW w:w="26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62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59" w:name="page60"/>
    <w:bookmarkEnd w:id="59"/>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of Total Class</w:t>
            </w:r>
          </w:p>
        </w:tc>
        <w:tc>
          <w:tcPr>
            <w:tcW w:w="0" w:type="dxa"/>
            <w:vAlign w:val="bottom"/>
          </w:tcPr>
          <w:p>
            <w:pPr>
              <w:spacing w:after="0"/>
              <w:rPr>
                <w:sz w:val="1"/>
                <w:szCs w:val="1"/>
                <w:color w:val="auto"/>
              </w:rPr>
            </w:pPr>
          </w:p>
        </w:tc>
      </w:tr>
      <w:tr>
        <w:trPr>
          <w:trHeight w:val="180"/>
        </w:trPr>
        <w:tc>
          <w:tcPr>
            <w:tcW w:w="2880" w:type="dxa"/>
            <w:vAlign w:val="bottom"/>
          </w:tcPr>
          <w:p>
            <w:pPr>
              <w:spacing w:after="0"/>
              <w:rPr>
                <w:sz w:val="15"/>
                <w:szCs w:val="15"/>
                <w:color w:val="auto"/>
              </w:rPr>
            </w:pPr>
          </w:p>
        </w:tc>
        <w:tc>
          <w:tcPr>
            <w:tcW w:w="7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5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of Financing</w:t>
            </w:r>
          </w:p>
        </w:tc>
        <w:tc>
          <w:tcPr>
            <w:tcW w:w="0" w:type="dxa"/>
            <w:vAlign w:val="bottom"/>
          </w:tcPr>
          <w:p>
            <w:pPr>
              <w:spacing w:after="0"/>
              <w:rPr>
                <w:sz w:val="1"/>
                <w:szCs w:val="1"/>
                <w:color w:val="auto"/>
              </w:rPr>
            </w:pPr>
          </w:p>
        </w:tc>
      </w:tr>
      <w:tr>
        <w:trPr>
          <w:trHeight w:val="205"/>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Cost Basis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Receivables</w:t>
            </w:r>
          </w:p>
        </w:tc>
        <w:tc>
          <w:tcPr>
            <w:tcW w:w="0" w:type="dxa"/>
            <w:vAlign w:val="bottom"/>
          </w:tcPr>
          <w:p>
            <w:pPr>
              <w:spacing w:after="0"/>
              <w:rPr>
                <w:sz w:val="1"/>
                <w:szCs w:val="1"/>
                <w:color w:val="auto"/>
              </w:rPr>
            </w:pPr>
          </w:p>
        </w:tc>
      </w:tr>
      <w:tr>
        <w:trPr>
          <w:trHeight w:val="155"/>
        </w:trPr>
        <w:tc>
          <w:tcPr>
            <w:tcW w:w="2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36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360"/>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76"/>
        </w:trPr>
        <w:tc>
          <w:tcPr>
            <w:tcW w:w="2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 Extension and Interest Rate</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24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84"/>
        </w:trPr>
        <w:tc>
          <w:tcPr>
            <w:tcW w:w="28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2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120"/>
              <w:spacing w:after="0" w:line="173" w:lineRule="exact"/>
              <w:rPr>
                <w:sz w:val="20"/>
                <w:szCs w:val="20"/>
                <w:color w:val="auto"/>
              </w:rPr>
            </w:pPr>
            <w:r>
              <w:rPr>
                <w:rFonts w:ascii="Times New Roman" w:cs="Times New Roman" w:eastAsia="Times New Roman" w:hAnsi="Times New Roman"/>
                <w:sz w:val="16"/>
                <w:szCs w:val="16"/>
                <w:b w:val="1"/>
                <w:bCs w:val="1"/>
                <w:color w:val="auto"/>
              </w:rPr>
              <w:t>Total Modified</w:t>
            </w:r>
          </w:p>
        </w:tc>
        <w:tc>
          <w:tcPr>
            <w:tcW w:w="240" w:type="dxa"/>
            <w:vAlign w:val="bottom"/>
            <w:tcBorders>
              <w:bottom w:val="single" w:sz="8" w:color="auto"/>
            </w:tcBorders>
          </w:tcPr>
          <w:p>
            <w:pPr>
              <w:jc w:val="right"/>
              <w:ind w:right="82"/>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6,467</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Financial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6985</wp:posOffset>
            </wp:positionV>
            <wp:extent cx="6707505" cy="114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338" w:lineRule="exact"/>
        <w:rPr>
          <w:sz w:val="20"/>
          <w:szCs w:val="20"/>
          <w:color w:val="auto"/>
        </w:rPr>
      </w:pPr>
    </w:p>
    <w:p>
      <w:pPr>
        <w:ind w:right="240" w:firstLine="39"/>
        <w:spacing w:after="0" w:line="246" w:lineRule="auto"/>
        <w:rPr>
          <w:sz w:val="20"/>
          <w:szCs w:val="20"/>
          <w:color w:val="auto"/>
        </w:rPr>
      </w:pPr>
      <w:r>
        <w:rPr>
          <w:rFonts w:ascii="Times New Roman" w:cs="Times New Roman" w:eastAsia="Times New Roman" w:hAnsi="Times New Roman"/>
          <w:sz w:val="16"/>
          <w:szCs w:val="16"/>
          <w:color w:val="auto"/>
        </w:rPr>
        <w:t>Added a weighted-average 1.7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-230505</wp:posOffset>
            </wp:positionV>
            <wp:extent cx="6707505" cy="228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right="240" w:firstLine="39"/>
        <w:spacing w:after="0" w:line="234" w:lineRule="auto"/>
        <w:rPr>
          <w:sz w:val="20"/>
          <w:szCs w:val="20"/>
          <w:color w:val="auto"/>
        </w:rPr>
      </w:pPr>
      <w:r>
        <w:rPr>
          <w:rFonts w:ascii="Times New Roman" w:cs="Times New Roman" w:eastAsia="Times New Roman" w:hAnsi="Times New Roman"/>
          <w:sz w:val="16"/>
          <w:szCs w:val="16"/>
          <w:color w:val="auto"/>
        </w:rPr>
        <w:t>Added a weighted-average 1.2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-1905</wp:posOffset>
            </wp:positionV>
            <wp:extent cx="6707505" cy="228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right="240" w:firstLine="39"/>
        <w:spacing w:after="0" w:line="238" w:lineRule="auto"/>
        <w:rPr>
          <w:sz w:val="20"/>
          <w:szCs w:val="20"/>
          <w:color w:val="auto"/>
        </w:rPr>
      </w:pPr>
      <w:r>
        <w:rPr>
          <w:rFonts w:ascii="Times New Roman" w:cs="Times New Roman" w:eastAsia="Times New Roman" w:hAnsi="Times New Roman"/>
          <w:sz w:val="16"/>
          <w:szCs w:val="16"/>
          <w:color w:val="auto"/>
        </w:rPr>
        <w:t>Added a weighted-average 0.9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222250</wp:posOffset>
            </wp:positionV>
            <wp:extent cx="6707505" cy="228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firstLine="39"/>
        <w:spacing w:after="0" w:line="247" w:lineRule="auto"/>
        <w:rPr>
          <w:sz w:val="20"/>
          <w:szCs w:val="20"/>
          <w:color w:val="auto"/>
        </w:rPr>
      </w:pPr>
      <w:r>
        <w:rPr>
          <w:rFonts w:ascii="Times New Roman" w:cs="Times New Roman" w:eastAsia="Times New Roman" w:hAnsi="Times New Roman"/>
          <w:sz w:val="16"/>
          <w:szCs w:val="16"/>
          <w:color w:val="auto"/>
        </w:rPr>
        <w:t>Added a weighted-average 7.6 years to the life of loans, which reduced monthly payment amounts for the borrowers; reduced weighted-average contractual interest rate from 10.00% to 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-8890</wp:posOffset>
            </wp:positionV>
            <wp:extent cx="6707505" cy="114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548" w:lineRule="exact"/>
        <w:rPr>
          <w:sz w:val="20"/>
          <w:szCs w:val="20"/>
          <w:color w:val="auto"/>
        </w:rPr>
      </w:pPr>
    </w:p>
    <w:p>
      <w:pPr>
        <w:sectPr>
          <w:pgSz w:w="11900" w:h="16840" w:orient="portrait"/>
          <w:cols w:equalWidth="0" w:num="2">
            <w:col w:w="5160" w:space="120"/>
            <w:col w:w="5280"/>
          </w:cols>
          <w:pgMar w:left="660" w:top="1440" w:right="680" w:bottom="1440" w:gutter="0" w:footer="0" w:header="0"/>
        </w:sectPr>
      </w:pPr>
    </w:p>
    <w:p>
      <w:pPr>
        <w:jc w:val="both"/>
        <w:ind w:right="60" w:firstLine="432"/>
        <w:spacing w:after="0" w:line="247" w:lineRule="auto"/>
        <w:rPr>
          <w:sz w:val="20"/>
          <w:szCs w:val="20"/>
          <w:color w:val="auto"/>
        </w:rPr>
      </w:pPr>
      <w:r>
        <w:rPr>
          <w:rFonts w:ascii="Times New Roman" w:cs="Times New Roman" w:eastAsia="Times New Roman" w:hAnsi="Times New Roman"/>
          <w:sz w:val="16"/>
          <w:szCs w:val="16"/>
          <w:color w:val="auto"/>
        </w:rPr>
        <w:t>As of June 30, 2025 and December 31, 2024, the Company did not have any loans made to borrowers experiencing financial difficulty that were modified during the second quarter of 2025 and 2024 that subsequently defaulted. Payment default is defined as movement to nonaccrual (nonperforming) status, foreclosure or charge-off, whichever occurs first.</w:t>
      </w:r>
    </w:p>
    <w:p>
      <w:pPr>
        <w:spacing w:after="0" w:line="152"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recorded investment in, and the aging of, past due loans at amortized cost (including nonaccrual loans), by type of loans, made to borrowers experiencing financial difficulty as of June 30,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Payment Status (amortized cost basis)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4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5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30-89 Days</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b w:val="1"/>
                <w:bCs w:val="1"/>
                <w:color w:val="auto"/>
              </w:rPr>
              <w:t>90+ Days</w:t>
            </w:r>
          </w:p>
        </w:tc>
      </w:tr>
      <w:tr>
        <w:trPr>
          <w:trHeight w:val="180"/>
        </w:trPr>
        <w:tc>
          <w:tcPr>
            <w:tcW w:w="4220" w:type="dxa"/>
            <w:vAlign w:val="bottom"/>
          </w:tcPr>
          <w:p>
            <w:pPr>
              <w:spacing w:after="0"/>
              <w:rPr>
                <w:sz w:val="15"/>
                <w:szCs w:val="15"/>
                <w:color w:val="auto"/>
              </w:rPr>
            </w:pPr>
          </w:p>
        </w:tc>
        <w:tc>
          <w:tcPr>
            <w:tcW w:w="12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b w:val="1"/>
                <w:bCs w:val="1"/>
                <w:color w:val="auto"/>
              </w:rPr>
              <w:t>Current</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5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Past Due</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ind w:left="260"/>
              <w:spacing w:after="0" w:line="180" w:lineRule="exact"/>
              <w:rPr>
                <w:sz w:val="20"/>
                <w:szCs w:val="20"/>
                <w:color w:val="auto"/>
              </w:rPr>
            </w:pPr>
            <w:r>
              <w:rPr>
                <w:rFonts w:ascii="Times New Roman" w:cs="Times New Roman" w:eastAsia="Times New Roman" w:hAnsi="Times New Roman"/>
                <w:sz w:val="16"/>
                <w:szCs w:val="16"/>
                <w:b w:val="1"/>
                <w:bCs w:val="1"/>
                <w:color w:val="auto"/>
              </w:rPr>
              <w:t>Past Due</w:t>
            </w:r>
          </w:p>
        </w:tc>
      </w:tr>
      <w:tr>
        <w:trPr>
          <w:trHeight w:val="195"/>
        </w:trPr>
        <w:tc>
          <w:tcPr>
            <w:tcW w:w="4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422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1280" w:type="dxa"/>
            <w:vAlign w:val="bottom"/>
            <w:shd w:val="clear" w:color="auto" w:fill="CFF0FC"/>
          </w:tcPr>
          <w:p>
            <w:pPr>
              <w:jc w:val="right"/>
              <w:ind w:right="1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7,870</w:t>
            </w:r>
          </w:p>
        </w:tc>
        <w:tc>
          <w:tcPr>
            <w:tcW w:w="6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80" w:type="dxa"/>
            <w:vAlign w:val="bottom"/>
            <w:gridSpan w:val="2"/>
            <w:shd w:val="clear" w:color="auto" w:fill="CFF0FC"/>
          </w:tcPr>
          <w:p>
            <w:pPr>
              <w:ind w:left="15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tcPr>
          <w:p>
            <w:pPr>
              <w:ind w:left="40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128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1,264</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ind w:left="15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1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80" w:type="dxa"/>
            <w:vAlign w:val="bottom"/>
            <w:gridSpan w:val="2"/>
            <w:shd w:val="clear" w:color="auto" w:fill="CFF0FC"/>
          </w:tcPr>
          <w:p>
            <w:pPr>
              <w:ind w:left="15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tcPr>
          <w:p>
            <w:pPr>
              <w:ind w:left="50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tcPr>
          <w:p>
            <w:pPr>
              <w:jc w:val="right"/>
              <w:ind w:right="1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9,529</w:t>
            </w:r>
          </w:p>
        </w:tc>
        <w:tc>
          <w:tcPr>
            <w:tcW w:w="60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080" w:type="dxa"/>
            <w:vAlign w:val="bottom"/>
            <w:gridSpan w:val="2"/>
          </w:tcPr>
          <w:p>
            <w:pPr>
              <w:ind w:left="15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ind w:left="1280"/>
              <w:spacing w:after="0" w:line="16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4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32"/>
        <w:spacing w:after="0" w:line="247" w:lineRule="auto"/>
        <w:rPr>
          <w:sz w:val="20"/>
          <w:szCs w:val="20"/>
          <w:color w:val="auto"/>
        </w:rPr>
      </w:pPr>
      <w:r>
        <w:rPr>
          <w:rFonts w:ascii="Times New Roman" w:cs="Times New Roman" w:eastAsia="Times New Roman" w:hAnsi="Times New Roman"/>
          <w:sz w:val="16"/>
          <w:szCs w:val="16"/>
          <w:color w:val="auto"/>
        </w:rPr>
        <w:t>At June 30, 2025 and December 31, 2024, there was no ACL allocated to modified loans to borrowers experiencing financial difficulty. Impairment amounts identified are typically charged off against the allowance at the time the loan is considered uncollectible. There were no charge-offs on loans to borrowers experiencing financial difficulty for the six months ended June 30, 2025 and 2024.</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60" w:name="page61"/>
    <w:bookmarkEnd w:id="60"/>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Nonperforming Assets and Delinquencies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table below provides trends in our nonperforming assets and delinquencies as of the dates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3"/>
                <w:szCs w:val="13"/>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3"/>
                <w:szCs w:val="13"/>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56"/>
        </w:trPr>
        <w:tc>
          <w:tcPr>
            <w:tcW w:w="3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r>
      <w:tr>
        <w:trPr>
          <w:trHeight w:val="170"/>
        </w:trPr>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Nonperforming loans:</w:t>
            </w: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6"/>
        </w:trPr>
        <w:tc>
          <w:tcPr>
            <w:tcW w:w="3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Commercial real estate</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24,379</w:t>
            </w:r>
          </w:p>
        </w:tc>
        <w:tc>
          <w:tcPr>
            <w:tcW w:w="26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24,379</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25,866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18,794</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21,908</w:t>
            </w:r>
          </w:p>
        </w:tc>
      </w:tr>
      <w:tr>
        <w:trPr>
          <w:trHeight w:val="156"/>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SBA</w:t>
            </w: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1,529</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20" w:type="dxa"/>
            <w:vAlign w:val="bottom"/>
            <w:shd w:val="clear" w:color="auto" w:fill="CFF0FC"/>
          </w:tcPr>
          <w:p>
            <w:pPr>
              <w:spacing w:after="0"/>
              <w:rPr>
                <w:sz w:val="13"/>
                <w:szCs w:val="13"/>
                <w:color w:val="auto"/>
              </w:rPr>
            </w:pPr>
          </w:p>
        </w:tc>
      </w:tr>
      <w:tr>
        <w:trPr>
          <w:trHeight w:val="156"/>
        </w:trPr>
        <w:tc>
          <w:tcPr>
            <w:tcW w:w="3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2,825</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2,712</w:t>
            </w:r>
          </w:p>
        </w:tc>
        <w:tc>
          <w:tcPr>
            <w:tcW w:w="120" w:type="dxa"/>
            <w:vAlign w:val="bottom"/>
          </w:tcPr>
          <w:p>
            <w:pPr>
              <w:spacing w:after="0"/>
              <w:rPr>
                <w:sz w:val="13"/>
                <w:szCs w:val="13"/>
                <w:color w:val="auto"/>
              </w:rPr>
            </w:pPr>
          </w:p>
        </w:tc>
      </w:tr>
      <w:tr>
        <w:trPr>
          <w:trHeight w:val="156"/>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4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25,969</w:t>
            </w:r>
          </w:p>
        </w:tc>
        <w:tc>
          <w:tcPr>
            <w:tcW w:w="26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25,636</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27,795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21,913</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24,957</w:t>
            </w:r>
          </w:p>
        </w:tc>
      </w:tr>
      <w:tr>
        <w:trPr>
          <w:trHeight w:val="156"/>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 of Total loans</w:t>
            </w:r>
          </w:p>
        </w:tc>
        <w:tc>
          <w:tcPr>
            <w:tcW w:w="20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0.31%</w:t>
            </w:r>
          </w:p>
        </w:tc>
        <w:tc>
          <w:tcPr>
            <w:tcW w:w="1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0.31%</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0.33%</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0.26%</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0.29%</w:t>
            </w:r>
          </w:p>
        </w:tc>
      </w:tr>
      <w:tr>
        <w:trPr>
          <w:trHeight w:val="312"/>
        </w:trPr>
        <w:tc>
          <w:tcPr>
            <w:tcW w:w="3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Past due 30-89 days (accruing):</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real estate</w:t>
            </w: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30,701</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FF0FC"/>
          </w:tcPr>
          <w:p>
            <w:pPr>
              <w:spacing w:after="0"/>
              <w:rPr>
                <w:sz w:val="13"/>
                <w:szCs w:val="13"/>
                <w:color w:val="auto"/>
              </w:rPr>
            </w:pPr>
          </w:p>
        </w:tc>
      </w:tr>
      <w:tr>
        <w:trPr>
          <w:trHeight w:val="156"/>
        </w:trPr>
        <w:tc>
          <w:tcPr>
            <w:tcW w:w="3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SBA</w:t>
            </w: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0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shd w:val="clear" w:color="auto" w:fill="CFF0FC"/>
          </w:tcPr>
          <w:p>
            <w:pPr>
              <w:spacing w:after="0"/>
              <w:rPr>
                <w:sz w:val="13"/>
                <w:szCs w:val="13"/>
                <w:color w:val="auto"/>
              </w:rPr>
            </w:pPr>
          </w:p>
        </w:tc>
      </w:tr>
      <w:tr>
        <w:trPr>
          <w:trHeight w:val="156"/>
        </w:trPr>
        <w:tc>
          <w:tcPr>
            <w:tcW w:w="34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3,419</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718</w:t>
            </w:r>
          </w:p>
        </w:tc>
        <w:tc>
          <w:tcPr>
            <w:tcW w:w="28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487</w:t>
            </w:r>
          </w:p>
        </w:tc>
        <w:tc>
          <w:tcPr>
            <w:tcW w:w="24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30,765</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146</w:t>
            </w:r>
          </w:p>
        </w:tc>
        <w:tc>
          <w:tcPr>
            <w:tcW w:w="120" w:type="dxa"/>
            <w:vAlign w:val="bottom"/>
          </w:tcPr>
          <w:p>
            <w:pPr>
              <w:spacing w:after="0"/>
              <w:rPr>
                <w:sz w:val="13"/>
                <w:szCs w:val="13"/>
                <w:color w:val="auto"/>
              </w:rPr>
            </w:pPr>
          </w:p>
        </w:tc>
      </w:tr>
      <w:tr>
        <w:trPr>
          <w:trHeight w:val="156"/>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 of Total loans</w:t>
            </w:r>
          </w:p>
        </w:tc>
        <w:tc>
          <w:tcPr>
            <w:tcW w:w="20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0.04%</w:t>
            </w:r>
          </w:p>
        </w:tc>
        <w:tc>
          <w:tcPr>
            <w:tcW w:w="1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0.01%</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0.01%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0.36%</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0.00%</w:t>
            </w:r>
          </w:p>
        </w:tc>
      </w:tr>
      <w:tr>
        <w:trPr>
          <w:trHeight w:val="312"/>
        </w:trPr>
        <w:tc>
          <w:tcPr>
            <w:tcW w:w="3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OREO:</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real estate</w:t>
            </w: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18,656</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SFR mortgage</w:t>
            </w:r>
          </w:p>
        </w:tc>
        <w:tc>
          <w:tcPr>
            <w:tcW w:w="200" w:type="dxa"/>
            <w:vAlign w:val="bottom"/>
          </w:tcPr>
          <w:p>
            <w:pPr>
              <w:spacing w:after="0"/>
              <w:rPr>
                <w:sz w:val="13"/>
                <w:szCs w:val="1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20" w:type="dxa"/>
            <w:vAlign w:val="bottom"/>
          </w:tcPr>
          <w:p>
            <w:pPr>
              <w:spacing w:after="0"/>
              <w:rPr>
                <w:sz w:val="13"/>
                <w:szCs w:val="13"/>
                <w:color w:val="auto"/>
              </w:rPr>
            </w:pPr>
          </w:p>
        </w:tc>
      </w:tr>
      <w:tr>
        <w:trPr>
          <w:trHeight w:val="156"/>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661</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495</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19,303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647</w:t>
            </w:r>
          </w:p>
        </w:tc>
        <w:tc>
          <w:tcPr>
            <w:tcW w:w="22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647</w:t>
            </w:r>
          </w:p>
        </w:tc>
        <w:tc>
          <w:tcPr>
            <w:tcW w:w="120" w:type="dxa"/>
            <w:vAlign w:val="bottom"/>
            <w:shd w:val="clear" w:color="auto" w:fill="CFF0FC"/>
          </w:tcPr>
          <w:p>
            <w:pPr>
              <w:spacing w:after="0"/>
              <w:rPr>
                <w:sz w:val="13"/>
                <w:szCs w:val="13"/>
                <w:color w:val="auto"/>
              </w:rPr>
            </w:pPr>
          </w:p>
        </w:tc>
      </w:tr>
      <w:tr>
        <w:trPr>
          <w:trHeight w:val="156"/>
        </w:trPr>
        <w:tc>
          <w:tcPr>
            <w:tcW w:w="346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b w:val="1"/>
                <w:bCs w:val="1"/>
                <w:color w:val="auto"/>
              </w:rPr>
              <w:t>Total nonperforming, past due, and OREO</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30,049</w:t>
            </w:r>
          </w:p>
        </w:tc>
        <w:tc>
          <w:tcPr>
            <w:tcW w:w="26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3"/>
                <w:szCs w:val="13"/>
                <w:b w:val="1"/>
                <w:bCs w:val="1"/>
                <w:color w:val="auto"/>
              </w:rPr>
              <w:t>26,849</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b w:val="1"/>
                <w:bCs w:val="1"/>
                <w:color w:val="auto"/>
              </w:rPr>
              <w:t>47,585</w:t>
            </w:r>
          </w:p>
        </w:tc>
        <w:tc>
          <w:tcPr>
            <w:tcW w:w="26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53,325</w:t>
            </w:r>
          </w:p>
        </w:tc>
        <w:tc>
          <w:tcPr>
            <w:tcW w:w="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b w:val="1"/>
                <w:bCs w:val="1"/>
                <w:color w:val="auto"/>
              </w:rPr>
              <w:t>25,750</w:t>
            </w:r>
          </w:p>
        </w:tc>
      </w:tr>
      <w:tr>
        <w:trPr>
          <w:trHeight w:val="20"/>
        </w:trPr>
        <w:tc>
          <w:tcPr>
            <w:tcW w:w="3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2"/>
        </w:trPr>
        <w:tc>
          <w:tcPr>
            <w:tcW w:w="3460" w:type="dxa"/>
            <w:vAlign w:val="bottom"/>
            <w:shd w:val="clear" w:color="auto" w:fill="CFF0FC"/>
          </w:tcPr>
          <w:p>
            <w:pPr>
              <w:ind w:left="180"/>
              <w:spacing w:after="0" w:line="133" w:lineRule="exact"/>
              <w:rPr>
                <w:sz w:val="20"/>
                <w:szCs w:val="20"/>
                <w:color w:val="auto"/>
              </w:rPr>
            </w:pPr>
            <w:r>
              <w:rPr>
                <w:rFonts w:ascii="Times New Roman" w:cs="Times New Roman" w:eastAsia="Times New Roman" w:hAnsi="Times New Roman"/>
                <w:sz w:val="13"/>
                <w:szCs w:val="13"/>
                <w:b w:val="1"/>
                <w:bCs w:val="1"/>
                <w:color w:val="auto"/>
              </w:rPr>
              <w:t>% of Total loans</w:t>
            </w:r>
          </w:p>
        </w:tc>
        <w:tc>
          <w:tcPr>
            <w:tcW w:w="200" w:type="dxa"/>
            <w:vAlign w:val="bottom"/>
            <w:shd w:val="clear" w:color="auto" w:fill="CFF0FC"/>
          </w:tcPr>
          <w:p>
            <w:pPr>
              <w:spacing w:after="0"/>
              <w:rPr>
                <w:sz w:val="11"/>
                <w:szCs w:val="11"/>
                <w:color w:val="auto"/>
              </w:rPr>
            </w:pPr>
          </w:p>
        </w:tc>
        <w:tc>
          <w:tcPr>
            <w:tcW w:w="1240" w:type="dxa"/>
            <w:vAlign w:val="bottom"/>
            <w:gridSpan w:val="3"/>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3"/>
                <w:szCs w:val="13"/>
                <w:b w:val="1"/>
                <w:bCs w:val="1"/>
                <w:color w:val="auto"/>
              </w:rPr>
              <w:t>0.36%</w:t>
            </w:r>
          </w:p>
        </w:tc>
        <w:tc>
          <w:tcPr>
            <w:tcW w:w="16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3"/>
                <w:szCs w:val="13"/>
                <w:b w:val="1"/>
                <w:bCs w:val="1"/>
                <w:color w:val="auto"/>
              </w:rPr>
              <w:t>0.32%</w:t>
            </w:r>
          </w:p>
        </w:tc>
        <w:tc>
          <w:tcPr>
            <w:tcW w:w="12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3"/>
                <w:szCs w:val="13"/>
                <w:b w:val="1"/>
                <w:bCs w:val="1"/>
                <w:color w:val="auto"/>
              </w:rPr>
              <w:t>0.25%</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3"/>
                <w:szCs w:val="13"/>
                <w:b w:val="1"/>
                <w:bCs w:val="1"/>
                <w:color w:val="auto"/>
              </w:rPr>
              <w:t>0.62%</w:t>
            </w: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0.30%</w:t>
            </w:r>
          </w:p>
        </w:tc>
      </w:tr>
      <w:tr>
        <w:trPr>
          <w:trHeight w:val="312"/>
        </w:trPr>
        <w:tc>
          <w:tcPr>
            <w:tcW w:w="3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Classified Loans</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73,422</w:t>
            </w:r>
          </w:p>
        </w:tc>
        <w:tc>
          <w:tcPr>
            <w:tcW w:w="260" w:type="dxa"/>
            <w:vAlign w:val="bottom"/>
          </w:tcPr>
          <w:p>
            <w:pPr>
              <w:spacing w:after="0"/>
              <w:rPr>
                <w:sz w:val="24"/>
                <w:szCs w:val="24"/>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94,169</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89,549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124,606</w:t>
            </w:r>
          </w:p>
        </w:tc>
        <w:tc>
          <w:tcPr>
            <w:tcW w:w="22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124,728</w:t>
            </w:r>
          </w:p>
        </w:tc>
        <w:tc>
          <w:tcPr>
            <w:tcW w:w="120" w:type="dxa"/>
            <w:vAlign w:val="bottom"/>
          </w:tcPr>
          <w:p>
            <w:pPr>
              <w:spacing w:after="0"/>
              <w:rPr>
                <w:sz w:val="24"/>
                <w:szCs w:val="24"/>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32"/>
        <w:spacing w:after="0" w:line="243" w:lineRule="auto"/>
        <w:rPr>
          <w:sz w:val="20"/>
          <w:szCs w:val="20"/>
          <w:color w:val="auto"/>
        </w:rPr>
      </w:pPr>
      <w:r>
        <w:rPr>
          <w:rFonts w:ascii="Times New Roman" w:cs="Times New Roman" w:eastAsia="Times New Roman" w:hAnsi="Times New Roman"/>
          <w:sz w:val="16"/>
          <w:szCs w:val="16"/>
          <w:color w:val="auto"/>
        </w:rPr>
        <w:t>Nonperforming loans, defined as nonaccrual loans, including modified loans on nonaccrual, and loans past due 90 days or more and still accruing interest, were $26 million at June 30, 2025, or 0.31% of total loans. This compares to nonperforming loans of $ 27.8 million, or 0.33% of total loans, at December 31, 2024 and $25.0 million, or 0.29% of total loans, at June 30, 2024. The $333,000 increase in nonperforming loans from March 31, 2025 was primarily due to the addition of one nonperforming SBA loan in the amount of $620,000.</w:t>
      </w:r>
    </w:p>
    <w:p>
      <w:pPr>
        <w:spacing w:after="0" w:line="155" w:lineRule="exact"/>
        <w:rPr>
          <w:sz w:val="20"/>
          <w:szCs w:val="20"/>
          <w:color w:val="auto"/>
        </w:rPr>
      </w:pPr>
    </w:p>
    <w:p>
      <w:pPr>
        <w:ind w:right="400" w:firstLine="432"/>
        <w:spacing w:after="0" w:line="259" w:lineRule="auto"/>
        <w:rPr>
          <w:sz w:val="20"/>
          <w:szCs w:val="20"/>
          <w:color w:val="auto"/>
        </w:rPr>
      </w:pPr>
      <w:r>
        <w:rPr>
          <w:rFonts w:ascii="Times New Roman" w:cs="Times New Roman" w:eastAsia="Times New Roman" w:hAnsi="Times New Roman"/>
          <w:sz w:val="16"/>
          <w:szCs w:val="16"/>
          <w:color w:val="auto"/>
        </w:rPr>
        <w:t>Classified loans are loans that are graded “substandard” or worse. Classified loans decreased $20.7 million quarter-over-quarter, primarily as a result of one classified owner occupied commercial real estate loan of $17 million being upgraded.</w:t>
      </w:r>
    </w:p>
    <w:p>
      <w:pPr>
        <w:spacing w:after="0" w:line="143" w:lineRule="exact"/>
        <w:rPr>
          <w:sz w:val="20"/>
          <w:szCs w:val="20"/>
          <w:color w:val="auto"/>
        </w:rPr>
      </w:pPr>
    </w:p>
    <w:p>
      <w:pPr>
        <w:ind w:right="460" w:firstLine="432"/>
        <w:spacing w:after="0" w:line="259" w:lineRule="auto"/>
        <w:rPr>
          <w:sz w:val="20"/>
          <w:szCs w:val="20"/>
          <w:color w:val="auto"/>
        </w:rPr>
      </w:pPr>
      <w:r>
        <w:rPr>
          <w:rFonts w:ascii="Times New Roman" w:cs="Times New Roman" w:eastAsia="Times New Roman" w:hAnsi="Times New Roman"/>
          <w:sz w:val="16"/>
          <w:szCs w:val="16"/>
          <w:color w:val="auto"/>
        </w:rPr>
        <w:t>At June 30, 2025, we had two OREO properties totaling $661,000. At December 31, 2024 we had four OREO properties totaling $19.3 million. In the first quarter of 2025, we sold four properties with a total book value of $19.3 million. These sales resulted in gains on sale of approximately $2.0 million.</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i w:val="1"/>
          <w:iCs w:val="1"/>
          <w:color w:val="auto"/>
        </w:rPr>
        <w:t>Allowance for Credit Losses</w:t>
      </w:r>
    </w:p>
    <w:p>
      <w:pPr>
        <w:spacing w:after="0" w:line="180" w:lineRule="exact"/>
        <w:rPr>
          <w:sz w:val="20"/>
          <w:szCs w:val="20"/>
          <w:color w:val="auto"/>
        </w:rPr>
      </w:pPr>
    </w:p>
    <w:p>
      <w:pPr>
        <w:ind w:right="200" w:firstLine="432"/>
        <w:spacing w:after="0" w:line="241" w:lineRule="auto"/>
        <w:rPr>
          <w:sz w:val="20"/>
          <w:szCs w:val="20"/>
          <w:color w:val="auto"/>
        </w:rPr>
      </w:pPr>
      <w:r>
        <w:rPr>
          <w:rFonts w:ascii="Times New Roman" w:cs="Times New Roman" w:eastAsia="Times New Roman" w:hAnsi="Times New Roman"/>
          <w:sz w:val="16"/>
          <w:szCs w:val="16"/>
          <w:color w:val="auto"/>
        </w:rPr>
        <w:t>The allowance for credit losses totaled $78.0 million as of June 30, 2025, compared to $80.1 million as of December 31, 2024 and $82.8 million as of June 30, 2024. Our allowance for credit losses at June 30, 2025 was 0.93% of total loans. This compares to 0.94% at December 31, 2024 and 0.95% at June 30, 2024. The decrease in our allowance for credit losses from December 31, 2024 was due to a $2 million recapture of credit losses compared to no provision for credit losses recorded for the six months ended June 30, 2024. Net charge-offs were $119 thousand for the six months ended June 30, 2025, compared to $4.1 million for the same period of 2024.</w:t>
      </w:r>
    </w:p>
    <w:p>
      <w:pPr>
        <w:spacing w:after="0" w:line="157" w:lineRule="exact"/>
        <w:rPr>
          <w:sz w:val="20"/>
          <w:szCs w:val="20"/>
          <w:color w:val="auto"/>
        </w:rPr>
      </w:pPr>
    </w:p>
    <w:p>
      <w:pPr>
        <w:ind w:right="40" w:firstLine="432"/>
        <w:spacing w:after="0" w:line="237" w:lineRule="auto"/>
        <w:rPr>
          <w:sz w:val="20"/>
          <w:szCs w:val="20"/>
          <w:color w:val="auto"/>
        </w:rPr>
      </w:pPr>
      <w:r>
        <w:rPr>
          <w:rFonts w:ascii="Times New Roman" w:cs="Times New Roman" w:eastAsia="Times New Roman" w:hAnsi="Times New Roman"/>
          <w:sz w:val="16"/>
          <w:szCs w:val="16"/>
          <w:color w:val="auto"/>
        </w:rPr>
        <w:t>The allowance for credit losses as of June 30, 2025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Original Loan to Value ratios ("OLTV"), origination year, loan 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(excluding PPP loans) .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57" w:lineRule="exact"/>
        <w:rPr>
          <w:sz w:val="20"/>
          <w:szCs w:val="20"/>
          <w:color w:val="auto"/>
        </w:rPr>
      </w:pPr>
    </w:p>
    <w:p>
      <w:pPr>
        <w:ind w:firstLine="432"/>
        <w:spacing w:after="0" w:line="243" w:lineRule="auto"/>
        <w:rPr>
          <w:sz w:val="20"/>
          <w:szCs w:val="20"/>
          <w:color w:val="auto"/>
        </w:rPr>
      </w:pPr>
      <w:r>
        <w:rPr>
          <w:rFonts w:ascii="Times New Roman" w:cs="Times New Roman" w:eastAsia="Times New Roman" w:hAnsi="Times New Roman"/>
          <w:sz w:val="16"/>
          <w:szCs w:val="16"/>
          <w:color w:val="auto"/>
        </w:rPr>
        <w:t>Our economic forecast continues to be a blend of multiple forecasts produced by Moody’s. The baseline forecast continues to represent the largest weighting in our multi-weighted forecast scenario, with downside risks weighted among multiple forecasts. As of June 30, 2025, the resulting weighted forecast resulted in Real GDP declining in the second half of 2025. GDP growth is forecasted to be below 1% for the remaining of 2025 until second half of 2026, before rebounding to 2% by the end of 2027. The unemployment rate is forecasted to increase and reach 5% by the beginning of of 2026 and will remain above 5% until 2028.</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17" w:right="700" w:bottom="1440" w:gutter="0" w:footer="0" w:header="0"/>
        </w:sectPr>
      </w:pPr>
    </w:p>
    <w:bookmarkStart w:id="62" w:name="page63"/>
    <w:bookmarkEnd w:id="62"/>
    <w:p>
      <w:pPr>
        <w:jc w:val="both"/>
        <w:ind w:right="180" w:firstLine="432"/>
        <w:spacing w:after="0" w:line="259" w:lineRule="auto"/>
        <w:rPr>
          <w:sz w:val="20"/>
          <w:szCs w:val="20"/>
          <w:color w:val="auto"/>
        </w:rPr>
      </w:pPr>
      <w:r>
        <w:rPr>
          <w:rFonts w:ascii="Times New Roman" w:cs="Times New Roman" w:eastAsia="Times New Roman" w:hAnsi="Times New Roman"/>
          <w:sz w:val="16"/>
          <w:szCs w:val="16"/>
          <w:color w:val="auto"/>
        </w:rPr>
        <w:t>The table below presents a summary of charge-offs and recoveries by type, the provision for credit losses on loans, and the resulting allowance for credit losses for the periods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center"/>
              <w:ind w:left="522"/>
              <w:spacing w:after="0"/>
              <w:rPr>
                <w:sz w:val="20"/>
                <w:szCs w:val="20"/>
                <w:color w:val="auto"/>
              </w:rPr>
            </w:pPr>
            <w:r>
              <w:rPr>
                <w:rFonts w:ascii="Times New Roman" w:cs="Times New Roman" w:eastAsia="Times New Roman" w:hAnsi="Times New Roman"/>
                <w:sz w:val="16"/>
                <w:szCs w:val="16"/>
                <w:b w:val="1"/>
                <w:bCs w:val="1"/>
                <w:color w:val="auto"/>
                <w:w w:val="97"/>
              </w:rPr>
              <w:t>As of and For the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3"/>
          </w:tcPr>
          <w:p>
            <w:pPr>
              <w:jc w:val="center"/>
              <w:ind w:left="522"/>
              <w:spacing w:after="0" w:line="180" w:lineRule="exact"/>
              <w:rPr>
                <w:sz w:val="20"/>
                <w:szCs w:val="20"/>
                <w:color w:val="auto"/>
              </w:rPr>
            </w:pPr>
            <w:r>
              <w:rPr>
                <w:rFonts w:ascii="Times New Roman" w:cs="Times New Roman" w:eastAsia="Times New Roman" w:hAnsi="Times New Roman"/>
                <w:sz w:val="16"/>
                <w:szCs w:val="16"/>
                <w:b w:val="1"/>
                <w:bCs w:val="1"/>
                <w:color w:val="auto"/>
                <w:w w:val="98"/>
              </w:rPr>
              <w:t>Six Months Ended</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3"/>
          </w:tcPr>
          <w:p>
            <w:pPr>
              <w:jc w:val="center"/>
              <w:ind w:left="522"/>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02"/>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02"/>
              <w:spacing w:after="0" w:line="180"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center"/>
              <w:ind w:left="522"/>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Allowance for credit losses at beginning of period</w:t>
            </w:r>
          </w:p>
        </w:tc>
        <w:tc>
          <w:tcPr>
            <w:tcW w:w="1840" w:type="dxa"/>
            <w:vAlign w:val="bottom"/>
            <w:gridSpan w:val="2"/>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80,122</w:t>
            </w: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86,842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Charge-offs: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SBA</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56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(413)</w:t>
            </w:r>
          </w:p>
        </w:tc>
        <w:tc>
          <w:tcPr>
            <w:tcW w:w="5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Consumer and other loans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w:t>
            </w:r>
          </w:p>
        </w:tc>
        <w:tc>
          <w:tcPr>
            <w:tcW w:w="56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charge-offs</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(469)</w:t>
            </w:r>
          </w:p>
        </w:tc>
        <w:tc>
          <w:tcPr>
            <w:tcW w:w="5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SBA</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297</w:t>
            </w: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recoveries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350</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charge-offs</w:t>
            </w:r>
          </w:p>
        </w:tc>
        <w:tc>
          <w:tcPr>
            <w:tcW w:w="15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(119)</w:t>
            </w:r>
          </w:p>
        </w:tc>
        <w:tc>
          <w:tcPr>
            <w:tcW w:w="5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80"/>
              <w:spacing w:after="0" w:line="264" w:lineRule="exact"/>
              <w:rPr>
                <w:sz w:val="20"/>
                <w:szCs w:val="20"/>
                <w:color w:val="auto"/>
              </w:rPr>
            </w:pPr>
            <w:r>
              <w:rPr>
                <w:rFonts w:ascii="Times New Roman" w:cs="Times New Roman" w:eastAsia="Times New Roman" w:hAnsi="Times New Roman"/>
                <w:sz w:val="15"/>
                <w:szCs w:val="15"/>
                <w:color w:val="auto"/>
              </w:rPr>
              <w:t>(4,056</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(Recapture of) provision for credit losses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(2,000)</w:t>
            </w:r>
          </w:p>
        </w:tc>
        <w:tc>
          <w:tcPr>
            <w:tcW w:w="560" w:type="dxa"/>
            <w:vAlign w:val="bottom"/>
          </w:tcPr>
          <w:p>
            <w:pPr>
              <w:spacing w:after="0"/>
              <w:rPr>
                <w:sz w:val="15"/>
                <w:szCs w:val="15"/>
                <w:color w:val="auto"/>
              </w:rPr>
            </w:pPr>
          </w:p>
        </w:tc>
        <w:tc>
          <w:tcPr>
            <w:tcW w:w="10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2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Allowance for credit losses at end of period</w:t>
            </w:r>
          </w:p>
        </w:tc>
        <w:tc>
          <w:tcPr>
            <w:tcW w:w="15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78,003</w:t>
            </w:r>
          </w:p>
        </w:tc>
        <w:tc>
          <w:tcPr>
            <w:tcW w:w="3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82,786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Summary of reserve for unfunded loan commitments:</w:t>
            </w: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Reserve for unfunded loan commitments at beginning of period</w:t>
            </w:r>
          </w:p>
        </w:tc>
        <w:tc>
          <w:tcPr>
            <w:tcW w:w="1840" w:type="dxa"/>
            <w:vAlign w:val="bottom"/>
            <w:gridSpan w:val="2"/>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6,250</w:t>
            </w:r>
          </w:p>
        </w:tc>
        <w:tc>
          <w:tcPr>
            <w:tcW w:w="5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Provision for (recapture of) unfunded loan commitments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20" w:type="dxa"/>
            <w:vAlign w:val="bottom"/>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Reserve for unfunded loan commitments at end of period</w:t>
            </w:r>
          </w:p>
        </w:tc>
        <w:tc>
          <w:tcPr>
            <w:tcW w:w="1840" w:type="dxa"/>
            <w:vAlign w:val="bottom"/>
            <w:gridSpan w:val="2"/>
            <w:shd w:val="clear" w:color="auto" w:fill="CFF0FC"/>
          </w:tcPr>
          <w:p>
            <w:pPr>
              <w:jc w:val="right"/>
              <w:ind w:right="162"/>
              <w:spacing w:after="0" w:line="16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FF0FC"/>
          </w:tcPr>
          <w:p>
            <w:pPr>
              <w:jc w:val="right"/>
              <w:ind w:right="320"/>
              <w:spacing w:after="0" w:line="160" w:lineRule="exact"/>
              <w:rPr>
                <w:sz w:val="20"/>
                <w:szCs w:val="20"/>
                <w:color w:val="auto"/>
              </w:rPr>
            </w:pPr>
            <w:r>
              <w:rPr>
                <w:rFonts w:ascii="Times New Roman" w:cs="Times New Roman" w:eastAsia="Times New Roman" w:hAnsi="Times New Roman"/>
                <w:sz w:val="16"/>
                <w:szCs w:val="16"/>
                <w:color w:val="auto"/>
              </w:rPr>
              <w:t>6,750</w:t>
            </w:r>
          </w:p>
        </w:tc>
        <w:tc>
          <w:tcPr>
            <w:tcW w:w="560" w:type="dxa"/>
            <w:vAlign w:val="bottom"/>
            <w:shd w:val="clear" w:color="auto" w:fill="CFF0FC"/>
          </w:tcPr>
          <w:p>
            <w:pPr>
              <w:jc w:val="right"/>
              <w:ind w:right="4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7,000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6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Reserve for unfunded loan commitments to total unfunded loan</w:t>
            </w:r>
          </w:p>
        </w:tc>
        <w:tc>
          <w:tcPr>
            <w:tcW w:w="15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commitments</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0.33%</w:t>
            </w:r>
          </w:p>
        </w:tc>
        <w:tc>
          <w:tcPr>
            <w:tcW w:w="5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620" w:type="dxa"/>
            <w:vAlign w:val="bottom"/>
          </w:tcPr>
          <w:p>
            <w:pPr>
              <w:spacing w:after="0"/>
              <w:rPr>
                <w:sz w:val="14"/>
                <w:szCs w:val="14"/>
                <w:color w:val="auto"/>
              </w:rPr>
            </w:pPr>
          </w:p>
        </w:tc>
        <w:tc>
          <w:tcPr>
            <w:tcW w:w="184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Amount of total loans at end of period </w:t>
            </w:r>
            <w:r>
              <w:rPr>
                <w:rFonts w:ascii="Times New Roman" w:cs="Times New Roman" w:eastAsia="Times New Roman" w:hAnsi="Times New Roman"/>
                <w:sz w:val="20"/>
                <w:szCs w:val="20"/>
                <w:color w:val="auto"/>
                <w:vertAlign w:val="superscript"/>
              </w:rPr>
              <w:t>(1)</w:t>
            </w:r>
          </w:p>
        </w:tc>
        <w:tc>
          <w:tcPr>
            <w:tcW w:w="1840" w:type="dxa"/>
            <w:vAlign w:val="bottom"/>
            <w:gridSpan w:val="2"/>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8,358,501</w:t>
            </w: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8,681,846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Average total loans outstanding </w:t>
            </w:r>
            <w:r>
              <w:rPr>
                <w:rFonts w:ascii="Times New Roman" w:cs="Times New Roman" w:eastAsia="Times New Roman" w:hAnsi="Times New Roman"/>
                <w:sz w:val="21"/>
                <w:szCs w:val="21"/>
                <w:color w:val="auto"/>
                <w:vertAlign w:val="superscript"/>
              </w:rPr>
              <w:t>(1)</w:t>
            </w:r>
          </w:p>
        </w:tc>
        <w:tc>
          <w:tcPr>
            <w:tcW w:w="184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8,410,871</w:t>
            </w:r>
          </w:p>
        </w:tc>
        <w:tc>
          <w:tcPr>
            <w:tcW w:w="320" w:type="dxa"/>
            <w:vAlign w:val="bottom"/>
          </w:tcPr>
          <w:p>
            <w:pPr>
              <w:spacing w:after="0"/>
              <w:rPr>
                <w:sz w:val="24"/>
                <w:szCs w:val="24"/>
                <w:color w:val="auto"/>
              </w:rPr>
            </w:pPr>
          </w:p>
        </w:tc>
        <w:tc>
          <w:tcPr>
            <w:tcW w:w="56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8,731,587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6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gridSpan w:val="2"/>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(charge-offs) recoveries to average total loans</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0.00%</w:t>
            </w:r>
          </w:p>
        </w:tc>
        <w:tc>
          <w:tcPr>
            <w:tcW w:w="5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(charge-offs) recoveries to total loans at end of period</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0.00%</w:t>
            </w:r>
          </w:p>
        </w:tc>
        <w:tc>
          <w:tcPr>
            <w:tcW w:w="560" w:type="dxa"/>
            <w:vAlign w:val="bottom"/>
          </w:tcPr>
          <w:p>
            <w:pPr>
              <w:spacing w:after="0"/>
              <w:rPr>
                <w:sz w:val="15"/>
                <w:szCs w:val="15"/>
                <w:color w:val="auto"/>
              </w:rPr>
            </w:pP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Allowance for credit losses to average total loans</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0.93%</w:t>
            </w:r>
          </w:p>
        </w:tc>
        <w:tc>
          <w:tcPr>
            <w:tcW w:w="5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Allowance for credit losses to total loans at end of period</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0.93%</w:t>
            </w:r>
          </w:p>
        </w:tc>
        <w:tc>
          <w:tcPr>
            <w:tcW w:w="560" w:type="dxa"/>
            <w:vAlign w:val="bottom"/>
          </w:tcPr>
          <w:p>
            <w:pPr>
              <w:spacing w:after="0"/>
              <w:rPr>
                <w:sz w:val="15"/>
                <w:szCs w:val="15"/>
                <w:color w:val="auto"/>
              </w:rPr>
            </w:pP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(charge-offs) recoveries to allowance for credit losses</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-0.15%</w:t>
            </w:r>
          </w:p>
        </w:tc>
        <w:tc>
          <w:tcPr>
            <w:tcW w:w="5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(charge-offs) recoveries to recapture for credit losses</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5.95%</w:t>
            </w:r>
          </w:p>
        </w:tc>
        <w:tc>
          <w:tcPr>
            <w:tcW w:w="5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(1)Net of deferred loan origination fees, costs and discounts (amortized cost).</w:t>
      </w:r>
    </w:p>
    <w:p>
      <w:pPr>
        <w:spacing w:after="0" w:line="185" w:lineRule="exact"/>
        <w:rPr>
          <w:sz w:val="20"/>
          <w:szCs w:val="20"/>
          <w:color w:val="auto"/>
        </w:rPr>
      </w:pPr>
    </w:p>
    <w:p>
      <w:pPr>
        <w:jc w:val="both"/>
        <w:ind w:right="180" w:firstLine="432"/>
        <w:spacing w:after="0" w:line="247" w:lineRule="auto"/>
        <w:rPr>
          <w:sz w:val="20"/>
          <w:szCs w:val="20"/>
          <w:color w:val="auto"/>
        </w:rPr>
      </w:pPr>
      <w:r>
        <w:rPr>
          <w:rFonts w:ascii="Times New Roman" w:cs="Times New Roman" w:eastAsia="Times New Roman" w:hAnsi="Times New Roman"/>
          <w:sz w:val="16"/>
          <w:szCs w:val="16"/>
          <w:color w:val="auto"/>
        </w:rPr>
        <w:t>The Bank’s ACL methodology also produced an allowance of $6.8 million for our off-balance sheet credit exposures as of June 30, 2025, compared with $6.3 million and $7.0 million as of December 31, 2024 and June 30, 2024. There was a $500,000 provision for unfunded loan commitments in the first six months of 2025, compared to a $500,000 recapture for the same period of 2024.</w:t>
      </w:r>
    </w:p>
    <w:p>
      <w:pPr>
        <w:spacing w:after="0" w:line="152" w:lineRule="exact"/>
        <w:rPr>
          <w:sz w:val="20"/>
          <w:szCs w:val="20"/>
          <w:color w:val="auto"/>
        </w:rPr>
      </w:pPr>
    </w:p>
    <w:p>
      <w:pPr>
        <w:jc w:val="both"/>
        <w:ind w:right="200" w:firstLine="432"/>
        <w:spacing w:after="0" w:line="299" w:lineRule="auto"/>
        <w:rPr>
          <w:sz w:val="20"/>
          <w:szCs w:val="20"/>
          <w:color w:val="auto"/>
        </w:rPr>
      </w:pPr>
      <w:r>
        <w:rPr>
          <w:rFonts w:ascii="Times New Roman" w:cs="Times New Roman" w:eastAsia="Times New Roman" w:hAnsi="Times New Roman"/>
          <w:sz w:val="14"/>
          <w:szCs w:val="14"/>
          <w:color w:val="auto"/>
        </w:rPr>
        <w:t>While we believe that the allowance at June 30, 2025 was appropriate to absorb losses from known or inherent risks in the portfolio, no assurance can be given that future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119" w:lineRule="exact"/>
        <w:rPr>
          <w:sz w:val="20"/>
          <w:szCs w:val="20"/>
          <w:color w:val="auto"/>
        </w:rPr>
      </w:pPr>
    </w:p>
    <w:p>
      <w:pPr>
        <w:ind w:right="300" w:firstLine="432"/>
        <w:spacing w:after="0" w:line="246" w:lineRule="auto"/>
        <w:rPr>
          <w:sz w:val="20"/>
          <w:szCs w:val="20"/>
          <w:color w:val="auto"/>
        </w:rPr>
      </w:pPr>
      <w:r>
        <w:rPr>
          <w:rFonts w:ascii="Times New Roman" w:cs="Times New Roman" w:eastAsia="Times New Roman" w:hAnsi="Times New Roman"/>
          <w:sz w:val="16"/>
          <w:szCs w:val="16"/>
          <w:color w:val="auto"/>
        </w:rPr>
        <w:t>Changes in economic and business conditions could have an impact on our market area and on our loan portfolio. We continually monitor these conditions in determining our estimates of needed reserves. However, we cannot predict the extent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63" w:name="page64"/>
    <w:bookmarkEnd w:id="63"/>
    <w:p>
      <w:pPr>
        <w:ind w:right="100"/>
        <w:spacing w:after="0" w:line="247" w:lineRule="auto"/>
        <w:rPr>
          <w:sz w:val="20"/>
          <w:szCs w:val="20"/>
          <w:color w:val="auto"/>
        </w:rPr>
      </w:pPr>
      <w:r>
        <w:rPr>
          <w:rFonts w:ascii="Times New Roman" w:cs="Times New Roman" w:eastAsia="Times New Roman" w:hAnsi="Times New Roman"/>
          <w:sz w:val="16"/>
          <w:szCs w:val="16"/>
          <w:color w:val="auto"/>
        </w:rPr>
        <w:t>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cs="Times New Roman" w:eastAsia="Times New Roman" w:hAnsi="Times New Roman"/>
          <w:sz w:val="16"/>
          <w:szCs w:val="16"/>
          <w:i w:val="1"/>
          <w:iCs w:val="1"/>
          <w:color w:val="auto"/>
        </w:rPr>
        <w:t>Risk Management – Credit Risk Management</w:t>
      </w:r>
      <w:r>
        <w:rPr>
          <w:rFonts w:ascii="Times New Roman" w:cs="Times New Roman" w:eastAsia="Times New Roman" w:hAnsi="Times New Roman"/>
          <w:sz w:val="16"/>
          <w:szCs w:val="16"/>
          <w:color w:val="auto"/>
        </w:rPr>
        <w:t>” contained in our Annual Report on Form 10-K for the year ended December 31,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Deposits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primary source of funds to support earning assets (loans and investments) is the generation of deposits.</w:t>
      </w:r>
    </w:p>
    <w:p>
      <w:pPr>
        <w:spacing w:after="0" w:line="176"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6"/>
          <w:szCs w:val="16"/>
          <w:color w:val="auto"/>
        </w:rPr>
        <w:t>Total deposits were $ 11.98 billion at June 30, 2025. This represented an increase of $36.4 million, or 0.30%, when compared with total deposits of $11.95 billion at December 31, 2024. The composition of deposits is summarized as of the dates presented in the table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0" w:type="dxa"/>
            <w:vAlign w:val="bottom"/>
            <w:gridSpan w:val="4"/>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ind w:left="240"/>
              <w:spacing w:after="0" w:line="180" w:lineRule="exact"/>
              <w:rPr>
                <w:sz w:val="20"/>
                <w:szCs w:val="20"/>
                <w:color w:val="auto"/>
              </w:rPr>
            </w:pPr>
            <w:r>
              <w:rPr>
                <w:rFonts w:ascii="Times New Roman" w:cs="Times New Roman" w:eastAsia="Times New Roman" w:hAnsi="Times New Roman"/>
                <w:sz w:val="16"/>
                <w:szCs w:val="16"/>
                <w:b w:val="1"/>
                <w:bCs w:val="1"/>
                <w:color w:val="auto"/>
              </w:rPr>
              <w:t>Balance</w:t>
            </w:r>
          </w:p>
        </w:tc>
        <w:tc>
          <w:tcPr>
            <w:tcW w:w="1320" w:type="dxa"/>
            <w:vAlign w:val="bottom"/>
            <w:gridSpan w:val="2"/>
          </w:tcPr>
          <w:p>
            <w:pPr>
              <w:jc w:val="right"/>
              <w:ind w:right="680"/>
              <w:spacing w:after="0" w:line="180" w:lineRule="exact"/>
              <w:rPr>
                <w:sz w:val="20"/>
                <w:szCs w:val="20"/>
                <w:color w:val="auto"/>
              </w:rPr>
            </w:pPr>
            <w:r>
              <w:rPr>
                <w:rFonts w:ascii="Times New Roman" w:cs="Times New Roman" w:eastAsia="Times New Roman" w:hAnsi="Times New Roman"/>
                <w:sz w:val="16"/>
                <w:szCs w:val="16"/>
                <w:b w:val="1"/>
                <w:bCs w:val="1"/>
                <w:color w:val="auto"/>
              </w:rPr>
              <w:t>Percent</w:t>
            </w:r>
          </w:p>
        </w:tc>
        <w:tc>
          <w:tcPr>
            <w:tcW w:w="460" w:type="dxa"/>
            <w:vAlign w:val="bottom"/>
          </w:tcPr>
          <w:p>
            <w:pPr>
              <w:spacing w:after="0"/>
              <w:rPr>
                <w:sz w:val="15"/>
                <w:szCs w:val="15"/>
                <w:color w:val="auto"/>
              </w:rPr>
            </w:pPr>
          </w:p>
        </w:tc>
        <w:tc>
          <w:tcPr>
            <w:tcW w:w="1300" w:type="dxa"/>
            <w:vAlign w:val="bottom"/>
            <w:gridSpan w:val="2"/>
          </w:tcPr>
          <w:p>
            <w:pPr>
              <w:jc w:val="right"/>
              <w:ind w:right="7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300" w:type="dxa"/>
            <w:vAlign w:val="bottom"/>
            <w:gridSpan w:val="2"/>
          </w:tcPr>
          <w:p>
            <w:pPr>
              <w:jc w:val="right"/>
              <w:ind w:right="460"/>
              <w:spacing w:after="0" w:line="180" w:lineRule="exact"/>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Noninterest-bearing deposits</w:t>
            </w: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7,247,128</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60.47%</w:t>
            </w:r>
          </w:p>
        </w:tc>
        <w:tc>
          <w:tcPr>
            <w:tcW w:w="46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7,037,096</w:t>
            </w:r>
          </w:p>
        </w:tc>
        <w:tc>
          <w:tcPr>
            <w:tcW w:w="2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Interest-bearing deposits</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checking</w:t>
            </w:r>
          </w:p>
        </w:tc>
        <w:tc>
          <w:tcPr>
            <w:tcW w:w="3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483,793</w:t>
            </w: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4.04%</w:t>
            </w:r>
          </w:p>
        </w:tc>
        <w:tc>
          <w:tcPr>
            <w:tcW w:w="4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551,305</w:t>
            </w:r>
          </w:p>
        </w:tc>
        <w:tc>
          <w:tcPr>
            <w:tcW w:w="13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Money market</w:t>
            </w:r>
          </w:p>
        </w:tc>
        <w:tc>
          <w:tcPr>
            <w:tcW w:w="34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3,255,908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27.17%</w:t>
            </w:r>
          </w:p>
        </w:tc>
        <w:tc>
          <w:tcPr>
            <w:tcW w:w="46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3,363,804</w:t>
            </w:r>
          </w:p>
        </w:tc>
        <w:tc>
          <w:tcPr>
            <w:tcW w:w="280" w:type="dxa"/>
            <w:vAlign w:val="bottom"/>
          </w:tcPr>
          <w:p>
            <w:pPr>
              <w:spacing w:after="0"/>
              <w:rPr>
                <w:sz w:val="15"/>
                <w:szCs w:val="15"/>
                <w:color w:val="auto"/>
              </w:rPr>
            </w:pPr>
          </w:p>
        </w:tc>
        <w:tc>
          <w:tcPr>
            <w:tcW w:w="1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28.15%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Savings</w:t>
            </w:r>
          </w:p>
        </w:tc>
        <w:tc>
          <w:tcPr>
            <w:tcW w:w="3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414,004</w:t>
            </w: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3.45%</w:t>
            </w:r>
          </w:p>
        </w:tc>
        <w:tc>
          <w:tcPr>
            <w:tcW w:w="4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422,583</w:t>
            </w:r>
          </w:p>
        </w:tc>
        <w:tc>
          <w:tcPr>
            <w:tcW w:w="13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Time deposits</w:t>
            </w:r>
          </w:p>
        </w:tc>
        <w:tc>
          <w:tcPr>
            <w:tcW w:w="340" w:type="dxa"/>
            <w:vAlign w:val="bottom"/>
          </w:tcPr>
          <w:p>
            <w:pPr>
              <w:spacing w:after="0"/>
              <w:rPr>
                <w:sz w:val="15"/>
                <w:szCs w:val="15"/>
                <w:color w:val="auto"/>
              </w:rPr>
            </w:pPr>
          </w:p>
        </w:tc>
        <w:tc>
          <w:tcPr>
            <w:tcW w:w="16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583,990</w:t>
            </w:r>
          </w:p>
        </w:tc>
        <w:tc>
          <w:tcPr>
            <w:tcW w:w="180" w:type="dxa"/>
            <w:vAlign w:val="bottom"/>
          </w:tcPr>
          <w:p>
            <w:pPr>
              <w:spacing w:after="0"/>
              <w:rPr>
                <w:sz w:val="15"/>
                <w:szCs w:val="15"/>
                <w:color w:val="auto"/>
              </w:rPr>
            </w:pPr>
          </w:p>
        </w:tc>
        <w:tc>
          <w:tcPr>
            <w:tcW w:w="13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4.87%</w:t>
            </w:r>
          </w:p>
        </w:tc>
        <w:tc>
          <w:tcPr>
            <w:tcW w:w="460" w:type="dxa"/>
            <w:vAlign w:val="bottom"/>
          </w:tcPr>
          <w:p>
            <w:pPr>
              <w:spacing w:after="0"/>
              <w:rPr>
                <w:sz w:val="15"/>
                <w:szCs w:val="15"/>
                <w:color w:val="auto"/>
              </w:rPr>
            </w:pPr>
          </w:p>
        </w:tc>
        <w:tc>
          <w:tcPr>
            <w:tcW w:w="130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573,593</w:t>
            </w:r>
          </w:p>
        </w:tc>
        <w:tc>
          <w:tcPr>
            <w:tcW w:w="1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0" w:type="dxa"/>
            <w:vAlign w:val="bottom"/>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color w:val="auto"/>
              </w:rPr>
              <w:t>Total Deposits</w:t>
            </w:r>
          </w:p>
        </w:tc>
        <w:tc>
          <w:tcPr>
            <w:tcW w:w="340" w:type="dxa"/>
            <w:vAlign w:val="bottom"/>
            <w:shd w:val="clear" w:color="auto" w:fill="CFF0FC"/>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11,984,823</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460" w:type="dxa"/>
            <w:vAlign w:val="bottom"/>
            <w:shd w:val="clear" w:color="auto" w:fill="CFF0FC"/>
          </w:tcPr>
          <w:p>
            <w:pPr>
              <w:jc w:val="right"/>
              <w:ind w:right="3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11,948,381</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The amount of noninterest-bearing deposits in relation to total deposits is an integral element in our strategy of seeking to achieve a low cost of funds.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Noninterest-bearing deposits totaled $7.25 billion for the second quarter of 2025, an increase of $210.0 million, or 2.98%, from $7.04 billion at December 31, 2024.</w:t>
      </w:r>
    </w:p>
    <w:p>
      <w:pPr>
        <w:spacing w:after="0"/>
        <w:rPr>
          <w:sz w:val="20"/>
          <w:szCs w:val="20"/>
          <w:color w:val="auto"/>
        </w:rPr>
      </w:pPr>
      <w:r>
        <w:rPr>
          <w:rFonts w:ascii="Times New Roman" w:cs="Times New Roman" w:eastAsia="Times New Roman" w:hAnsi="Times New Roman"/>
          <w:sz w:val="16"/>
          <w:szCs w:val="16"/>
          <w:color w:val="auto"/>
        </w:rPr>
        <w:t>Noninterest-bearing deposits were 60.47% of total deposits at the end of the second quarter of 2025, compared to 58.90% at December 31, 2024.</w:t>
      </w:r>
    </w:p>
    <w:p>
      <w:pPr>
        <w:spacing w:after="0" w:line="158" w:lineRule="exact"/>
        <w:rPr>
          <w:sz w:val="20"/>
          <w:szCs w:val="20"/>
          <w:color w:val="auto"/>
        </w:rPr>
      </w:pPr>
    </w:p>
    <w:p>
      <w:pPr>
        <w:ind w:right="300" w:firstLine="432"/>
        <w:spacing w:after="0" w:line="259" w:lineRule="auto"/>
        <w:rPr>
          <w:sz w:val="20"/>
          <w:szCs w:val="20"/>
          <w:color w:val="auto"/>
        </w:rPr>
      </w:pPr>
      <w:r>
        <w:rPr>
          <w:rFonts w:ascii="Times New Roman" w:cs="Times New Roman" w:eastAsia="Times New Roman" w:hAnsi="Times New Roman"/>
          <w:sz w:val="16"/>
          <w:szCs w:val="16"/>
          <w:color w:val="auto"/>
        </w:rPr>
        <w:t>Interest-bearing non-maturity deposits, which include savings, interest- bearing demand, and money market accounts, totaled, totaled $4.74 billion at June 30, 2025, representing a decrease of $173.6 million, or 3.53%, from $4.91 billion at December 31, 2024.</w:t>
      </w:r>
    </w:p>
    <w:p>
      <w:pPr>
        <w:spacing w:after="0" w:line="143" w:lineRule="exact"/>
        <w:rPr>
          <w:sz w:val="20"/>
          <w:szCs w:val="20"/>
          <w:color w:val="auto"/>
        </w:rPr>
      </w:pPr>
    </w:p>
    <w:p>
      <w:pPr>
        <w:ind w:right="640" w:firstLine="432"/>
        <w:spacing w:after="0" w:line="259" w:lineRule="auto"/>
        <w:rPr>
          <w:sz w:val="20"/>
          <w:szCs w:val="20"/>
          <w:color w:val="auto"/>
        </w:rPr>
      </w:pPr>
      <w:r>
        <w:rPr>
          <w:rFonts w:ascii="Times New Roman" w:cs="Times New Roman" w:eastAsia="Times New Roman" w:hAnsi="Times New Roman"/>
          <w:sz w:val="16"/>
          <w:szCs w:val="16"/>
          <w:color w:val="auto"/>
        </w:rPr>
        <w:t>Time deposits totaled $584.0 million at June 30, 2025, representing an increase of $10.4 million, or 1.81%, from total time deposits of $573.6 million at December 31, 2024.</w:t>
      </w:r>
    </w:p>
    <w:p>
      <w:pPr>
        <w:spacing w:after="0" w:line="143" w:lineRule="exact"/>
        <w:rPr>
          <w:sz w:val="20"/>
          <w:szCs w:val="20"/>
          <w:color w:val="auto"/>
        </w:rPr>
      </w:pPr>
    </w:p>
    <w:p>
      <w:pPr>
        <w:ind w:firstLine="432"/>
        <w:spacing w:after="0" w:line="241" w:lineRule="auto"/>
        <w:rPr>
          <w:sz w:val="20"/>
          <w:szCs w:val="20"/>
          <w:color w:val="auto"/>
        </w:rPr>
      </w:pPr>
      <w:r>
        <w:rPr>
          <w:rFonts w:ascii="Times New Roman" w:cs="Times New Roman" w:eastAsia="Times New Roman" w:hAnsi="Times New Roman"/>
          <w:sz w:val="16"/>
          <w:szCs w:val="16"/>
          <w:color w:val="auto"/>
        </w:rPr>
        <w:t>During the first half of 2024, $300 million of brokered time deposits were issued and cash flow hedging transactions were simultaneously executed in which $300 million of notional pay-fixed interest rate swaps were consummated with maturities of three years, wherein the Company pays a weighted average fixed rate of approximately 4.2% and receives daily SOFR. We entered into these interest rate derivative contracts that are designated as qualifying cash flow hedges to hedge the exposure to variability in expected future cash flows attributable to changes in a contractually specified interest rate. The fair value of these instruments totaled $2.86 million and were reflected as a liability at June 30, 2025.</w:t>
      </w:r>
    </w:p>
    <w:p>
      <w:pPr>
        <w:spacing w:after="0" w:line="157" w:lineRule="exact"/>
        <w:rPr>
          <w:sz w:val="20"/>
          <w:szCs w:val="20"/>
          <w:color w:val="auto"/>
        </w:rPr>
      </w:pPr>
    </w:p>
    <w:p>
      <w:pPr>
        <w:ind w:right="280" w:firstLine="432"/>
        <w:spacing w:after="0" w:line="241" w:lineRule="auto"/>
        <w:rPr>
          <w:sz w:val="20"/>
          <w:szCs w:val="20"/>
          <w:color w:val="auto"/>
        </w:rPr>
      </w:pPr>
      <w:r>
        <w:rPr>
          <w:rFonts w:ascii="Times New Roman" w:cs="Times New Roman" w:eastAsia="Times New Roman" w:hAnsi="Times New Roman"/>
          <w:sz w:val="16"/>
          <w:szCs w:val="16"/>
          <w:color w:val="auto"/>
        </w:rPr>
        <w:t>Our deposits are primarily relationship based and include deposits and customer repurchase agreements ("repos"). For the second quarter of 2025, 79% of our deposits consisted of business deposits and 21% consist of consumer deposits, primarily the owners and employees of our business customers. One of the largest percentage of our deposits, 39%, are analyzed business accounts, which represent customer operating accounts that generally utilize a wide array of treasury management products. As most of our business customers need to operate with more than $250,000 in their operating account, we have a significant percentage of deposits that are uninsured. As of June 30, 2025, 45% of our total deposits and customer repos were uncollateralized and uninsured.</w:t>
      </w:r>
    </w:p>
    <w:p>
      <w:pPr>
        <w:spacing w:after="0" w:line="157" w:lineRule="exact"/>
        <w:rPr>
          <w:sz w:val="20"/>
          <w:szCs w:val="20"/>
          <w:color w:val="auto"/>
        </w:rPr>
      </w:pPr>
    </w:p>
    <w:p>
      <w:pPr>
        <w:ind w:right="40" w:firstLine="432"/>
        <w:spacing w:after="0" w:line="275" w:lineRule="auto"/>
        <w:rPr>
          <w:sz w:val="20"/>
          <w:szCs w:val="20"/>
          <w:color w:val="auto"/>
        </w:rPr>
      </w:pPr>
      <w:r>
        <w:rPr>
          <w:rFonts w:ascii="Times New Roman" w:cs="Times New Roman" w:eastAsia="Times New Roman" w:hAnsi="Times New Roman"/>
          <w:sz w:val="14"/>
          <w:szCs w:val="14"/>
          <w:color w:val="auto"/>
        </w:rPr>
        <w:t>Our customer deposit relationships represent a diverse set of industries. Overall, there are 14 different industry classifications that represent 2% or more of our deposits as of June 30, 2025. The industry classification with the largest concentrations is finance &amp; insurance, which represent 14% of our deposits. Manufacturing, property management, and other real estate rental &amp; leasing, each represents 6% of our deposits. Our depositors have typically banked with us for many years. As of June 30, 2025, 46% of our deposit relationships have banked with us more than 10 years and 75% of our deposit relationships have been with us for three or more years.</w:t>
      </w: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64" w:name="page65"/>
    <w:bookmarkEnd w:id="64"/>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Average total deposits and customer repos for the second quarter of 2025 increased by approximately $15 million when compared to the second quarter of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average noninterest-bearing deposits continued to be greater than 59% of our average total deposits for the second quarter of 2025.</w:t>
      </w:r>
    </w:p>
    <w:p>
      <w:pPr>
        <w:spacing w:after="0" w:line="158" w:lineRule="exact"/>
        <w:rPr>
          <w:sz w:val="20"/>
          <w:szCs w:val="20"/>
          <w:color w:val="auto"/>
        </w:rPr>
      </w:pPr>
    </w:p>
    <w:p>
      <w:pPr>
        <w:ind w:firstLine="432"/>
        <w:spacing w:after="0" w:line="243" w:lineRule="auto"/>
        <w:rPr>
          <w:sz w:val="20"/>
          <w:szCs w:val="20"/>
          <w:color w:val="auto"/>
        </w:rPr>
      </w:pPr>
      <w:r>
        <w:rPr>
          <w:rFonts w:ascii="Times New Roman" w:cs="Times New Roman" w:eastAsia="Times New Roman" w:hAnsi="Times New Roman"/>
          <w:sz w:val="16"/>
          <w:szCs w:val="16"/>
          <w:color w:val="auto"/>
        </w:rPr>
        <w:t>Our cost of deposits was 84 basis points on average for the second quarter of 2025, which compares to 86 basis points for the first quarter of 2025 and 88 basis points for the second quarter of 2024. During the Federal Reserve's interest rates tightening cycle from the first quarter of 2022 through the third quarter of 2024, our cost of deposits has increased by 96 basis points, representing a deposit beta of 18%, compared to the 525 basis point increase in the Fed Funds rate during the rising rate period.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Borrowings</w:t>
      </w:r>
    </w:p>
    <w:p>
      <w:pPr>
        <w:spacing w:after="0" w:line="180" w:lineRule="exact"/>
        <w:rPr>
          <w:sz w:val="20"/>
          <w:szCs w:val="20"/>
          <w:color w:val="auto"/>
        </w:rPr>
      </w:pPr>
    </w:p>
    <w:p>
      <w:pPr>
        <w:ind w:right="280" w:firstLine="432"/>
        <w:spacing w:after="0" w:line="243" w:lineRule="auto"/>
        <w:rPr>
          <w:sz w:val="20"/>
          <w:szCs w:val="20"/>
          <w:color w:val="auto"/>
        </w:rPr>
      </w:pPr>
      <w:r>
        <w:rPr>
          <w:rFonts w:ascii="Times New Roman" w:cs="Times New Roman" w:eastAsia="Times New Roman" w:hAnsi="Times New Roman"/>
          <w:sz w:val="16"/>
          <w:szCs w:val="16"/>
          <w:color w:val="auto"/>
        </w:rPr>
        <w:t xml:space="preserve">At June 30, 2025, our borrowings were $904.2 million consisted of $404.2 million of repurchase agreements and $500.0 million of FHLB advances, at an average cost of approximately 4.55%. At December 31, 2024, our borrowings were $ 761.9 million including $261.9 million of repurchase agreements and $500.0 million of FHLB advances, at an average cost of approximately 4.55%. Refer to Note 6 - </w:t>
      </w:r>
      <w:r>
        <w:rPr>
          <w:rFonts w:ascii="Times New Roman" w:cs="Times New Roman" w:eastAsia="Times New Roman" w:hAnsi="Times New Roman"/>
          <w:sz w:val="16"/>
          <w:szCs w:val="16"/>
          <w:i w:val="1"/>
          <w:iCs w:val="1"/>
          <w:color w:val="auto"/>
        </w:rPr>
        <w:t>Borrowings</w:t>
      </w:r>
      <w:r>
        <w:rPr>
          <w:rFonts w:ascii="Times New Roman" w:cs="Times New Roman" w:eastAsia="Times New Roman" w:hAnsi="Times New Roman"/>
          <w:sz w:val="16"/>
          <w:szCs w:val="16"/>
          <w:color w:val="auto"/>
        </w:rPr>
        <w:t xml:space="preserve"> of the notes to the consolidated financial statements for a more detailed discussion.</w:t>
      </w:r>
    </w:p>
    <w:p>
      <w:pPr>
        <w:spacing w:after="0" w:line="155" w:lineRule="exact"/>
        <w:rPr>
          <w:sz w:val="20"/>
          <w:szCs w:val="20"/>
          <w:color w:val="auto"/>
        </w:rPr>
      </w:pPr>
    </w:p>
    <w:p>
      <w:pPr>
        <w:ind w:right="60" w:firstLine="432"/>
        <w:spacing w:after="0" w:line="284" w:lineRule="auto"/>
        <w:rPr>
          <w:sz w:val="20"/>
          <w:szCs w:val="20"/>
          <w:color w:val="auto"/>
        </w:rPr>
      </w:pPr>
      <w:r>
        <w:rPr>
          <w:rFonts w:ascii="Times New Roman" w:cs="Times New Roman" w:eastAsia="Times New Roman" w:hAnsi="Times New Roman"/>
          <w:sz w:val="14"/>
          <w:szCs w:val="14"/>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these funds by the Bank for the period concerned. These repurchase agreements are signed with customers who want to invest their excess deposits, above a pre-determined balance in a demand deposit account, in order to earn interest. As of June 30, 2025 and December 31, 2024, total funds borrowed under these agreements were $ 404.2 million and $261.9 million, respectively, with a weighted average interest rate of approximately 1.66% for the second quarter of 2025, compared to 0.47% for the second quarter of 2024.</w:t>
      </w:r>
    </w:p>
    <w:p>
      <w:pPr>
        <w:spacing w:after="0" w:line="128" w:lineRule="exact"/>
        <w:rPr>
          <w:sz w:val="20"/>
          <w:szCs w:val="20"/>
          <w:color w:val="auto"/>
        </w:rPr>
      </w:pPr>
    </w:p>
    <w:p>
      <w:pPr>
        <w:ind w:right="60" w:firstLine="432"/>
        <w:spacing w:after="0" w:line="331" w:lineRule="auto"/>
        <w:rPr>
          <w:sz w:val="20"/>
          <w:szCs w:val="20"/>
          <w:color w:val="auto"/>
        </w:rPr>
      </w:pPr>
      <w:r>
        <w:rPr>
          <w:rFonts w:ascii="Times New Roman" w:cs="Times New Roman" w:eastAsia="Times New Roman" w:hAnsi="Times New Roman"/>
          <w:sz w:val="14"/>
          <w:szCs w:val="14"/>
          <w:color w:val="auto"/>
        </w:rPr>
        <w:t>At June 30, 2025, loans with a carrying value of $6.31 billion were pledged to secure the borrowings and available lines of credit from the FHLB and the Federal Reserve Bank. At June 30, 2025, the Bank had unused borrowing capacity at the FHLB of $4.06 billion and unused borrowing capacity at the FRB of $1.14 billion.</w:t>
      </w:r>
    </w:p>
    <w:p>
      <w:pPr>
        <w:spacing w:after="0" w:line="96" w:lineRule="exact"/>
        <w:rPr>
          <w:sz w:val="20"/>
          <w:szCs w:val="20"/>
          <w:color w:val="auto"/>
        </w:rPr>
      </w:pPr>
    </w:p>
    <w:p>
      <w:pPr>
        <w:ind w:right="140" w:firstLine="432"/>
        <w:spacing w:after="0" w:line="247" w:lineRule="auto"/>
        <w:rPr>
          <w:sz w:val="20"/>
          <w:szCs w:val="20"/>
          <w:color w:val="auto"/>
        </w:rPr>
      </w:pPr>
      <w:r>
        <w:rPr>
          <w:rFonts w:ascii="Times New Roman" w:cs="Times New Roman" w:eastAsia="Times New Roman" w:hAnsi="Times New Roman"/>
          <w:sz w:val="16"/>
          <w:szCs w:val="16"/>
          <w:color w:val="auto"/>
        </w:rPr>
        <w:t>At June 30, 2025, investment securities with total carrying values of $3.21 billion were pledged, of which, $2.70 billion were pledged to secure various types of deposits, including $ 1.09 billion for public funds, $510.7 million for repurchase agreements, and $57 million for other purposes as required or permitted by law. In addition, investment securities with carrying values of $1.47 billion were pledged for unused borrowing capacity.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i w:val="1"/>
          <w:iCs w:val="1"/>
          <w:color w:val="auto"/>
        </w:rPr>
        <w:t>Aggregate Contractual Obligations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summarizes the aggregate contractual obligations as of June 30,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Maturity by Period</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Four Years</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Less Than One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Years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2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Over Five Years</w:t>
            </w:r>
          </w:p>
        </w:tc>
        <w:tc>
          <w:tcPr>
            <w:tcW w:w="0" w:type="dxa"/>
            <w:vAlign w:val="bottom"/>
          </w:tcPr>
          <w:p>
            <w:pPr>
              <w:spacing w:after="0"/>
              <w:rPr>
                <w:sz w:val="1"/>
                <w:szCs w:val="1"/>
                <w:color w:val="auto"/>
              </w:rPr>
            </w:pPr>
          </w:p>
        </w:tc>
      </w:tr>
      <w:tr>
        <w:trPr>
          <w:trHeight w:val="182"/>
        </w:trPr>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Deposits (1)</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11,984,823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11,971,608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11,639</w:t>
            </w:r>
          </w:p>
        </w:tc>
        <w:tc>
          <w:tcPr>
            <w:tcW w:w="18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Customer repurchase agreements (1)</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404,154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404,154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borrowings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22,873</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65,200</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9,672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15,658</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8,852</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31,018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1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Equity investments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92,727</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40" w:type="dxa"/>
            <w:vAlign w:val="bottom"/>
            <w:shd w:val="clear" w:color="auto" w:fill="CFF0FC"/>
          </w:tcPr>
          <w:p>
            <w:pPr>
              <w:ind w:left="160"/>
              <w:spacing w:after="0" w:line="148"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13,069,777</w:t>
            </w:r>
          </w:p>
        </w:tc>
        <w:tc>
          <w:tcPr>
            <w:tcW w:w="3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12,752,242</w:t>
            </w:r>
          </w:p>
        </w:tc>
        <w:tc>
          <w:tcPr>
            <w:tcW w:w="36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250,863</w:t>
            </w:r>
          </w:p>
        </w:tc>
        <w:tc>
          <w:tcPr>
            <w:tcW w:w="18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13,568</w:t>
            </w:r>
          </w:p>
        </w:tc>
        <w:tc>
          <w:tcPr>
            <w:tcW w:w="62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53,104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(1)Amounts exclude accrued interest.</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Deposits represent noninterest-bearing, money market, savings, NOW, certificates of deposits, brokered and all other deposits held by the Bank.</w:t>
      </w:r>
    </w:p>
    <w:p>
      <w:pPr>
        <w:spacing w:after="0" w:line="176" w:lineRule="exact"/>
        <w:rPr>
          <w:sz w:val="20"/>
          <w:szCs w:val="20"/>
          <w:color w:val="auto"/>
        </w:rPr>
      </w:pPr>
    </w:p>
    <w:p>
      <w:pPr>
        <w:ind w:right="340" w:firstLine="432"/>
        <w:spacing w:after="0" w:line="259" w:lineRule="auto"/>
        <w:rPr>
          <w:sz w:val="20"/>
          <w:szCs w:val="20"/>
          <w:color w:val="auto"/>
        </w:rPr>
      </w:pPr>
      <w:r>
        <w:rPr>
          <w:rFonts w:ascii="Times New Roman" w:cs="Times New Roman" w:eastAsia="Times New Roman" w:hAnsi="Times New Roman"/>
          <w:sz w:val="16"/>
          <w:szCs w:val="16"/>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Other borrowings represent amounts due for FHLB advances based on their contractual maturity dates.</w:t>
      </w:r>
    </w:p>
    <w:p>
      <w:pPr>
        <w:spacing w:after="0" w:line="176"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6"/>
          <w:szCs w:val="16"/>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41"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6"/>
          <w:szCs w:val="16"/>
          <w:color w:val="auto"/>
        </w:rPr>
        <w:t xml:space="preserve">Operating leases represent the total minimum lease payments due under non-cancelable operating leases. Refer to Note 12 –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of the notes to the Company’s unaudited condensed consolidated financial statements for a more detailed discussion about leases.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Equity investments represent commitments to contribute capital to LIHTC and other CRA related investment partnerships.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66" w:name="page67"/>
    <w:bookmarkEnd w:id="66"/>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summarizes the off-balance sheet items at June 30,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Maturity by Period</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Four Years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Less Than One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Years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2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After Five Years</w:t>
            </w:r>
          </w:p>
        </w:tc>
      </w:tr>
      <w:tr>
        <w:trPr>
          <w:trHeight w:val="182"/>
        </w:trPr>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Commitment to extend credit: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8"/>
        </w:trPr>
        <w:tc>
          <w:tcPr>
            <w:tcW w:w="4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392,116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78,015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185,640</w:t>
            </w:r>
          </w:p>
        </w:tc>
        <w:tc>
          <w:tcPr>
            <w:tcW w:w="18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100,741</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27,720</w:t>
            </w:r>
          </w:p>
        </w:tc>
        <w:tc>
          <w:tcPr>
            <w:tcW w:w="80" w:type="dxa"/>
            <w:vAlign w:val="bottom"/>
          </w:tcPr>
          <w:p>
            <w:pPr>
              <w:spacing w:after="0"/>
              <w:rPr>
                <w:sz w:val="14"/>
                <w:szCs w:val="14"/>
                <w:color w:val="auto"/>
              </w:rPr>
            </w:pPr>
          </w:p>
        </w:tc>
      </w:tr>
      <w:tr>
        <w:trPr>
          <w:trHeight w:val="168"/>
        </w:trPr>
        <w:tc>
          <w:tcPr>
            <w:tcW w:w="4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Construction</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70,322</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36,612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23,710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FF0FC"/>
          </w:tcPr>
          <w:p>
            <w:pPr>
              <w:spacing w:after="0"/>
              <w:rPr>
                <w:sz w:val="14"/>
                <w:szCs w:val="14"/>
                <w:color w:val="auto"/>
              </w:rPr>
            </w:pPr>
          </w:p>
        </w:tc>
      </w:tr>
      <w:tr>
        <w:trPr>
          <w:trHeight w:val="168"/>
        </w:trPr>
        <w:tc>
          <w:tcPr>
            <w:tcW w:w="4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1,038,989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852,693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154,166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24,411</w:t>
            </w:r>
          </w:p>
        </w:tc>
        <w:tc>
          <w:tcPr>
            <w:tcW w:w="80" w:type="dxa"/>
            <w:vAlign w:val="bottom"/>
          </w:tcPr>
          <w:p>
            <w:pPr>
              <w:spacing w:after="0"/>
              <w:rPr>
                <w:sz w:val="14"/>
                <w:szCs w:val="14"/>
                <w:color w:val="auto"/>
              </w:rPr>
            </w:pPr>
          </w:p>
        </w:tc>
      </w:tr>
      <w:tr>
        <w:trPr>
          <w:trHeight w:val="168"/>
        </w:trPr>
        <w:tc>
          <w:tcPr>
            <w:tcW w:w="4140" w:type="dxa"/>
            <w:vAlign w:val="bottom"/>
            <w:shd w:val="clear" w:color="auto" w:fill="CFF0FC"/>
          </w:tcPr>
          <w:p>
            <w:pPr>
              <w:ind w:left="40"/>
              <w:spacing w:after="0" w:line="168" w:lineRule="exact"/>
              <w:rPr>
                <w:sz w:val="20"/>
                <w:szCs w:val="20"/>
                <w:color w:val="auto"/>
              </w:rPr>
            </w:pPr>
            <w:r>
              <w:rPr>
                <w:rFonts w:ascii="Times New Roman" w:cs="Times New Roman" w:eastAsia="Times New Roman" w:hAnsi="Times New Roman"/>
                <w:sz w:val="14"/>
                <w:szCs w:val="14"/>
                <w:color w:val="auto"/>
              </w:rPr>
              <w:t xml:space="preserve">Dairy &amp; livestock and agribusiness </w:t>
            </w:r>
            <w:r>
              <w:rPr>
                <w:rFonts w:ascii="Times New Roman" w:cs="Times New Roman" w:eastAsia="Times New Roman" w:hAnsi="Times New Roman"/>
                <w:sz w:val="19"/>
                <w:szCs w:val="19"/>
                <w:color w:val="auto"/>
                <w:vertAlign w:val="superscript"/>
              </w:rPr>
              <w:t>(1)</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317,260</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238,798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78,462</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SFR Mortgage</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80" w:type="dxa"/>
            <w:vAlign w:val="bottom"/>
          </w:tcPr>
          <w:p>
            <w:pPr>
              <w:spacing w:after="0"/>
              <w:rPr>
                <w:sz w:val="16"/>
                <w:szCs w:val="16"/>
                <w:color w:val="auto"/>
              </w:rPr>
            </w:pPr>
          </w:p>
        </w:tc>
      </w:tr>
      <w:tr>
        <w:trPr>
          <w:trHeight w:val="168"/>
        </w:trPr>
        <w:tc>
          <w:tcPr>
            <w:tcW w:w="4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130,150</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13,900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18,609</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95,847</w:t>
            </w:r>
          </w:p>
        </w:tc>
        <w:tc>
          <w:tcPr>
            <w:tcW w:w="80" w:type="dxa"/>
            <w:vAlign w:val="bottom"/>
            <w:shd w:val="clear" w:color="auto" w:fill="CFF0FC"/>
          </w:tcPr>
          <w:p>
            <w:pPr>
              <w:spacing w:after="0"/>
              <w:rPr>
                <w:sz w:val="14"/>
                <w:szCs w:val="14"/>
                <w:color w:val="auto"/>
              </w:rPr>
            </w:pPr>
          </w:p>
        </w:tc>
      </w:tr>
      <w:tr>
        <w:trPr>
          <w:trHeight w:val="168"/>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commitment to extend credit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1,949,666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1,220,018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460,587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110,254</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158,807</w:t>
            </w:r>
          </w:p>
        </w:tc>
        <w:tc>
          <w:tcPr>
            <w:tcW w:w="80" w:type="dxa"/>
            <w:vAlign w:val="bottom"/>
          </w:tcPr>
          <w:p>
            <w:pPr>
              <w:spacing w:after="0"/>
              <w:rPr>
                <w:sz w:val="14"/>
                <w:szCs w:val="14"/>
                <w:color w:val="auto"/>
              </w:rPr>
            </w:pPr>
          </w:p>
        </w:tc>
      </w:tr>
      <w:tr>
        <w:trPr>
          <w:trHeight w:val="168"/>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letters of credit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91,601</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77,815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8,781</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FF0FC"/>
          </w:tcPr>
          <w:p>
            <w:pPr>
              <w:spacing w:after="0"/>
              <w:rPr>
                <w:sz w:val="14"/>
                <w:szCs w:val="14"/>
                <w:color w:val="auto"/>
              </w:rPr>
            </w:pPr>
          </w:p>
        </w:tc>
      </w:tr>
      <w:tr>
        <w:trPr>
          <w:trHeight w:val="168"/>
        </w:trPr>
        <w:tc>
          <w:tcPr>
            <w:tcW w:w="4140" w:type="dxa"/>
            <w:vAlign w:val="bottom"/>
          </w:tcPr>
          <w:p>
            <w:pPr>
              <w:ind w:left="220"/>
              <w:spacing w:after="0" w:line="148"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2,041,267</w:t>
            </w:r>
          </w:p>
        </w:tc>
        <w:tc>
          <w:tcPr>
            <w:tcW w:w="3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1,297,833</w:t>
            </w:r>
          </w:p>
        </w:tc>
        <w:tc>
          <w:tcPr>
            <w:tcW w:w="36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469,368</w:t>
            </w:r>
          </w:p>
        </w:tc>
        <w:tc>
          <w:tcPr>
            <w:tcW w:w="180" w:type="dxa"/>
            <w:vAlign w:val="bottom"/>
          </w:tcPr>
          <w:p>
            <w:pPr>
              <w:spacing w:after="0"/>
              <w:rPr>
                <w:sz w:val="14"/>
                <w:szCs w:val="14"/>
                <w:color w:val="auto"/>
              </w:rPr>
            </w:pPr>
          </w:p>
        </w:tc>
        <w:tc>
          <w:tcPr>
            <w:tcW w:w="20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115,241</w:t>
            </w:r>
          </w:p>
        </w:tc>
        <w:tc>
          <w:tcPr>
            <w:tcW w:w="600" w:type="dxa"/>
            <w:vAlign w:val="bottom"/>
            <w:gridSpan w:val="2"/>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158,825</w:t>
            </w:r>
          </w:p>
        </w:tc>
        <w:tc>
          <w:tcPr>
            <w:tcW w:w="80" w:type="dxa"/>
            <w:vAlign w:val="bottom"/>
          </w:tcPr>
          <w:p>
            <w:pPr>
              <w:spacing w:after="0"/>
              <w:rPr>
                <w:sz w:val="14"/>
                <w:szCs w:val="14"/>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(1)Total commitments to extend credit to agribusiness were $16.3 million at June 30, 2025.</w:t>
      </w:r>
    </w:p>
    <w:p>
      <w:pPr>
        <w:spacing w:after="0" w:line="185" w:lineRule="exact"/>
        <w:rPr>
          <w:sz w:val="20"/>
          <w:szCs w:val="20"/>
          <w:color w:val="auto"/>
        </w:rPr>
      </w:pPr>
    </w:p>
    <w:p>
      <w:pPr>
        <w:ind w:right="60" w:firstLine="432"/>
        <w:spacing w:after="0" w:line="238" w:lineRule="auto"/>
        <w:rPr>
          <w:sz w:val="20"/>
          <w:szCs w:val="20"/>
          <w:color w:val="auto"/>
        </w:rPr>
      </w:pPr>
      <w:r>
        <w:rPr>
          <w:rFonts w:ascii="Times New Roman" w:cs="Times New Roman" w:eastAsia="Times New Roman" w:hAnsi="Times New Roman"/>
          <w:sz w:val="16"/>
          <w:szCs w:val="16"/>
          <w:color w:val="auto"/>
        </w:rPr>
        <w:t>As of June 30, 2025, we had commitments to extend credit of approximately $1.95 billion, and obligations under letters of credit of $91.6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 -balance sheet instruments, which consist of evaluating customers’ creditworthiness individually. As of June 30, 2025 and 2024, the balance in this reserve was $7 million and was included in other liabilities. Year-over-year, the reserve included $500,000 of provision for unfunded loan commitments for the six months ended June 30, 2025, compared to $500,000 in recapture of provision for the same period of 2024.</w:t>
      </w:r>
    </w:p>
    <w:p>
      <w:pPr>
        <w:spacing w:after="0" w:line="161" w:lineRule="exact"/>
        <w:rPr>
          <w:sz w:val="20"/>
          <w:szCs w:val="20"/>
          <w:color w:val="auto"/>
        </w:rPr>
      </w:pPr>
    </w:p>
    <w:p>
      <w:pPr>
        <w:jc w:val="both"/>
        <w:ind w:right="40" w:firstLine="432"/>
        <w:spacing w:after="0" w:line="247" w:lineRule="auto"/>
        <w:rPr>
          <w:sz w:val="20"/>
          <w:szCs w:val="20"/>
          <w:color w:val="auto"/>
        </w:rPr>
      </w:pPr>
      <w:r>
        <w:rPr>
          <w:rFonts w:ascii="Times New Roman" w:cs="Times New Roman" w:eastAsia="Times New Roman" w:hAnsi="Times New Roman"/>
          <w:sz w:val="16"/>
          <w:szCs w:val="16"/>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7" w:name="page68"/>
    <w:bookmarkEnd w:id="67"/>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Resources</w:t>
      </w:r>
    </w:p>
    <w:p>
      <w:pPr>
        <w:spacing w:after="0" w:line="180" w:lineRule="exact"/>
        <w:rPr>
          <w:sz w:val="20"/>
          <w:szCs w:val="20"/>
          <w:color w:val="auto"/>
        </w:rPr>
      </w:pPr>
    </w:p>
    <w:p>
      <w:pPr>
        <w:ind w:right="60" w:firstLine="432"/>
        <w:spacing w:after="0" w:line="247" w:lineRule="auto"/>
        <w:rPr>
          <w:sz w:val="20"/>
          <w:szCs w:val="20"/>
          <w:color w:val="auto"/>
        </w:rPr>
      </w:pPr>
      <w:r>
        <w:rPr>
          <w:rFonts w:ascii="Times New Roman" w:cs="Times New Roman" w:eastAsia="Times New Roman" w:hAnsi="Times New Roman"/>
          <w:sz w:val="16"/>
          <w:szCs w:val="16"/>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52"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6"/>
          <w:szCs w:val="16"/>
          <w:color w:val="auto"/>
        </w:rPr>
        <w:t>Total equity increased $ 54 million to $2.24 billion at June 30, 2025, compared to total equity of $2.19 billion at December 31, 2024. Increases to equity included $101.7 million in net earnings, that were partially offset by $55.6 million in cash dividends and a $43.9 million increase in other comprehensive income. During the second quarter of 2025, we repurchased 1,281,501 shares at an average price of $17.30, totaling $ 22.2 million. Total shares repurchased for the six months ended June 30, 2025 was 2,063,564, at an average price of $ 18.15, totaling $37.5 million. We did not engage in stock repurchases during the first six months of 2024 other than the shares repurchased pursuant to net settlement by employees in satisfaction of income tax withholding obligations incurred through the vesting of Company stock awards. Our tangible book value per share at June 30, 2025 was $10.64.</w:t>
      </w:r>
    </w:p>
    <w:p>
      <w:pPr>
        <w:spacing w:after="0" w:line="161" w:lineRule="exact"/>
        <w:rPr>
          <w:sz w:val="20"/>
          <w:szCs w:val="20"/>
          <w:color w:val="auto"/>
        </w:rPr>
      </w:pPr>
    </w:p>
    <w:p>
      <w:pPr>
        <w:ind w:right="80" w:firstLine="432"/>
        <w:spacing w:after="0" w:line="243" w:lineRule="auto"/>
        <w:rPr>
          <w:sz w:val="20"/>
          <w:szCs w:val="20"/>
          <w:color w:val="auto"/>
        </w:rPr>
      </w:pPr>
      <w:r>
        <w:rPr>
          <w:rFonts w:ascii="Times New Roman" w:cs="Times New Roman" w:eastAsia="Times New Roman" w:hAnsi="Times New Roman"/>
          <w:sz w:val="16"/>
          <w:szCs w:val="16"/>
          <w:color w:val="auto"/>
        </w:rPr>
        <w:t>During the second quarter of 2025, the Board of Directors of CVB declared quarterly cash dividends totaling $0.20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w:t>
      </w:r>
    </w:p>
    <w:p>
      <w:pPr>
        <w:spacing w:after="0" w:line="155" w:lineRule="exact"/>
        <w:rPr>
          <w:sz w:val="20"/>
          <w:szCs w:val="20"/>
          <w:color w:val="auto"/>
        </w:rPr>
      </w:pPr>
    </w:p>
    <w:p>
      <w:pPr>
        <w:ind w:firstLine="432"/>
        <w:spacing w:after="0" w:line="237" w:lineRule="auto"/>
        <w:rPr>
          <w:sz w:val="20"/>
          <w:szCs w:val="20"/>
          <w:color w:val="auto"/>
        </w:rPr>
      </w:pPr>
      <w:r>
        <w:rPr>
          <w:rFonts w:ascii="Times New Roman" w:cs="Times New Roman" w:eastAsia="Times New Roman" w:hAnsi="Times New Roman"/>
          <w:sz w:val="16"/>
          <w:szCs w:val="16"/>
          <w:color w:val="auto"/>
        </w:rPr>
        <w:t>On November 20, 2024, our Board of Directors approved a program to repurchase up to 10,000,000 shares (the "Maximum Amount") of CVB common stock including by means of one or more Rule 10b5-1 plans or other appropriate buy-back arrangements, including open market purchases and private transactions, at time and at prices considered appropriate by us, depending upon prevailing market conditions and other corporate and legal considerations ("2024 Repurchase Program"). This 2024 Repurchase Program replaced in its entirety the Company's previous 2022 share repurchase program under which 4,300,059 shares remained available for repurchase and which has now been terminated. The 2024 Repurchase Program terminates on the earlier of the repurchase of the Maximum Amount or five years from the date of authorization. During the first quarter of 2025, we repurchased 782,063 shares at an average price of $19.55, totaling $15.3 million, while during the second quarter of 2025 1,281,501 shares were repurchased at an average price of $17.30, totaling $ 22.2 million . Total shares repurchased under the 2024 Repurchase Program was 2,063,564 shares, resulting in 7,936,436 remaining shares for repurchase. We engaged in no stock repurchases during the six months ended June 30, 2024 other than the shares repurchased pursuant to net settlement by employees in satisfaction of income tax withholding obligations incurred through the vesting of Company stock awards.</w:t>
      </w:r>
    </w:p>
    <w:p>
      <w:pPr>
        <w:spacing w:after="0" w:line="164" w:lineRule="exact"/>
        <w:rPr>
          <w:sz w:val="20"/>
          <w:szCs w:val="20"/>
          <w:color w:val="auto"/>
        </w:rPr>
      </w:pPr>
    </w:p>
    <w:p>
      <w:pPr>
        <w:ind w:right="140" w:firstLine="432"/>
        <w:spacing w:after="0" w:line="238" w:lineRule="auto"/>
        <w:rPr>
          <w:sz w:val="20"/>
          <w:szCs w:val="20"/>
          <w:color w:val="auto"/>
        </w:rPr>
      </w:pPr>
      <w:r>
        <w:rPr>
          <w:rFonts w:ascii="Times New Roman" w:cs="Times New Roman" w:eastAsia="Times New Roman" w:hAnsi="Times New Roman"/>
          <w:sz w:val="16"/>
          <w:szCs w:val="16"/>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 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 based capital ratio equal to or greater than 10.0% and a Tier 1 leverage ratio equal to or greater than 5.0%. At June 30, 2025, the Bank and the Company exceeded the minimum risk-based capital ratios and leverage ratios required to be considered “well-capitalized” for regulatory purposes. For further information about capital requirements and our capital ratios, see “Item 1. </w:t>
      </w:r>
      <w:r>
        <w:rPr>
          <w:rFonts w:ascii="Times New Roman" w:cs="Times New Roman" w:eastAsia="Times New Roman" w:hAnsi="Times New Roman"/>
          <w:sz w:val="16"/>
          <w:szCs w:val="16"/>
          <w:i w:val="1"/>
          <w:iCs w:val="1"/>
          <w:color w:val="auto"/>
        </w:rPr>
        <w:t>Business – Capital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Adequacy Requirements</w:t>
      </w:r>
      <w:r>
        <w:rPr>
          <w:rFonts w:ascii="Times New Roman" w:cs="Times New Roman" w:eastAsia="Times New Roman" w:hAnsi="Times New Roman"/>
          <w:sz w:val="16"/>
          <w:szCs w:val="16"/>
          <w:color w:val="auto"/>
        </w:rPr>
        <w:t>” as described in our Annual Report on Form 10-K for the year ended December 31, 2024.</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8" w:name="page69"/>
    <w:bookmarkEnd w:id="68"/>
    <w:p>
      <w:pPr>
        <w:ind w:left="440"/>
        <w:spacing w:after="0"/>
        <w:rPr>
          <w:sz w:val="20"/>
          <w:szCs w:val="20"/>
          <w:color w:val="auto"/>
        </w:rPr>
      </w:pPr>
      <w:r>
        <w:rPr>
          <w:rFonts w:ascii="Times New Roman" w:cs="Times New Roman" w:eastAsia="Times New Roman" w:hAnsi="Times New Roman"/>
          <w:sz w:val="16"/>
          <w:szCs w:val="16"/>
          <w:color w:val="auto"/>
        </w:rPr>
        <w:t>The table below presents the Company’s and the Bank’s risk-based and leverage capital ratios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00" w:type="dxa"/>
            <w:vAlign w:val="bottom"/>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4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40" w:type="dxa"/>
            <w:vAlign w:val="bottom"/>
          </w:tcPr>
          <w:p>
            <w:pPr>
              <w:jc w:val="center"/>
              <w:ind w:left="42"/>
              <w:spacing w:after="0" w:line="180" w:lineRule="exact"/>
              <w:rPr>
                <w:sz w:val="20"/>
                <w:szCs w:val="20"/>
                <w:color w:val="auto"/>
              </w:rPr>
            </w:pPr>
            <w:r>
              <w:rPr>
                <w:rFonts w:ascii="Times New Roman" w:cs="Times New Roman" w:eastAsia="Times New Roman" w:hAnsi="Times New Roman"/>
                <w:sz w:val="16"/>
                <w:szCs w:val="16"/>
                <w:b w:val="1"/>
                <w:bCs w:val="1"/>
                <w:color w:val="auto"/>
                <w:w w:val="99"/>
              </w:rPr>
              <w:t>Adequately</w:t>
            </w:r>
          </w:p>
        </w:tc>
        <w:tc>
          <w:tcPr>
            <w:tcW w:w="1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Minimum Required</w:t>
            </w: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Well</w:t>
            </w:r>
          </w:p>
        </w:tc>
        <w:tc>
          <w:tcPr>
            <w:tcW w:w="13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CVB Financial</w:t>
            </w:r>
          </w:p>
        </w:tc>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Citizens</w:t>
            </w:r>
          </w:p>
        </w:tc>
        <w:tc>
          <w:tcPr>
            <w:tcW w:w="13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CVB Financial</w:t>
            </w:r>
          </w:p>
        </w:tc>
        <w:tc>
          <w:tcPr>
            <w:tcW w:w="86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b w:val="1"/>
                <w:bCs w:val="1"/>
                <w:color w:val="auto"/>
                <w:w w:val="97"/>
              </w:rPr>
              <w:t>Citizens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40" w:type="dxa"/>
            <w:vAlign w:val="bottom"/>
          </w:tcPr>
          <w:p>
            <w:pPr>
              <w:jc w:val="center"/>
              <w:ind w:left="42"/>
              <w:spacing w:after="0" w:line="180" w:lineRule="exact"/>
              <w:rPr>
                <w:sz w:val="20"/>
                <w:szCs w:val="20"/>
                <w:color w:val="auto"/>
              </w:rPr>
            </w:pPr>
            <w:r>
              <w:rPr>
                <w:rFonts w:ascii="Times New Roman" w:cs="Times New Roman" w:eastAsia="Times New Roman" w:hAnsi="Times New Roman"/>
                <w:sz w:val="16"/>
                <w:szCs w:val="16"/>
                <w:b w:val="1"/>
                <w:bCs w:val="1"/>
                <w:color w:val="auto"/>
                <w:w w:val="99"/>
              </w:rPr>
              <w:t>Capitalized</w:t>
            </w:r>
          </w:p>
        </w:tc>
        <w:tc>
          <w:tcPr>
            <w:tcW w:w="1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Plus Capital</w:t>
            </w: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Capitalized</w:t>
            </w:r>
          </w:p>
        </w:tc>
        <w:tc>
          <w:tcPr>
            <w:tcW w:w="13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Corp.</w:t>
            </w:r>
          </w:p>
        </w:tc>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Business</w:t>
            </w:r>
          </w:p>
        </w:tc>
        <w:tc>
          <w:tcPr>
            <w:tcW w:w="13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Corp.</w:t>
            </w:r>
          </w:p>
        </w:tc>
        <w:tc>
          <w:tcPr>
            <w:tcW w:w="86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b w:val="1"/>
                <w:bCs w:val="1"/>
                <w:color w:val="auto"/>
                <w:w w:val="98"/>
              </w:rPr>
              <w:t>Business</w:t>
            </w:r>
          </w:p>
        </w:tc>
        <w:tc>
          <w:tcPr>
            <w:tcW w:w="0" w:type="dxa"/>
            <w:vAlign w:val="bottom"/>
          </w:tcPr>
          <w:p>
            <w:pPr>
              <w:spacing w:after="0"/>
              <w:rPr>
                <w:sz w:val="1"/>
                <w:szCs w:val="1"/>
                <w:color w:val="auto"/>
              </w:rPr>
            </w:pPr>
          </w:p>
        </w:tc>
      </w:tr>
      <w:tr>
        <w:trPr>
          <w:trHeight w:val="205"/>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114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6"/>
              </w:rPr>
              <w:t>Ratios</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Conservation Buffer</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Ratios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Consolidated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Bank</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Consolidated</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Bank</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Tier 1 leverage capital ratio</w:t>
            </w:r>
          </w:p>
        </w:tc>
        <w:tc>
          <w:tcPr>
            <w:tcW w:w="1140" w:type="dxa"/>
            <w:vAlign w:val="bottom"/>
            <w:shd w:val="clear" w:color="auto" w:fill="CFF0FC"/>
          </w:tcPr>
          <w:p>
            <w:pPr>
              <w:jc w:val="center"/>
              <w:ind w:left="42"/>
              <w:spacing w:after="0" w:line="180" w:lineRule="exact"/>
              <w:rPr>
                <w:sz w:val="20"/>
                <w:szCs w:val="20"/>
                <w:color w:val="auto"/>
              </w:rPr>
            </w:pPr>
            <w:r>
              <w:rPr>
                <w:rFonts w:ascii="Times New Roman" w:cs="Times New Roman" w:eastAsia="Times New Roman" w:hAnsi="Times New Roman"/>
                <w:sz w:val="16"/>
                <w:szCs w:val="16"/>
                <w:color w:val="auto"/>
              </w:rPr>
              <w:t>4.00%</w:t>
            </w:r>
          </w:p>
        </w:tc>
        <w:tc>
          <w:tcPr>
            <w:tcW w:w="16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4.00%</w:t>
            </w:r>
          </w:p>
        </w:tc>
        <w:tc>
          <w:tcPr>
            <w:tcW w:w="11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5.00%</w:t>
            </w:r>
          </w:p>
        </w:tc>
        <w:tc>
          <w:tcPr>
            <w:tcW w:w="136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11.84%</w:t>
            </w:r>
          </w:p>
        </w:tc>
        <w:tc>
          <w:tcPr>
            <w:tcW w:w="9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11.69%</w:t>
            </w:r>
          </w:p>
        </w:tc>
        <w:tc>
          <w:tcPr>
            <w:tcW w:w="13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11.46%</w:t>
            </w:r>
          </w:p>
        </w:tc>
        <w:tc>
          <w:tcPr>
            <w:tcW w:w="86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11.30%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Common equity Tier 1 capital</w:t>
            </w:r>
          </w:p>
        </w:tc>
        <w:tc>
          <w:tcPr>
            <w:tcW w:w="1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ratio</w:t>
            </w:r>
          </w:p>
        </w:tc>
        <w:tc>
          <w:tcPr>
            <w:tcW w:w="11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rPr>
              <w:t>4.50%</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7.00%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6.50%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16.52%</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16.30%</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16.24%</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16.01%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Tier 1 risk-based capital ratio</w:t>
            </w:r>
          </w:p>
        </w:tc>
        <w:tc>
          <w:tcPr>
            <w:tcW w:w="1140" w:type="dxa"/>
            <w:vAlign w:val="bottom"/>
            <w:shd w:val="clear" w:color="auto" w:fill="CFF0FC"/>
          </w:tcPr>
          <w:p>
            <w:pPr>
              <w:jc w:val="center"/>
              <w:ind w:left="42"/>
              <w:spacing w:after="0" w:line="180" w:lineRule="exact"/>
              <w:rPr>
                <w:sz w:val="20"/>
                <w:szCs w:val="20"/>
                <w:color w:val="auto"/>
              </w:rPr>
            </w:pPr>
            <w:r>
              <w:rPr>
                <w:rFonts w:ascii="Times New Roman" w:cs="Times New Roman" w:eastAsia="Times New Roman" w:hAnsi="Times New Roman"/>
                <w:sz w:val="16"/>
                <w:szCs w:val="16"/>
                <w:color w:val="auto"/>
              </w:rPr>
              <w:t>6.00%</w:t>
            </w:r>
          </w:p>
        </w:tc>
        <w:tc>
          <w:tcPr>
            <w:tcW w:w="16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8.50%</w:t>
            </w:r>
          </w:p>
        </w:tc>
        <w:tc>
          <w:tcPr>
            <w:tcW w:w="11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8.00%</w:t>
            </w:r>
          </w:p>
        </w:tc>
        <w:tc>
          <w:tcPr>
            <w:tcW w:w="136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16.52%</w:t>
            </w:r>
          </w:p>
        </w:tc>
        <w:tc>
          <w:tcPr>
            <w:tcW w:w="9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16.30%</w:t>
            </w:r>
          </w:p>
        </w:tc>
        <w:tc>
          <w:tcPr>
            <w:tcW w:w="13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16.24%</w:t>
            </w:r>
          </w:p>
        </w:tc>
        <w:tc>
          <w:tcPr>
            <w:tcW w:w="86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16.01%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Total risk-based capital ratio</w:t>
            </w:r>
          </w:p>
        </w:tc>
        <w:tc>
          <w:tcPr>
            <w:tcW w:w="11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rPr>
              <w:t>8.00%</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10.50%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17.33%</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17.11%</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17.06%</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16.82%</w:t>
            </w: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69</w:t>
            </w: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20" w:type="dxa"/>
            <w:vAlign w:val="bottom"/>
          </w:tcPr>
          <w:p>
            <w:pPr>
              <w:spacing w:after="0"/>
              <w:rPr>
                <w:sz w:val="24"/>
                <w:szCs w:val="24"/>
                <w:color w:val="auto"/>
              </w:rPr>
            </w:pPr>
          </w:p>
        </w:tc>
        <w:tc>
          <w:tcPr>
            <w:tcW w:w="212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136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138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69" w:name="page70"/>
    <w:bookmarkEnd w:id="69"/>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ASSET/LIABILITY AND MARKET RISK MANAGEMENT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and Cash Flow</w:t>
      </w:r>
    </w:p>
    <w:p>
      <w:pPr>
        <w:spacing w:after="0" w:line="180" w:lineRule="exact"/>
        <w:rPr>
          <w:sz w:val="20"/>
          <w:szCs w:val="20"/>
          <w:color w:val="auto"/>
        </w:rPr>
      </w:pPr>
    </w:p>
    <w:p>
      <w:pPr>
        <w:ind w:right="220" w:firstLine="432"/>
        <w:spacing w:after="0" w:line="243" w:lineRule="auto"/>
        <w:rPr>
          <w:sz w:val="20"/>
          <w:szCs w:val="20"/>
          <w:color w:val="auto"/>
        </w:rPr>
      </w:pPr>
      <w:r>
        <w:rPr>
          <w:rFonts w:ascii="Times New Roman" w:cs="Times New Roman" w:eastAsia="Times New Roman" w:hAnsi="Times New Roman"/>
          <w:sz w:val="16"/>
          <w:szCs w:val="16"/>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55" w:lineRule="exact"/>
        <w:rPr>
          <w:sz w:val="20"/>
          <w:szCs w:val="20"/>
          <w:color w:val="auto"/>
        </w:rPr>
      </w:pPr>
    </w:p>
    <w:p>
      <w:pPr>
        <w:ind w:firstLine="432"/>
        <w:spacing w:after="0" w:line="280" w:lineRule="auto"/>
        <w:rPr>
          <w:sz w:val="20"/>
          <w:szCs w:val="20"/>
          <w:color w:val="auto"/>
        </w:rPr>
      </w:pPr>
      <w:r>
        <w:rPr>
          <w:rFonts w:ascii="Times New Roman" w:cs="Times New Roman" w:eastAsia="Times New Roman" w:hAnsi="Times New Roman"/>
          <w:sz w:val="14"/>
          <w:szCs w:val="14"/>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as well as the input assumptions and results from various models. In addition, the Company has a Balance Sheet Management Committee of the Board of Directors that meets at least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33" w:lineRule="exact"/>
        <w:rPr>
          <w:sz w:val="20"/>
          <w:szCs w:val="20"/>
          <w:color w:val="auto"/>
        </w:rPr>
      </w:pPr>
    </w:p>
    <w:p>
      <w:pPr>
        <w:ind w:right="40" w:firstLine="432"/>
        <w:spacing w:after="0" w:line="237" w:lineRule="auto"/>
        <w:rPr>
          <w:sz w:val="20"/>
          <w:szCs w:val="20"/>
          <w:color w:val="auto"/>
        </w:rPr>
      </w:pPr>
      <w:r>
        <w:rPr>
          <w:rFonts w:ascii="Times New Roman" w:cs="Times New Roman" w:eastAsia="Times New Roman" w:hAnsi="Times New Roman"/>
          <w:sz w:val="16"/>
          <w:szCs w:val="16"/>
          <w:color w:val="auto"/>
        </w:rPr>
        <w:t>In general, our liquidity is managed daily by controlling the level of liquid assets as well as the use of funds provided by the cash flow from the investment portfolio, loan demand, deposit fluctuations, and borrowings. Our definition of liquid assets includes cash and cash equivalents in excess of minimum levels needed to fulfill normal business operations, short-term investment securities, and other anticipated near term cash flows from investments. In addition to on balance sheet liquidity, we have significant off-balance sheet sources of liquidity. To meet unexpected demands, lines of credit are maintained with correspondent banks, the Federal Home Loan Bank and the Federal Reserve, although availability under these lines of credit are subject to certain conditions. In addition to having more than $730 million of cash on the balance sheet at June 30, 2025, we had substantial sources of off-balance sheet liquidity. These sources of available liquidity include $4.06 billion of secured and unused capacity with the Federal Home Loan Bank, $1.09 of secured unused borrowing capacity at the Fed’s discount window, more than $58 million of unpledged AFS securities that could be pledged at the discount window and $300 million of unsecured lines of credit. In addition to these borrowing sources, the Bank has capacity to utilize additional brokered deposits as of June 30, 2025. We can also obtain additional liquidity from deposit growth by utilizing state and national wholesale markets.</w:t>
      </w:r>
    </w:p>
    <w:p>
      <w:pPr>
        <w:spacing w:after="0" w:line="164"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4"/>
          <w:szCs w:val="14"/>
          <w:color w:val="auto"/>
        </w:rPr>
        <w:t>Our primary sources of funds for the Company are deposits, customer repurchase agreements and borrowings. Total deposits and customer repos of $12.39 billion at June 30, 2025 increased $178.7 million, or 1.46%, over total deposits and customer repos of $12.21 billion at December 31, 2024. As of June 30, 2025, total borrowings, consisted of $500 million of FHLB advances, at an average cost of approximately 4.55%. Our deposit levels and cost of deposits may fluctuate from period-to-period due to a variety of factors, including the stability of our deposit base, prevailing interest rates, and market conditions. At June 30, 2025, our deposits and customer repurchase agreements that are neither collateralized nor insured were approximately $5.5 billion, or 45% of our total deposits and customer repos.</w:t>
      </w:r>
    </w:p>
    <w:p>
      <w:pPr>
        <w:spacing w:after="0" w:line="128"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6"/>
          <w:szCs w:val="16"/>
          <w:color w:val="auto"/>
        </w:rPr>
        <w:t>Additional sources of liquidity include cash on deposit at the Federal Reserve, which exceeded $540 million at June 30, 2024, and principal and interest payments from our investment portfolio. We shrank our investment portfolio by not reinvesting the cashflows generated by our investments during the first half of 2025. Our total investment portfolio declined by $108.2 million from December 31, 2024 to $4.81 billion as of June 30, 2025. The decrease was primarily due to a $48.8 million decline in AFS securities. AFS securities totaled $2.49 billion at June 30, 2025, inclusive of a pre-tax net unrealized loss of $363.7 million. Pre-tax unrealized loss decline by $84 million from December 31, 2024. Market risk, is partly managed by $700 million notional pay fixed swaps hedging the fair value of the AFS portfolio. The $84 million increase in fair value of our AFS securities was partially offset by a $16.95 million decrease in the fair value of our derivatives that hedge the change in value of our AFS portfolio.</w:t>
      </w:r>
    </w:p>
    <w:p>
      <w:pPr>
        <w:spacing w:after="0" w:line="158" w:lineRule="exact"/>
        <w:rPr>
          <w:sz w:val="20"/>
          <w:szCs w:val="20"/>
          <w:color w:val="auto"/>
        </w:rPr>
      </w:pPr>
    </w:p>
    <w:p>
      <w:pPr>
        <w:jc w:val="both"/>
        <w:ind w:right="340" w:firstLine="432"/>
        <w:spacing w:after="0" w:line="277" w:lineRule="auto"/>
        <w:rPr>
          <w:sz w:val="20"/>
          <w:szCs w:val="20"/>
          <w:color w:val="auto"/>
        </w:rPr>
      </w:pPr>
      <w:r>
        <w:rPr>
          <w:rFonts w:ascii="Times New Roman" w:cs="Times New Roman" w:eastAsia="Times New Roman" w:hAnsi="Times New Roman"/>
          <w:sz w:val="14"/>
          <w:szCs w:val="14"/>
          <w:color w:val="auto"/>
        </w:rPr>
        <w:t>CVB is a holding company separate and apart from the Bank that must provide for its own liquidity and must service its own obligations.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70" w:name="page71"/>
    <w:bookmarkEnd w:id="70"/>
    <w:p>
      <w:pPr>
        <w:ind w:right="480" w:firstLine="432"/>
        <w:spacing w:after="0" w:line="259" w:lineRule="auto"/>
        <w:rPr>
          <w:sz w:val="20"/>
          <w:szCs w:val="20"/>
          <w:color w:val="auto"/>
        </w:rPr>
      </w:pPr>
      <w:r>
        <w:rPr>
          <w:rFonts w:ascii="Times New Roman" w:cs="Times New Roman" w:eastAsia="Times New Roman" w:hAnsi="Times New Roman"/>
          <w:sz w:val="16"/>
          <w:szCs w:val="16"/>
          <w:color w:val="auto"/>
        </w:rPr>
        <w:t>Below is a summary of our average cash position and statement of cash flows for the six months ended June 30, 2025 and 2024. For further details see our “</w:t>
      </w:r>
      <w:r>
        <w:rPr>
          <w:rFonts w:ascii="Times New Roman" w:cs="Times New Roman" w:eastAsia="Times New Roman" w:hAnsi="Times New Roman"/>
          <w:sz w:val="16"/>
          <w:szCs w:val="16"/>
          <w:i w:val="1"/>
          <w:iCs w:val="1"/>
          <w:color w:val="auto"/>
        </w:rPr>
        <w:t>Condensed Consolidated Statements of Cash Flows</w:t>
      </w:r>
      <w:r>
        <w:rPr>
          <w:rFonts w:ascii="Times New Roman" w:cs="Times New Roman" w:eastAsia="Times New Roman" w:hAnsi="Times New Roman"/>
          <w:sz w:val="16"/>
          <w:szCs w:val="16"/>
          <w:color w:val="auto"/>
        </w:rPr>
        <w:t xml:space="preserve"> (Unaudited)” under Part I, Item 1 of this report.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7"/>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Six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5"/>
          </w:tcPr>
          <w:p>
            <w:pPr>
              <w:jc w:val="center"/>
              <w:ind w:left="523"/>
              <w:spacing w:after="0" w:line="180"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Average cash and cash equivalents</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401,722</w:t>
            </w:r>
          </w:p>
        </w:tc>
        <w:tc>
          <w:tcPr>
            <w:tcW w:w="2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731,109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total average assets</w:t>
            </w:r>
          </w:p>
        </w:tc>
        <w:tc>
          <w:tcPr>
            <w:tcW w:w="240" w:type="dxa"/>
            <w:vAlign w:val="bottom"/>
          </w:tcPr>
          <w:p>
            <w:pPr>
              <w:spacing w:after="0"/>
              <w:rPr>
                <w:sz w:val="17"/>
                <w:szCs w:val="17"/>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94,986</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103,620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investing activities</w:t>
            </w:r>
          </w:p>
        </w:tc>
        <w:tc>
          <w:tcPr>
            <w:tcW w:w="240" w:type="dxa"/>
            <w:vAlign w:val="bottom"/>
          </w:tcPr>
          <w:p>
            <w:pPr>
              <w:spacing w:after="0"/>
              <w:rPr>
                <w:sz w:val="15"/>
                <w:szCs w:val="15"/>
                <w:color w:val="auto"/>
              </w:rPr>
            </w:pP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357,140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433,931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81,812</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25,358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Net increase in cash and cash equivalents</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533,938</w:t>
            </w:r>
          </w:p>
        </w:tc>
        <w:tc>
          <w:tcPr>
            <w:tcW w:w="200" w:type="dxa"/>
            <w:vAlign w:val="bottom"/>
          </w:tcPr>
          <w:p>
            <w:pPr>
              <w:spacing w:after="0"/>
              <w:rPr>
                <w:sz w:val="15"/>
                <w:szCs w:val="15"/>
                <w:color w:val="auto"/>
              </w:rPr>
            </w:pPr>
          </w:p>
        </w:tc>
        <w:tc>
          <w:tcPr>
            <w:tcW w:w="36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562,909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32"/>
        <w:spacing w:after="0" w:line="259" w:lineRule="auto"/>
        <w:rPr>
          <w:sz w:val="20"/>
          <w:szCs w:val="20"/>
          <w:color w:val="auto"/>
        </w:rPr>
      </w:pPr>
      <w:r>
        <w:rPr>
          <w:rFonts w:ascii="Times New Roman" w:cs="Times New Roman" w:eastAsia="Times New Roman" w:hAnsi="Times New Roman"/>
          <w:sz w:val="16"/>
          <w:szCs w:val="16"/>
          <w:color w:val="auto"/>
        </w:rPr>
        <w:t>Average cash and cash equivalents decreased by $329.4 million, or 45.05%, to $401.7 million for the six months ended June 30, 2025, compared to $731.1 million for the same period of 2024.</w:t>
      </w:r>
    </w:p>
    <w:p>
      <w:pPr>
        <w:spacing w:after="0" w:line="143" w:lineRule="exact"/>
        <w:rPr>
          <w:sz w:val="20"/>
          <w:szCs w:val="20"/>
          <w:color w:val="auto"/>
        </w:rPr>
      </w:pPr>
    </w:p>
    <w:p>
      <w:pPr>
        <w:ind w:right="680" w:firstLine="432"/>
        <w:spacing w:after="0" w:line="259" w:lineRule="auto"/>
        <w:rPr>
          <w:sz w:val="20"/>
          <w:szCs w:val="20"/>
          <w:color w:val="auto"/>
        </w:rPr>
      </w:pPr>
      <w:r>
        <w:rPr>
          <w:rFonts w:ascii="Times New Roman" w:cs="Times New Roman" w:eastAsia="Times New Roman" w:hAnsi="Times New Roman"/>
          <w:sz w:val="16"/>
          <w:szCs w:val="16"/>
          <w:color w:val="auto"/>
        </w:rPr>
        <w:t>At June 30, 2025, cash and cash equivalents totaled $738.6 million. This represented an increase of $533.9 million, or 260.84%, from $204.7 million at December 31, 2024. Our cash on deposit at the Federal Reserve increased by $492.8 million when compared to December 31,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Sensitivity Management</w:t>
      </w:r>
    </w:p>
    <w:p>
      <w:pPr>
        <w:spacing w:after="0" w:line="180" w:lineRule="exact"/>
        <w:rPr>
          <w:sz w:val="20"/>
          <w:szCs w:val="20"/>
          <w:color w:val="auto"/>
        </w:rPr>
      </w:pPr>
    </w:p>
    <w:p>
      <w:pPr>
        <w:ind w:right="20" w:firstLine="432"/>
        <w:spacing w:after="0" w:line="238" w:lineRule="auto"/>
        <w:rPr>
          <w:sz w:val="20"/>
          <w:szCs w:val="20"/>
          <w:color w:val="auto"/>
        </w:rPr>
      </w:pPr>
      <w:r>
        <w:rPr>
          <w:rFonts w:ascii="Times New Roman" w:cs="Times New Roman" w:eastAsia="Times New Roman" w:hAnsi="Times New Roman"/>
          <w:sz w:val="16"/>
          <w:szCs w:val="16"/>
          <w:color w:val="auto"/>
        </w:rPr>
        <w:t>During periods of changing interest rates, the ability to re- 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 -term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58" w:lineRule="exact"/>
        <w:rPr>
          <w:sz w:val="20"/>
          <w:szCs w:val="20"/>
          <w:color w:val="auto"/>
        </w:rPr>
      </w:pPr>
    </w:p>
    <w:p>
      <w:pPr>
        <w:ind w:firstLine="432"/>
        <w:spacing w:after="0" w:line="280" w:lineRule="auto"/>
        <w:rPr>
          <w:sz w:val="20"/>
          <w:szCs w:val="20"/>
          <w:color w:val="auto"/>
        </w:rPr>
      </w:pPr>
      <w:r>
        <w:rPr>
          <w:rFonts w:ascii="Times New Roman" w:cs="Times New Roman" w:eastAsia="Times New Roman" w:hAnsi="Times New Roman"/>
          <w:sz w:val="14"/>
          <w:szCs w:val="14"/>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Our interest rate risk policy measures the sensitivity of our net interest income over both a one-year and two-year cumulative time horizon.</w:t>
      </w:r>
    </w:p>
    <w:p>
      <w:pPr>
        <w:spacing w:after="0" w:line="176" w:lineRule="exact"/>
        <w:rPr>
          <w:sz w:val="20"/>
          <w:szCs w:val="20"/>
          <w:color w:val="auto"/>
        </w:rPr>
      </w:pPr>
    </w:p>
    <w:p>
      <w:pPr>
        <w:ind w:right="80" w:firstLine="432"/>
        <w:spacing w:after="0" w:line="241" w:lineRule="auto"/>
        <w:rPr>
          <w:sz w:val="20"/>
          <w:szCs w:val="20"/>
          <w:color w:val="auto"/>
        </w:rPr>
      </w:pPr>
      <w:r>
        <w:rPr>
          <w:rFonts w:ascii="Times New Roman" w:cs="Times New Roman" w:eastAsia="Times New Roman" w:hAnsi="Times New Roman"/>
          <w:sz w:val="16"/>
          <w:szCs w:val="16"/>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 and two year horizon assuming no balance sheet growth, given a 200 basis point upward and a 200 basis point downward shift in interest rates depending on the level of current market rates. The simulation model uses a parallel yield curve shift that adjusts rates up or down on a pro rata basis ramped over 12-months and measures the resulting net interest income sensitivity over both the 12-month and 24-month time horizons.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71" w:name="page72"/>
    <w:bookmarkEnd w:id="71"/>
    <w:p>
      <w:pPr>
        <w:ind w:right="120" w:firstLine="432"/>
        <w:spacing w:after="0" w:line="259" w:lineRule="auto"/>
        <w:rPr>
          <w:sz w:val="20"/>
          <w:szCs w:val="20"/>
          <w:color w:val="auto"/>
        </w:rPr>
      </w:pPr>
      <w:r>
        <w:rPr>
          <w:rFonts w:ascii="Times New Roman" w:cs="Times New Roman" w:eastAsia="Times New Roman" w:hAnsi="Times New Roman"/>
          <w:sz w:val="16"/>
          <w:szCs w:val="16"/>
          <w:color w:val="auto"/>
        </w:rPr>
        <w:t>The following depicts the Company’s net interest income sensitivity analysis for the periods presented below, when rates are adjusted by ramping up 200 bps or ramping down 200 bps over a 12-month and 24-month time horizons.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420" w:type="dxa"/>
            <w:vAlign w:val="bottom"/>
            <w:gridSpan w:val="3"/>
          </w:tcPr>
          <w:p>
            <w:pPr>
              <w:ind w:left="1220"/>
              <w:spacing w:after="0"/>
              <w:rPr>
                <w:sz w:val="20"/>
                <w:szCs w:val="20"/>
                <w:color w:val="auto"/>
              </w:rPr>
            </w:pPr>
            <w:r>
              <w:rPr>
                <w:rFonts w:ascii="Times New Roman" w:cs="Times New Roman" w:eastAsia="Times New Roman" w:hAnsi="Times New Roman"/>
                <w:sz w:val="16"/>
                <w:szCs w:val="16"/>
                <w:b w:val="1"/>
                <w:bCs w:val="1"/>
                <w:color w:val="auto"/>
              </w:rPr>
              <w:t>Estimated Net Interest Income Sensitivity (1)</w:t>
            </w:r>
          </w:p>
        </w:tc>
        <w:tc>
          <w:tcPr>
            <w:tcW w:w="1560" w:type="dxa"/>
            <w:vAlign w:val="bottom"/>
          </w:tcPr>
          <w:p>
            <w:pPr>
              <w:spacing w:after="0"/>
              <w:rPr>
                <w:sz w:val="16"/>
                <w:szCs w:val="16"/>
                <w:color w:val="auto"/>
              </w:rPr>
            </w:pPr>
          </w:p>
        </w:tc>
      </w:tr>
      <w:tr>
        <w:trPr>
          <w:trHeight w:val="180"/>
        </w:trPr>
        <w:tc>
          <w:tcPr>
            <w:tcW w:w="1940" w:type="dxa"/>
            <w:vAlign w:val="bottom"/>
          </w:tcPr>
          <w:p>
            <w:pPr>
              <w:spacing w:after="0"/>
              <w:rPr>
                <w:sz w:val="15"/>
                <w:szCs w:val="15"/>
                <w:color w:val="auto"/>
              </w:rPr>
            </w:pPr>
          </w:p>
        </w:tc>
        <w:tc>
          <w:tcPr>
            <w:tcW w:w="3360" w:type="dxa"/>
            <w:vAlign w:val="bottom"/>
            <w:gridSpan w:val="2"/>
          </w:tcPr>
          <w:p>
            <w:pPr>
              <w:ind w:left="1240"/>
              <w:spacing w:after="0" w:line="180" w:lineRule="exact"/>
              <w:rPr>
                <w:sz w:val="20"/>
                <w:szCs w:val="20"/>
                <w:color w:val="auto"/>
              </w:rPr>
            </w:pPr>
            <w:r>
              <w:rPr>
                <w:rFonts w:ascii="Times New Roman" w:cs="Times New Roman" w:eastAsia="Times New Roman" w:hAnsi="Times New Roman"/>
                <w:sz w:val="16"/>
                <w:szCs w:val="16"/>
                <w:b w:val="1"/>
                <w:bCs w:val="1"/>
                <w:color w:val="auto"/>
              </w:rPr>
              <w:t>June 30, 2025</w:t>
            </w:r>
          </w:p>
        </w:tc>
        <w:tc>
          <w:tcPr>
            <w:tcW w:w="2080" w:type="dxa"/>
            <w:vAlign w:val="bottom"/>
          </w:tcPr>
          <w:p>
            <w:pPr>
              <w:spacing w:after="0"/>
              <w:rPr>
                <w:sz w:val="15"/>
                <w:szCs w:val="15"/>
                <w:color w:val="auto"/>
              </w:rPr>
            </w:pPr>
          </w:p>
        </w:tc>
        <w:tc>
          <w:tcPr>
            <w:tcW w:w="318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0"/>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24-month Period</w:t>
            </w:r>
          </w:p>
        </w:tc>
        <w:tc>
          <w:tcPr>
            <w:tcW w:w="2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24-month Period</w:t>
            </w:r>
          </w:p>
        </w:tc>
      </w:tr>
      <w:tr>
        <w:trPr>
          <w:trHeight w:val="205"/>
        </w:trPr>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Interest Rate Scenario</w:t>
            </w:r>
          </w:p>
        </w:tc>
        <w:tc>
          <w:tcPr>
            <w:tcW w:w="16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12-month Period</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(Cumulative)</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Interest Rate Scenario</w:t>
            </w:r>
          </w:p>
        </w:tc>
        <w:tc>
          <w:tcPr>
            <w:tcW w:w="16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12-month Period</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(Cumulative)</w:t>
            </w:r>
          </w:p>
        </w:tc>
      </w:tr>
      <w:tr>
        <w:trPr>
          <w:trHeight w:val="170"/>
        </w:trPr>
        <w:tc>
          <w:tcPr>
            <w:tcW w:w="1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80"/>
        </w:trPr>
        <w:tc>
          <w:tcPr>
            <w:tcW w:w="19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+ 200 basis points</w:t>
            </w:r>
          </w:p>
        </w:tc>
        <w:tc>
          <w:tcPr>
            <w:tcW w:w="1640" w:type="dxa"/>
            <w:vAlign w:val="bottom"/>
            <w:shd w:val="clear" w:color="auto" w:fill="CFF0FC"/>
          </w:tcPr>
          <w:p>
            <w:pPr>
              <w:jc w:val="right"/>
              <w:ind w:right="562"/>
              <w:spacing w:after="0" w:line="180" w:lineRule="exact"/>
              <w:rPr>
                <w:sz w:val="20"/>
                <w:szCs w:val="20"/>
                <w:color w:val="auto"/>
              </w:rPr>
            </w:pPr>
            <w:r>
              <w:rPr>
                <w:rFonts w:ascii="Times New Roman" w:cs="Times New Roman" w:eastAsia="Times New Roman" w:hAnsi="Times New Roman"/>
                <w:sz w:val="16"/>
                <w:szCs w:val="16"/>
                <w:color w:val="auto"/>
              </w:rPr>
              <w:t>4.87%</w:t>
            </w:r>
          </w:p>
        </w:tc>
        <w:tc>
          <w:tcPr>
            <w:tcW w:w="1720" w:type="dxa"/>
            <w:vAlign w:val="bottom"/>
            <w:shd w:val="clear" w:color="auto" w:fill="CFF0FC"/>
          </w:tcPr>
          <w:p>
            <w:pPr>
              <w:jc w:val="right"/>
              <w:ind w:right="602"/>
              <w:spacing w:after="0" w:line="180" w:lineRule="exact"/>
              <w:rPr>
                <w:sz w:val="20"/>
                <w:szCs w:val="20"/>
                <w:color w:val="auto"/>
              </w:rPr>
            </w:pPr>
            <w:r>
              <w:rPr>
                <w:rFonts w:ascii="Times New Roman" w:cs="Times New Roman" w:eastAsia="Times New Roman" w:hAnsi="Times New Roman"/>
                <w:sz w:val="16"/>
                <w:szCs w:val="16"/>
                <w:color w:val="auto"/>
              </w:rPr>
              <w:t>6.82%</w:t>
            </w:r>
          </w:p>
        </w:tc>
        <w:tc>
          <w:tcPr>
            <w:tcW w:w="20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+ 200 basis points</w:t>
            </w:r>
          </w:p>
        </w:tc>
        <w:tc>
          <w:tcPr>
            <w:tcW w:w="1620" w:type="dxa"/>
            <w:vAlign w:val="bottom"/>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4.66%</w:t>
            </w:r>
          </w:p>
        </w:tc>
        <w:tc>
          <w:tcPr>
            <w:tcW w:w="1560" w:type="dxa"/>
            <w:vAlign w:val="bottom"/>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6.26%</w:t>
            </w:r>
          </w:p>
        </w:tc>
      </w:tr>
      <w:tr>
        <w:trPr>
          <w:trHeight w:val="203"/>
        </w:trPr>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- 200 basis points</w:t>
            </w:r>
          </w:p>
        </w:tc>
        <w:tc>
          <w:tcPr>
            <w:tcW w:w="164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-4.38%</w:t>
            </w:r>
          </w:p>
        </w:tc>
        <w:tc>
          <w:tcPr>
            <w:tcW w:w="17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-7.41%</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- 200 basis points</w:t>
            </w:r>
          </w:p>
        </w:tc>
        <w:tc>
          <w:tcPr>
            <w:tcW w:w="162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-3.63%</w:t>
            </w:r>
          </w:p>
        </w:tc>
        <w:tc>
          <w:tcPr>
            <w:tcW w:w="15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-6.36%</w:t>
            </w:r>
          </w:p>
        </w:tc>
      </w:tr>
    </w:tbl>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(1)Percentage change from base scenario.</w:t>
      </w:r>
    </w:p>
    <w:p>
      <w:pPr>
        <w:spacing w:after="0" w:line="174" w:lineRule="exact"/>
        <w:rPr>
          <w:sz w:val="20"/>
          <w:szCs w:val="20"/>
          <w:color w:val="auto"/>
        </w:rPr>
      </w:pPr>
    </w:p>
    <w:p>
      <w:pPr>
        <w:ind w:right="100" w:firstLine="432"/>
        <w:spacing w:after="0" w:line="239" w:lineRule="auto"/>
        <w:rPr>
          <w:sz w:val="20"/>
          <w:szCs w:val="20"/>
          <w:color w:val="auto"/>
        </w:rPr>
      </w:pPr>
      <w:r>
        <w:rPr>
          <w:rFonts w:ascii="Times New Roman" w:cs="Times New Roman" w:eastAsia="Times New Roman" w:hAnsi="Times New Roman"/>
          <w:sz w:val="16"/>
          <w:szCs w:val="16"/>
          <w:color w:val="auto"/>
        </w:rPr>
        <w:t>Based on our current simulation models, we believe that the interest rate risk profile of the balance sheet is modestly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w:t>
      </w:r>
    </w:p>
    <w:p>
      <w:pPr>
        <w:spacing w:after="0" w:line="161"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16"/>
          <w:szCs w:val="16"/>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June 30, 2025 and December 31, 2024, the EVE profile indicates a decline in net balance sheet value due to instantaneous downward changes in rates. From December 31, 2024 to June 30, 2025, our EVE sensitivity to declining interest rates was modestly lower. Our overall sensitivity of EVE to changes in interest rates is generally modest, with the exception of more meaningful reductions in value if rates were to immediately decline by 300 or 400 basis points.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Value of Equity Sensitivity</w:t>
            </w:r>
          </w:p>
        </w:tc>
        <w:tc>
          <w:tcPr>
            <w:tcW w:w="35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384"/>
        </w:trPr>
        <w:tc>
          <w:tcPr>
            <w:tcW w:w="4040" w:type="dxa"/>
            <w:vAlign w:val="bottom"/>
          </w:tcPr>
          <w:p>
            <w:pPr>
              <w:spacing w:after="0"/>
              <w:rPr>
                <w:sz w:val="24"/>
                <w:szCs w:val="24"/>
                <w:color w:val="auto"/>
              </w:rPr>
            </w:pPr>
          </w:p>
        </w:tc>
        <w:tc>
          <w:tcPr>
            <w:tcW w:w="3520" w:type="dxa"/>
            <w:vAlign w:val="bottom"/>
          </w:tcPr>
          <w:p>
            <w:pPr>
              <w:jc w:val="center"/>
              <w:ind w:left="582"/>
              <w:spacing w:after="0"/>
              <w:rPr>
                <w:sz w:val="20"/>
                <w:szCs w:val="20"/>
                <w:color w:val="auto"/>
              </w:rPr>
            </w:pPr>
            <w:r>
              <w:rPr>
                <w:rFonts w:ascii="Times New Roman" w:cs="Times New Roman" w:eastAsia="Times New Roman" w:hAnsi="Times New Roman"/>
                <w:sz w:val="16"/>
                <w:szCs w:val="16"/>
                <w:b w:val="1"/>
                <w:bCs w:val="1"/>
                <w:color w:val="auto"/>
                <w:w w:val="96"/>
              </w:rPr>
              <w:t>June 30, 2025</w:t>
            </w:r>
          </w:p>
        </w:tc>
        <w:tc>
          <w:tcPr>
            <w:tcW w:w="3000" w:type="dxa"/>
            <w:vAlign w:val="bottom"/>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r>
      <w:tr>
        <w:trPr>
          <w:trHeight w:val="35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400 bp decrease in interest rates</w:t>
            </w:r>
          </w:p>
        </w:tc>
        <w:tc>
          <w:tcPr>
            <w:tcW w:w="3520" w:type="dxa"/>
            <w:vAlign w:val="bottom"/>
          </w:tcPr>
          <w:p>
            <w:pPr>
              <w:jc w:val="center"/>
              <w:ind w:left="562"/>
              <w:spacing w:after="0"/>
              <w:rPr>
                <w:sz w:val="20"/>
                <w:szCs w:val="20"/>
                <w:color w:val="auto"/>
              </w:rPr>
            </w:pPr>
            <w:r>
              <w:rPr>
                <w:rFonts w:ascii="Times New Roman" w:cs="Times New Roman" w:eastAsia="Times New Roman" w:hAnsi="Times New Roman"/>
                <w:sz w:val="16"/>
                <w:szCs w:val="16"/>
                <w:color w:val="auto"/>
                <w:w w:val="96"/>
              </w:rPr>
              <w:t>15.7%</w:t>
            </w:r>
          </w:p>
        </w:tc>
        <w:tc>
          <w:tcPr>
            <w:tcW w:w="30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6"/>
              </w:rPr>
              <w:t>15.7%</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300 bp decrease in interest rates</w:t>
            </w:r>
          </w:p>
        </w:tc>
        <w:tc>
          <w:tcPr>
            <w:tcW w:w="3520" w:type="dxa"/>
            <w:vAlign w:val="bottom"/>
            <w:shd w:val="clear" w:color="auto" w:fill="CFF0FC"/>
          </w:tcPr>
          <w:p>
            <w:pPr>
              <w:jc w:val="center"/>
              <w:ind w:left="562"/>
              <w:spacing w:after="0" w:line="180" w:lineRule="exact"/>
              <w:rPr>
                <w:sz w:val="20"/>
                <w:szCs w:val="20"/>
                <w:color w:val="auto"/>
              </w:rPr>
            </w:pPr>
            <w:r>
              <w:rPr>
                <w:rFonts w:ascii="Times New Roman" w:cs="Times New Roman" w:eastAsia="Times New Roman" w:hAnsi="Times New Roman"/>
                <w:sz w:val="16"/>
                <w:szCs w:val="16"/>
                <w:color w:val="auto"/>
                <w:w w:val="96"/>
              </w:rPr>
              <w:t>15.8%</w:t>
            </w:r>
          </w:p>
        </w:tc>
        <w:tc>
          <w:tcPr>
            <w:tcW w:w="3000" w:type="dxa"/>
            <w:vAlign w:val="bottom"/>
            <w:shd w:val="clear" w:color="auto" w:fill="CFF0FC"/>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6"/>
              </w:rPr>
              <w:t>17.1%</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200 bp decrease in interest rates</w:t>
            </w:r>
          </w:p>
        </w:tc>
        <w:tc>
          <w:tcPr>
            <w:tcW w:w="3520" w:type="dxa"/>
            <w:vAlign w:val="bottom"/>
          </w:tcPr>
          <w:p>
            <w:pPr>
              <w:jc w:val="center"/>
              <w:ind w:left="562"/>
              <w:spacing w:after="0" w:line="180" w:lineRule="exact"/>
              <w:rPr>
                <w:sz w:val="20"/>
                <w:szCs w:val="20"/>
                <w:color w:val="auto"/>
              </w:rPr>
            </w:pPr>
            <w:r>
              <w:rPr>
                <w:rFonts w:ascii="Times New Roman" w:cs="Times New Roman" w:eastAsia="Times New Roman" w:hAnsi="Times New Roman"/>
                <w:sz w:val="16"/>
                <w:szCs w:val="16"/>
                <w:color w:val="auto"/>
                <w:w w:val="96"/>
              </w:rPr>
              <w:t>16.9%</w:t>
            </w:r>
          </w:p>
        </w:tc>
        <w:tc>
          <w:tcPr>
            <w:tcW w:w="300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6"/>
              </w:rPr>
              <w:t>17.9%</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100 bp decrease in interest rates</w:t>
            </w:r>
          </w:p>
        </w:tc>
        <w:tc>
          <w:tcPr>
            <w:tcW w:w="3520" w:type="dxa"/>
            <w:vAlign w:val="bottom"/>
            <w:shd w:val="clear" w:color="auto" w:fill="CFF0FC"/>
          </w:tcPr>
          <w:p>
            <w:pPr>
              <w:jc w:val="center"/>
              <w:ind w:left="562"/>
              <w:spacing w:after="0" w:line="180" w:lineRule="exact"/>
              <w:rPr>
                <w:sz w:val="20"/>
                <w:szCs w:val="20"/>
                <w:color w:val="auto"/>
              </w:rPr>
            </w:pPr>
            <w:r>
              <w:rPr>
                <w:rFonts w:ascii="Times New Roman" w:cs="Times New Roman" w:eastAsia="Times New Roman" w:hAnsi="Times New Roman"/>
                <w:sz w:val="16"/>
                <w:szCs w:val="16"/>
                <w:color w:val="auto"/>
                <w:w w:val="96"/>
              </w:rPr>
              <w:t>17.3%</w:t>
            </w:r>
          </w:p>
        </w:tc>
        <w:tc>
          <w:tcPr>
            <w:tcW w:w="3000" w:type="dxa"/>
            <w:vAlign w:val="bottom"/>
            <w:shd w:val="clear" w:color="auto" w:fill="CFF0FC"/>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6"/>
              </w:rPr>
              <w:t>18.4%</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Base</w:t>
            </w:r>
          </w:p>
        </w:tc>
        <w:tc>
          <w:tcPr>
            <w:tcW w:w="3520" w:type="dxa"/>
            <w:vAlign w:val="bottom"/>
          </w:tcPr>
          <w:p>
            <w:pPr>
              <w:jc w:val="center"/>
              <w:ind w:left="562"/>
              <w:spacing w:after="0" w:line="180" w:lineRule="exact"/>
              <w:rPr>
                <w:sz w:val="20"/>
                <w:szCs w:val="20"/>
                <w:color w:val="auto"/>
              </w:rPr>
            </w:pPr>
            <w:r>
              <w:rPr>
                <w:rFonts w:ascii="Times New Roman" w:cs="Times New Roman" w:eastAsia="Times New Roman" w:hAnsi="Times New Roman"/>
                <w:sz w:val="16"/>
                <w:szCs w:val="16"/>
                <w:color w:val="auto"/>
                <w:w w:val="96"/>
              </w:rPr>
              <w:t>17.6%</w:t>
            </w:r>
          </w:p>
        </w:tc>
        <w:tc>
          <w:tcPr>
            <w:tcW w:w="300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6"/>
              </w:rPr>
              <w:t>19.0%</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100 bp increase in interest rates</w:t>
            </w:r>
          </w:p>
        </w:tc>
        <w:tc>
          <w:tcPr>
            <w:tcW w:w="3520" w:type="dxa"/>
            <w:vAlign w:val="bottom"/>
            <w:shd w:val="clear" w:color="auto" w:fill="CFF0FC"/>
          </w:tcPr>
          <w:p>
            <w:pPr>
              <w:jc w:val="center"/>
              <w:ind w:left="562"/>
              <w:spacing w:after="0" w:line="180" w:lineRule="exact"/>
              <w:rPr>
                <w:sz w:val="20"/>
                <w:szCs w:val="20"/>
                <w:color w:val="auto"/>
              </w:rPr>
            </w:pPr>
            <w:r>
              <w:rPr>
                <w:rFonts w:ascii="Times New Roman" w:cs="Times New Roman" w:eastAsia="Times New Roman" w:hAnsi="Times New Roman"/>
                <w:sz w:val="16"/>
                <w:szCs w:val="16"/>
                <w:color w:val="auto"/>
                <w:w w:val="96"/>
              </w:rPr>
              <w:t>17.8%</w:t>
            </w:r>
          </w:p>
        </w:tc>
        <w:tc>
          <w:tcPr>
            <w:tcW w:w="3000" w:type="dxa"/>
            <w:vAlign w:val="bottom"/>
            <w:shd w:val="clear" w:color="auto" w:fill="CFF0FC"/>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6"/>
              </w:rPr>
              <w:t>19.2%</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200 bp increase in interest rates</w:t>
            </w:r>
          </w:p>
        </w:tc>
        <w:tc>
          <w:tcPr>
            <w:tcW w:w="3520" w:type="dxa"/>
            <w:vAlign w:val="bottom"/>
          </w:tcPr>
          <w:p>
            <w:pPr>
              <w:jc w:val="center"/>
              <w:ind w:left="562"/>
              <w:spacing w:after="0" w:line="180" w:lineRule="exact"/>
              <w:rPr>
                <w:sz w:val="20"/>
                <w:szCs w:val="20"/>
                <w:color w:val="auto"/>
              </w:rPr>
            </w:pPr>
            <w:r>
              <w:rPr>
                <w:rFonts w:ascii="Times New Roman" w:cs="Times New Roman" w:eastAsia="Times New Roman" w:hAnsi="Times New Roman"/>
                <w:sz w:val="16"/>
                <w:szCs w:val="16"/>
                <w:color w:val="auto"/>
                <w:w w:val="96"/>
              </w:rPr>
              <w:t>18.0%</w:t>
            </w:r>
          </w:p>
        </w:tc>
        <w:tc>
          <w:tcPr>
            <w:tcW w:w="300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6"/>
              </w:rPr>
              <w:t>19.6%</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300 bp increase in interest rates</w:t>
            </w:r>
          </w:p>
        </w:tc>
        <w:tc>
          <w:tcPr>
            <w:tcW w:w="3520" w:type="dxa"/>
            <w:vAlign w:val="bottom"/>
            <w:shd w:val="clear" w:color="auto" w:fill="CFF0FC"/>
          </w:tcPr>
          <w:p>
            <w:pPr>
              <w:jc w:val="center"/>
              <w:ind w:left="562"/>
              <w:spacing w:after="0" w:line="180" w:lineRule="exact"/>
              <w:rPr>
                <w:sz w:val="20"/>
                <w:szCs w:val="20"/>
                <w:color w:val="auto"/>
              </w:rPr>
            </w:pPr>
            <w:r>
              <w:rPr>
                <w:rFonts w:ascii="Times New Roman" w:cs="Times New Roman" w:eastAsia="Times New Roman" w:hAnsi="Times New Roman"/>
                <w:sz w:val="16"/>
                <w:szCs w:val="16"/>
                <w:color w:val="auto"/>
                <w:w w:val="96"/>
              </w:rPr>
              <w:t>18.1%</w:t>
            </w:r>
          </w:p>
        </w:tc>
        <w:tc>
          <w:tcPr>
            <w:tcW w:w="3000" w:type="dxa"/>
            <w:vAlign w:val="bottom"/>
            <w:shd w:val="clear" w:color="auto" w:fill="CFF0FC"/>
          </w:tcPr>
          <w:p>
            <w:pPr>
              <w:jc w:val="center"/>
              <w:ind w:left="122"/>
              <w:spacing w:after="0" w:line="180" w:lineRule="exact"/>
              <w:rPr>
                <w:sz w:val="20"/>
                <w:szCs w:val="20"/>
                <w:color w:val="auto"/>
              </w:rPr>
            </w:pPr>
            <w:r>
              <w:rPr>
                <w:rFonts w:ascii="Times New Roman" w:cs="Times New Roman" w:eastAsia="Times New Roman" w:hAnsi="Times New Roman"/>
                <w:sz w:val="16"/>
                <w:szCs w:val="16"/>
                <w:color w:val="auto"/>
                <w:w w:val="96"/>
              </w:rPr>
              <w:t>19.8%</w:t>
            </w: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400 bp increase in interest rates</w:t>
            </w:r>
          </w:p>
        </w:tc>
        <w:tc>
          <w:tcPr>
            <w:tcW w:w="3520" w:type="dxa"/>
            <w:vAlign w:val="bottom"/>
          </w:tcPr>
          <w:p>
            <w:pPr>
              <w:jc w:val="center"/>
              <w:ind w:left="562"/>
              <w:spacing w:after="0"/>
              <w:rPr>
                <w:sz w:val="20"/>
                <w:szCs w:val="20"/>
                <w:color w:val="auto"/>
              </w:rPr>
            </w:pPr>
            <w:r>
              <w:rPr>
                <w:rFonts w:ascii="Times New Roman" w:cs="Times New Roman" w:eastAsia="Times New Roman" w:hAnsi="Times New Roman"/>
                <w:sz w:val="16"/>
                <w:szCs w:val="16"/>
                <w:color w:val="auto"/>
                <w:w w:val="96"/>
              </w:rPr>
              <w:t>18.2%</w:t>
            </w:r>
          </w:p>
        </w:tc>
        <w:tc>
          <w:tcPr>
            <w:tcW w:w="30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6"/>
              </w:rPr>
              <w:t>20.0%</w:t>
            </w:r>
          </w:p>
        </w:tc>
      </w:tr>
    </w:tbl>
    <w:p>
      <w:pPr>
        <w:spacing w:after="0" w:line="144" w:lineRule="exact"/>
        <w:rPr>
          <w:sz w:val="20"/>
          <w:szCs w:val="20"/>
          <w:color w:val="auto"/>
        </w:rPr>
      </w:pPr>
    </w:p>
    <w:p>
      <w:pPr>
        <w:jc w:val="center"/>
        <w:ind w:right="60"/>
        <w:spacing w:after="0" w:line="243" w:lineRule="auto"/>
        <w:rPr>
          <w:sz w:val="20"/>
          <w:szCs w:val="20"/>
          <w:color w:val="auto"/>
        </w:rPr>
      </w:pPr>
      <w:r>
        <w:rPr>
          <w:rFonts w:ascii="Times New Roman" w:cs="Times New Roman" w:eastAsia="Times New Roman" w:hAnsi="Times New Roman"/>
          <w:sz w:val="16"/>
          <w:szCs w:val="16"/>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520700</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72" w:name="page73"/>
    <w:bookmarkEnd w:id="72"/>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78" w:lineRule="exact"/>
        <w:rPr>
          <w:sz w:val="20"/>
          <w:szCs w:val="20"/>
          <w:color w:val="auto"/>
        </w:rPr>
      </w:pPr>
    </w:p>
    <w:p>
      <w:pPr>
        <w:ind w:left="80" w:right="160" w:firstLine="432"/>
        <w:spacing w:after="0" w:line="238" w:lineRule="auto"/>
        <w:rPr>
          <w:sz w:val="20"/>
          <w:szCs w:val="20"/>
          <w:color w:val="auto"/>
        </w:rPr>
      </w:pPr>
      <w:r>
        <w:rPr>
          <w:rFonts w:ascii="Times New Roman" w:cs="Times New Roman" w:eastAsia="Times New Roman" w:hAnsi="Times New Roman"/>
          <w:sz w:val="16"/>
          <w:szCs w:val="16"/>
          <w:color w:val="auto"/>
        </w:rPr>
        <w:t xml:space="preserve">Market risk is the risk of loss from adverse changes in the market prices and interest rates. Our market risk arises primarily from interest rate risk inherent in our lending and deposit taking activities, as well as our portfolio of investment securities and fair value hedges. We do not currently have futures, forwards, or option contracts. As a result of the phase out of LIBOR, our interest rate swap derivatives and the associated loans that were indexed to LIBOR, have been replaced with one month CME Term SOFR. For further quantitative and qualitative disclosures about market risks in our portfolio, see </w:t>
      </w:r>
      <w:r>
        <w:rPr>
          <w:rFonts w:ascii="Times New Roman" w:cs="Times New Roman" w:eastAsia="Times New Roman" w:hAnsi="Times New Roman"/>
          <w:sz w:val="16"/>
          <w:szCs w:val="16"/>
          <w:i w:val="1"/>
          <w:iCs w:val="1"/>
          <w:color w:val="auto"/>
        </w:rPr>
        <w:t>Asset/Liability Management and Interest Rate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Sensitivity Management</w:t>
      </w:r>
      <w:r>
        <w:rPr>
          <w:rFonts w:ascii="Times New Roman" w:cs="Times New Roman" w:eastAsia="Times New Roman" w:hAnsi="Times New Roman"/>
          <w:sz w:val="16"/>
          <w:szCs w:val="16"/>
          <w:color w:val="auto"/>
        </w:rPr>
        <w:t>” included in Item 2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presented elsewhere in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report. This analysis should be read in conjunction with our Annual Report on Form 10-K for the year ended December 31, 2024. Our analysis of market risk and market-sensitive financial information contains forward-looking statements and is subject to the disclosure at the beginning of Part I regarding such forward-looking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78" w:lineRule="exact"/>
        <w:rPr>
          <w:sz w:val="20"/>
          <w:szCs w:val="20"/>
          <w:color w:val="auto"/>
        </w:rPr>
      </w:pPr>
    </w:p>
    <w:p>
      <w:pPr>
        <w:jc w:val="both"/>
        <w:ind w:left="80" w:firstLine="432"/>
        <w:spacing w:after="0" w:line="243" w:lineRule="auto"/>
        <w:rPr>
          <w:sz w:val="20"/>
          <w:szCs w:val="20"/>
          <w:color w:val="auto"/>
        </w:rPr>
      </w:pPr>
      <w:r>
        <w:rPr>
          <w:rFonts w:ascii="Times New Roman" w:cs="Times New Roman" w:eastAsia="Times New Roman" w:hAnsi="Times New Roman"/>
          <w:sz w:val="16"/>
          <w:szCs w:val="16"/>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55" w:lineRule="exact"/>
        <w:rPr>
          <w:sz w:val="20"/>
          <w:szCs w:val="20"/>
          <w:color w:val="auto"/>
        </w:rPr>
      </w:pPr>
    </w:p>
    <w:p>
      <w:pPr>
        <w:ind w:left="80" w:right="700" w:firstLine="432"/>
        <w:spacing w:after="0" w:line="259" w:lineRule="auto"/>
        <w:rPr>
          <w:sz w:val="20"/>
          <w:szCs w:val="20"/>
          <w:color w:val="auto"/>
        </w:rPr>
      </w:pPr>
      <w:r>
        <w:rPr>
          <w:rFonts w:ascii="Times New Roman" w:cs="Times New Roman" w:eastAsia="Times New Roman" w:hAnsi="Times New Roman"/>
          <w:sz w:val="16"/>
          <w:szCs w:val="16"/>
          <w:color w:val="auto"/>
        </w:rPr>
        <w:t>During the quarter ended June 30, 2025, there have been no changes in our internal controls over financial reporting that have materially affected or are reasonably likely to materially affect our internal controls over financial reporting.</w:t>
      </w: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534035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80"/>
          </w:cols>
          <w:pgMar w:left="580" w:top="1440" w:right="640" w:bottom="1440" w:gutter="0" w:footer="0" w:header="0"/>
        </w:sectPr>
      </w:pPr>
    </w:p>
    <w:bookmarkStart w:id="73" w:name="page74"/>
    <w:bookmarkEnd w:id="73"/>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78" w:lineRule="exact"/>
        <w:rPr>
          <w:sz w:val="20"/>
          <w:szCs w:val="20"/>
          <w:color w:val="auto"/>
        </w:rPr>
      </w:pPr>
    </w:p>
    <w:p>
      <w:pPr>
        <w:ind w:left="80" w:right="200" w:firstLine="468"/>
        <w:spacing w:after="0" w:line="289" w:lineRule="auto"/>
        <w:rPr>
          <w:sz w:val="20"/>
          <w:szCs w:val="20"/>
          <w:color w:val="auto"/>
        </w:rPr>
      </w:pPr>
      <w:r>
        <w:rPr>
          <w:rFonts w:ascii="Times New Roman" w:cs="Times New Roman" w:eastAsia="Times New Roman" w:hAnsi="Times New Roman"/>
          <w:sz w:val="14"/>
          <w:szCs w:val="14"/>
          <w:color w:val="auto"/>
        </w:rPr>
        <w:t>The Company and its subsidiaries are parties to various lawsuits and threatened lawsuits in the course of business. From time to time, such lawsuits and threatened lawsuits may include, but are not limited to, actions involving securities litigation, wage-hour and employment law claims, consumer claims, regulatory compliance claims, data privacy and cyber security claims, lender liability claims, fraud loss claims, bankruptcy -related claims and negligence claims, some of which may be styled as “class action” or representative cases. Some of these lawsuits may be similar in nature to other lawsuits pending against the Company’s competitors.</w:t>
      </w:r>
    </w:p>
    <w:p>
      <w:pPr>
        <w:spacing w:after="0" w:line="101" w:lineRule="exact"/>
        <w:rPr>
          <w:sz w:val="20"/>
          <w:szCs w:val="20"/>
          <w:color w:val="auto"/>
        </w:rPr>
      </w:pPr>
    </w:p>
    <w:p>
      <w:pPr>
        <w:ind w:left="80" w:firstLine="468"/>
        <w:spacing w:after="0" w:line="238" w:lineRule="auto"/>
        <w:rPr>
          <w:sz w:val="20"/>
          <w:szCs w:val="20"/>
          <w:color w:val="auto"/>
        </w:rPr>
      </w:pPr>
      <w:r>
        <w:rPr>
          <w:rFonts w:ascii="Times New Roman" w:cs="Times New Roman" w:eastAsia="Times New Roman" w:hAnsi="Times New Roman"/>
          <w:sz w:val="16"/>
          <w:szCs w:val="16"/>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results of operations, financial condition or cash flows.</w:t>
      </w:r>
    </w:p>
    <w:p>
      <w:pPr>
        <w:spacing w:after="0" w:line="134" w:lineRule="exact"/>
        <w:rPr>
          <w:sz w:val="20"/>
          <w:szCs w:val="20"/>
          <w:color w:val="auto"/>
        </w:rPr>
      </w:pPr>
    </w:p>
    <w:p>
      <w:pPr>
        <w:ind w:left="80" w:right="20" w:firstLine="468"/>
        <w:spacing w:after="0" w:line="243" w:lineRule="auto"/>
        <w:rPr>
          <w:sz w:val="20"/>
          <w:szCs w:val="20"/>
          <w:color w:val="auto"/>
        </w:rPr>
      </w:pPr>
      <w:r>
        <w:rPr>
          <w:rFonts w:ascii="Times New Roman" w:cs="Times New Roman" w:eastAsia="Times New Roman" w:hAnsi="Times New Roman"/>
          <w:sz w:val="16"/>
          <w:szCs w:val="16"/>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31" w:lineRule="exact"/>
        <w:rPr>
          <w:sz w:val="20"/>
          <w:szCs w:val="20"/>
          <w:color w:val="auto"/>
        </w:rPr>
      </w:pPr>
    </w:p>
    <w:p>
      <w:pPr>
        <w:ind w:left="80" w:right="200" w:firstLine="468"/>
        <w:spacing w:after="0" w:line="243" w:lineRule="auto"/>
        <w:rPr>
          <w:sz w:val="20"/>
          <w:szCs w:val="20"/>
          <w:color w:val="auto"/>
        </w:rPr>
      </w:pPr>
      <w:r>
        <w:rPr>
          <w:rFonts w:ascii="Times New Roman" w:cs="Times New Roman" w:eastAsia="Times New Roman" w:hAnsi="Times New Roman"/>
          <w:sz w:val="16"/>
          <w:szCs w:val="16"/>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or regulatory matters currently pending or threatened against the Company could have a material adverse effect on our results of operations, financial condition and/or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78" w:lineRule="exact"/>
        <w:rPr>
          <w:sz w:val="20"/>
          <w:szCs w:val="20"/>
          <w:color w:val="auto"/>
        </w:rPr>
      </w:pPr>
    </w:p>
    <w:p>
      <w:pPr>
        <w:ind w:left="80" w:right="120" w:firstLine="432"/>
        <w:spacing w:after="0" w:line="289" w:lineRule="auto"/>
        <w:rPr>
          <w:sz w:val="20"/>
          <w:szCs w:val="20"/>
          <w:color w:val="auto"/>
        </w:rPr>
      </w:pPr>
      <w:r>
        <w:rPr>
          <w:rFonts w:ascii="Times New Roman" w:cs="Times New Roman" w:eastAsia="Times New Roman" w:hAnsi="Times New Roman"/>
          <w:sz w:val="14"/>
          <w:szCs w:val="14"/>
          <w:color w:val="auto"/>
        </w:rPr>
        <w:t>There have been no material changes to the risk factors as previously disclosed in Item 1A. to Part I of our Annual Report on Form 10-K for the year ended December 31, 2024. The materiality of any risks and uncertainties identified in our Forward Looking Statements contained in this report together with those previously disclosed in the Form 10-K or those that are presently unforeseen could result in significant adverse effects on our financial condition, results of operations and/or cash flows. See Item 2.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in this Quarterly Report on Form 10-Q.</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78" w:lineRule="exact"/>
        <w:rPr>
          <w:sz w:val="20"/>
          <w:szCs w:val="20"/>
          <w:color w:val="auto"/>
        </w:rPr>
      </w:pPr>
    </w:p>
    <w:p>
      <w:pPr>
        <w:ind w:left="80" w:right="120" w:firstLine="432"/>
        <w:spacing w:after="0" w:line="237" w:lineRule="auto"/>
        <w:rPr>
          <w:sz w:val="20"/>
          <w:szCs w:val="20"/>
          <w:color w:val="auto"/>
        </w:rPr>
      </w:pPr>
      <w:r>
        <w:rPr>
          <w:rFonts w:ascii="Times New Roman" w:cs="Times New Roman" w:eastAsia="Times New Roman" w:hAnsi="Times New Roman"/>
          <w:sz w:val="16"/>
          <w:szCs w:val="16"/>
          <w:color w:val="auto"/>
        </w:rPr>
        <w:t>On November 20, 2024, our Board of Directors approved a program to repurchase up to 10,000,000 shares (the "Maximum Amount") of CVB common stock including by means of one or more Rule 10b5-1 plans or other appropriate buy-back arrangements, including open market purchases and private transactions, at times and at prices considered appropriate by us, depending upon prevailing market conditions and other corporate and legal considerations ("2024 Repurchase Program"). This 2024 Repurchase Program replaces in its entirety the Company's previous 2022 share repurchase program under which 4,300,059 shares remained available for repurchase has now been terminated. The 2024 Repurchase Program terminates on the earlier of the repurchase of the Maximum Amount or five years from the date of authorization. In the second quarter of 2025, we repurchased 1,281,501 shares of common stock under this program, at an average price of $17.30, totaling $22.2 million. For the six months ended June 30, 2025 total shares repurchased was 2,063,564 shares at an average price of $18.15, totaling $37.5 million. As of June 30, 2025, an aggregate of 7,936,436 shares remained available for repurchase under our 2024 Repurchase Program. Additionally, there were 2,260 shares repurchased during the second quarter of 2025, pursuant to net</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522605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19" w:right="680" w:bottom="1440" w:gutter="0" w:footer="0" w:header="0"/>
        </w:sectPr>
      </w:pPr>
    </w:p>
    <w:bookmarkStart w:id="74" w:name="page75"/>
    <w:bookmarkEnd w:id="74"/>
    <w:p>
      <w:pPr>
        <w:ind w:left="80"/>
        <w:spacing w:after="0"/>
        <w:rPr>
          <w:sz w:val="20"/>
          <w:szCs w:val="20"/>
          <w:color w:val="auto"/>
        </w:rPr>
      </w:pPr>
      <w:r>
        <w:rPr>
          <w:rFonts w:ascii="Times New Roman" w:cs="Times New Roman" w:eastAsia="Times New Roman" w:hAnsi="Times New Roman"/>
          <w:sz w:val="16"/>
          <w:szCs w:val="16"/>
          <w:color w:val="auto"/>
        </w:rPr>
        <w:t>settlement by employees in satisfaction of income tax withholding obligations incurred through the vesting of Company stock awards.</w:t>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Maximum Number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Purchased as Part of</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Shares Available for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Publicly Announced Plans</w:t>
            </w:r>
          </w:p>
        </w:tc>
        <w:tc>
          <w:tcPr>
            <w:tcW w:w="280" w:type="dxa"/>
            <w:vAlign w:val="bottom"/>
          </w:tcPr>
          <w:p>
            <w:pPr>
              <w:spacing w:after="0"/>
              <w:rPr>
                <w:sz w:val="5"/>
                <w:szCs w:val="5"/>
                <w:color w:val="auto"/>
              </w:rPr>
            </w:pPr>
          </w:p>
        </w:tc>
        <w:tc>
          <w:tcPr>
            <w:tcW w:w="13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Repurchase Under the</w:t>
            </w:r>
          </w:p>
        </w:tc>
        <w:tc>
          <w:tcPr>
            <w:tcW w:w="0" w:type="dxa"/>
            <w:vAlign w:val="bottom"/>
          </w:tcPr>
          <w:p>
            <w:pPr>
              <w:spacing w:after="0"/>
              <w:rPr>
                <w:sz w:val="1"/>
                <w:szCs w:val="1"/>
                <w:color w:val="auto"/>
              </w:rPr>
            </w:pPr>
          </w:p>
        </w:tc>
      </w:tr>
      <w:tr>
        <w:trPr>
          <w:trHeight w:val="159"/>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4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6"/>
              </w:rPr>
              <w:t>Shares Purchased</w:t>
            </w:r>
          </w:p>
        </w:tc>
        <w:tc>
          <w:tcPr>
            <w:tcW w:w="280" w:type="dxa"/>
            <w:vAlign w:val="bottom"/>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220" w:type="dxa"/>
            <w:vAlign w:val="bottom"/>
            <w:gridSpan w:val="2"/>
            <w:vMerge w:val="continue"/>
          </w:tcPr>
          <w:p>
            <w:pPr>
              <w:spacing w:after="0"/>
              <w:rPr>
                <w:sz w:val="6"/>
                <w:szCs w:val="6"/>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(1)</w:t>
            </w:r>
          </w:p>
        </w:tc>
        <w:tc>
          <w:tcPr>
            <w:tcW w:w="280" w:type="dxa"/>
            <w:vAlign w:val="bottom"/>
          </w:tcPr>
          <w:p>
            <w:pPr>
              <w:spacing w:after="0"/>
              <w:rPr>
                <w:sz w:val="6"/>
                <w:szCs w:val="6"/>
                <w:color w:val="auto"/>
              </w:rPr>
            </w:pPr>
          </w:p>
        </w:tc>
        <w:tc>
          <w:tcPr>
            <w:tcW w:w="1360" w:type="dxa"/>
            <w:vAlign w:val="bottom"/>
            <w:gridSpan w:val="3"/>
          </w:tcPr>
          <w:p>
            <w:pPr>
              <w:jc w:val="right"/>
              <w:ind w:right="300"/>
              <w:spacing w:after="0" w:line="72" w:lineRule="exact"/>
              <w:rPr>
                <w:sz w:val="20"/>
                <w:szCs w:val="20"/>
                <w:color w:val="auto"/>
              </w:rPr>
            </w:pPr>
            <w:r>
              <w:rPr>
                <w:rFonts w:ascii="Times New Roman" w:cs="Times New Roman" w:eastAsia="Times New Roman" w:hAnsi="Times New Roman"/>
                <w:sz w:val="8"/>
                <w:szCs w:val="8"/>
                <w:b w:val="1"/>
                <w:bCs w:val="1"/>
                <w:color w:val="auto"/>
              </w:rPr>
              <w:t>Paid Per Share</w:t>
            </w:r>
          </w:p>
        </w:tc>
        <w:tc>
          <w:tcPr>
            <w:tcW w:w="19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or Programs</w:t>
            </w:r>
          </w:p>
        </w:tc>
        <w:tc>
          <w:tcPr>
            <w:tcW w:w="280" w:type="dxa"/>
            <w:vAlign w:val="bottom"/>
          </w:tcPr>
          <w:p>
            <w:pPr>
              <w:spacing w:after="0"/>
              <w:rPr>
                <w:sz w:val="6"/>
                <w:szCs w:val="6"/>
                <w:color w:val="auto"/>
              </w:rPr>
            </w:pPr>
          </w:p>
        </w:tc>
        <w:tc>
          <w:tcPr>
            <w:tcW w:w="1300" w:type="dxa"/>
            <w:vAlign w:val="bottom"/>
            <w:gridSpan w:val="3"/>
          </w:tcPr>
          <w:p>
            <w:pPr>
              <w:jc w:val="right"/>
              <w:ind w:right="260"/>
              <w:spacing w:after="0" w:line="72" w:lineRule="exact"/>
              <w:rPr>
                <w:sz w:val="20"/>
                <w:szCs w:val="20"/>
                <w:color w:val="auto"/>
              </w:rPr>
            </w:pPr>
            <w:r>
              <w:rPr>
                <w:rFonts w:ascii="Times New Roman" w:cs="Times New Roman" w:eastAsia="Times New Roman" w:hAnsi="Times New Roman"/>
                <w:sz w:val="8"/>
                <w:szCs w:val="8"/>
                <w:b w:val="1"/>
                <w:bCs w:val="1"/>
                <w:color w:val="auto"/>
              </w:rPr>
              <w:t>Paid Per Share</w:t>
            </w:r>
          </w:p>
        </w:tc>
        <w:tc>
          <w:tcPr>
            <w:tcW w:w="1880" w:type="dxa"/>
            <w:vAlign w:val="bottom"/>
            <w:gridSpan w:val="2"/>
          </w:tcPr>
          <w:p>
            <w:pPr>
              <w:jc w:val="center"/>
              <w:ind w:right="80"/>
              <w:spacing w:after="0" w:line="72" w:lineRule="exact"/>
              <w:rPr>
                <w:sz w:val="20"/>
                <w:szCs w:val="20"/>
                <w:color w:val="auto"/>
              </w:rPr>
            </w:pPr>
            <w:r>
              <w:rPr>
                <w:rFonts w:ascii="Times New Roman" w:cs="Times New Roman" w:eastAsia="Times New Roman" w:hAnsi="Times New Roman"/>
                <w:sz w:val="8"/>
                <w:szCs w:val="8"/>
                <w:b w:val="1"/>
                <w:bCs w:val="1"/>
                <w:color w:val="auto"/>
              </w:rPr>
              <w:t>Plans or Programs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April 1 - 30, 2025</w:t>
            </w: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907</w:t>
            </w:r>
          </w:p>
        </w:tc>
        <w:tc>
          <w:tcPr>
            <w:tcW w:w="700" w:type="dxa"/>
            <w:vAlign w:val="bottom"/>
            <w:gridSpan w:val="2"/>
            <w:shd w:val="clear" w:color="auto" w:fill="CFF0FC"/>
          </w:tcPr>
          <w:p>
            <w:pPr>
              <w:jc w:val="right"/>
              <w:ind w:right="2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17.48</w:t>
            </w:r>
          </w:p>
        </w:tc>
        <w:tc>
          <w:tcPr>
            <w:tcW w:w="1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1,281,501</w:t>
            </w:r>
          </w:p>
        </w:tc>
        <w:tc>
          <w:tcPr>
            <w:tcW w:w="700" w:type="dxa"/>
            <w:vAlign w:val="bottom"/>
            <w:gridSpan w:val="2"/>
            <w:shd w:val="clear" w:color="auto" w:fill="CFF0FC"/>
          </w:tcPr>
          <w:p>
            <w:pPr>
              <w:jc w:val="right"/>
              <w:ind w:right="2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17.30</w:t>
            </w:r>
          </w:p>
        </w:tc>
        <w:tc>
          <w:tcPr>
            <w:tcW w:w="1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7,936,436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May 1 - 31, 2025</w:t>
            </w: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651</w:t>
            </w:r>
          </w:p>
        </w:tc>
        <w:tc>
          <w:tcPr>
            <w:tcW w:w="700" w:type="dxa"/>
            <w:vAlign w:val="bottom"/>
            <w:gridSpan w:val="2"/>
          </w:tcPr>
          <w:p>
            <w:pPr>
              <w:jc w:val="right"/>
              <w:ind w:right="2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19.42</w:t>
            </w:r>
          </w:p>
        </w:tc>
        <w:tc>
          <w:tcPr>
            <w:tcW w:w="1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7,936,436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June 1 - 30, 2025</w:t>
            </w: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702</w:t>
            </w:r>
          </w:p>
        </w:tc>
        <w:tc>
          <w:tcPr>
            <w:tcW w:w="700" w:type="dxa"/>
            <w:vAlign w:val="bottom"/>
            <w:gridSpan w:val="2"/>
            <w:shd w:val="clear" w:color="auto" w:fill="CFF0FC"/>
          </w:tcPr>
          <w:p>
            <w:pPr>
              <w:jc w:val="right"/>
              <w:ind w:right="2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18.73</w:t>
            </w:r>
          </w:p>
        </w:tc>
        <w:tc>
          <w:tcPr>
            <w:tcW w:w="1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FF0FC"/>
          </w:tcPr>
          <w:p>
            <w:pPr>
              <w:jc w:val="right"/>
              <w:ind w:right="2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7,936,436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70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18.43</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1,281,501</w:t>
            </w:r>
          </w:p>
        </w:tc>
        <w:tc>
          <w:tcPr>
            <w:tcW w:w="70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17.30</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7,936,436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(1)Shares repurchased pursuant to net settlement by employees in satisfaction of income tax withholding obligations incurred through the vesting of Company stock awards.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None</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522605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21" w:right="68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5"/>
        </w:trPr>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 6. EXHIBITS</w:t>
            </w:r>
          </w:p>
        </w:tc>
        <w:tc>
          <w:tcPr>
            <w:tcW w:w="61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4"/>
        </w:trPr>
        <w:tc>
          <w:tcPr>
            <w:tcW w:w="8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Exhibit No.</w:t>
            </w:r>
          </w:p>
        </w:tc>
        <w:tc>
          <w:tcPr>
            <w:tcW w:w="220" w:type="dxa"/>
            <w:vAlign w:val="bottom"/>
          </w:tcPr>
          <w:p>
            <w:pPr>
              <w:spacing w:after="0"/>
              <w:rPr>
                <w:sz w:val="24"/>
                <w:szCs w:val="24"/>
                <w:color w:val="auto"/>
              </w:rPr>
            </w:pPr>
          </w:p>
        </w:tc>
        <w:tc>
          <w:tcPr>
            <w:tcW w:w="9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0" w:type="dxa"/>
            <w:vAlign w:val="bottom"/>
          </w:tcPr>
          <w:p>
            <w:pPr>
              <w:spacing w:after="0"/>
              <w:rPr>
                <w:sz w:val="1"/>
                <w:szCs w:val="1"/>
                <w:color w:val="auto"/>
              </w:rPr>
            </w:pPr>
          </w:p>
        </w:tc>
      </w:tr>
      <w:tr>
        <w:trPr>
          <w:trHeight w:val="232"/>
        </w:trPr>
        <w:tc>
          <w:tcPr>
            <w:tcW w:w="12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2"/>
              </w:rPr>
              <w:t>31.1</w:t>
            </w:r>
          </w:p>
        </w:tc>
        <w:tc>
          <w:tcPr>
            <w:tcW w:w="220" w:type="dxa"/>
            <w:vAlign w:val="bottom"/>
          </w:tcPr>
          <w:p>
            <w:pPr>
              <w:spacing w:after="0"/>
              <w:rPr>
                <w:sz w:val="20"/>
                <w:szCs w:val="20"/>
                <w:color w:val="auto"/>
              </w:rPr>
            </w:pPr>
          </w:p>
        </w:tc>
        <w:tc>
          <w:tcPr>
            <w:tcW w:w="9200" w:type="dxa"/>
            <w:vAlign w:val="bottom"/>
            <w:gridSpan w:val="2"/>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Executive Officer pursuant to Section 302 of the Sarbanes-Oxley Act of 2002</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2"/>
              </w:rPr>
              <w:t>31.2</w:t>
            </w:r>
          </w:p>
        </w:tc>
        <w:tc>
          <w:tcPr>
            <w:tcW w:w="220" w:type="dxa"/>
            <w:vAlign w:val="bottom"/>
          </w:tcPr>
          <w:p>
            <w:pPr>
              <w:spacing w:after="0" w:line="20" w:lineRule="exact"/>
              <w:rPr>
                <w:sz w:val="1"/>
                <w:szCs w:val="1"/>
                <w:color w:val="auto"/>
              </w:rPr>
            </w:pPr>
          </w:p>
        </w:tc>
        <w:tc>
          <w:tcPr>
            <w:tcW w:w="618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200" w:type="dxa"/>
            <w:vAlign w:val="bottom"/>
            <w:gridSpan w:val="2"/>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Financial Officer pursuant to Section 302 of the Sarbanes-Oxley Act of 2002</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160"/>
        </w:trPr>
        <w:tc>
          <w:tcPr>
            <w:tcW w:w="1220" w:type="dxa"/>
            <w:vAlign w:val="bottom"/>
            <w:gridSpan w:val="2"/>
          </w:tcPr>
          <w:p>
            <w:pPr>
              <w:jc w:val="center"/>
              <w:ind w:left="2"/>
              <w:spacing w:after="0" w:line="160" w:lineRule="exact"/>
              <w:rPr>
                <w:sz w:val="20"/>
                <w:szCs w:val="20"/>
                <w:color w:val="auto"/>
              </w:rPr>
            </w:pPr>
            <w:r>
              <w:rPr>
                <w:rFonts w:ascii="Times New Roman" w:cs="Times New Roman" w:eastAsia="Times New Roman" w:hAnsi="Times New Roman"/>
                <w:sz w:val="16"/>
                <w:szCs w:val="16"/>
                <w:color w:val="auto"/>
                <w:w w:val="92"/>
              </w:rPr>
              <w:t>32.1</w:t>
            </w:r>
          </w:p>
        </w:tc>
        <w:tc>
          <w:tcPr>
            <w:tcW w:w="220" w:type="dxa"/>
            <w:vAlign w:val="bottom"/>
          </w:tcPr>
          <w:p>
            <w:pPr>
              <w:spacing w:after="0"/>
              <w:rPr>
                <w:sz w:val="13"/>
                <w:szCs w:val="13"/>
                <w:color w:val="auto"/>
              </w:rPr>
            </w:pPr>
          </w:p>
        </w:tc>
        <w:tc>
          <w:tcPr>
            <w:tcW w:w="618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Certification of Chief Executive Officer pursuant to Section 906 of the Sarbanes-Oxley Act of 2002</w:t>
              </w:r>
            </w:hyperlink>
          </w:p>
        </w:tc>
        <w:tc>
          <w:tcPr>
            <w:tcW w:w="3020" w:type="dxa"/>
            <w:vAlign w:val="bottom"/>
          </w:tcPr>
          <w:p>
            <w:pPr>
              <w:jc w:val="right"/>
              <w:ind w:right="2742"/>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1220" w:type="dxa"/>
            <w:vAlign w:val="bottom"/>
            <w:gridSpan w:val="2"/>
          </w:tcPr>
          <w:p>
            <w:pPr>
              <w:jc w:val="center"/>
              <w:ind w:left="2"/>
              <w:spacing w:after="0" w:line="160" w:lineRule="exact"/>
              <w:rPr>
                <w:sz w:val="20"/>
                <w:szCs w:val="20"/>
                <w:color w:val="auto"/>
              </w:rPr>
            </w:pPr>
            <w:r>
              <w:rPr>
                <w:rFonts w:ascii="Times New Roman" w:cs="Times New Roman" w:eastAsia="Times New Roman" w:hAnsi="Times New Roman"/>
                <w:sz w:val="16"/>
                <w:szCs w:val="16"/>
                <w:color w:val="auto"/>
                <w:w w:val="92"/>
              </w:rPr>
              <w:t>32.2</w:t>
            </w:r>
          </w:p>
        </w:tc>
        <w:tc>
          <w:tcPr>
            <w:tcW w:w="220" w:type="dxa"/>
            <w:vAlign w:val="bottom"/>
          </w:tcPr>
          <w:p>
            <w:pPr>
              <w:spacing w:after="0"/>
              <w:rPr>
                <w:sz w:val="13"/>
                <w:szCs w:val="13"/>
                <w:color w:val="auto"/>
              </w:rPr>
            </w:pPr>
          </w:p>
        </w:tc>
        <w:tc>
          <w:tcPr>
            <w:tcW w:w="9200" w:type="dxa"/>
            <w:vAlign w:val="bottom"/>
            <w:gridSpan w:val="2"/>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Financial Officer pursuant to Section 906 of the Sarbanes-Oxley Act of 2002</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w w:val="96"/>
              </w:rPr>
              <w:t>101.INS</w:t>
            </w:r>
          </w:p>
        </w:tc>
        <w:tc>
          <w:tcPr>
            <w:tcW w:w="618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20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the Inline XBRL document.</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101.SCH</w:t>
            </w:r>
          </w:p>
        </w:tc>
        <w:tc>
          <w:tcPr>
            <w:tcW w:w="9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bl>
    <w:p>
      <w:pPr>
        <w:ind w:left="1440" w:hanging="910"/>
        <w:spacing w:after="0"/>
        <w:tabs>
          <w:tab w:leader="none" w:pos="144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Quarterly Report on Form 10-Q for the quarter ended June 30, 2025, has been formatted in Inline XBRL.</w:t>
      </w:r>
    </w:p>
    <w:p>
      <w:pPr>
        <w:spacing w:after="0" w:line="254"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Filed herewith</w:t>
      </w:r>
    </w:p>
    <w:p>
      <w:pPr>
        <w:spacing w:after="0" w:line="12" w:lineRule="exact"/>
        <w:rPr>
          <w:rFonts w:ascii="Times New Roman" w:cs="Times New Roman" w:eastAsia="Times New Roman" w:hAnsi="Times New Roman"/>
          <w:sz w:val="16"/>
          <w:szCs w:val="16"/>
          <w:color w:val="auto"/>
        </w:rPr>
      </w:pPr>
    </w:p>
    <w:p>
      <w:pPr>
        <w:ind w:left="1640" w:hanging="1260"/>
        <w:spacing w:after="0" w:line="224" w:lineRule="auto"/>
        <w:tabs>
          <w:tab w:leader="none" w:pos="1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-278130</wp:posOffset>
            </wp:positionV>
            <wp:extent cx="224091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40915" cy="76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534035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19" w:right="68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358" w:lineRule="exact"/>
        <w:rPr>
          <w:sz w:val="20"/>
          <w:szCs w:val="20"/>
          <w:color w:val="auto"/>
        </w:rPr>
      </w:pPr>
    </w:p>
    <w:p>
      <w:pPr>
        <w:ind w:left="80" w:firstLine="432"/>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3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CVB FINANCIAL CORP.</w:t>
      </w:r>
    </w:p>
    <w:p>
      <w:pPr>
        <w:spacing w:after="0" w:line="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(Registrant)</w:t>
      </w:r>
    </w:p>
    <w:p>
      <w:pPr>
        <w:ind w:left="80"/>
        <w:spacing w:after="0"/>
        <w:rPr>
          <w:sz w:val="20"/>
          <w:szCs w:val="20"/>
          <w:color w:val="auto"/>
        </w:rPr>
      </w:pPr>
      <w:r>
        <w:rPr>
          <w:rFonts w:ascii="Times New Roman" w:cs="Times New Roman" w:eastAsia="Times New Roman" w:hAnsi="Times New Roman"/>
          <w:sz w:val="16"/>
          <w:szCs w:val="16"/>
          <w:color w:val="auto"/>
        </w:rPr>
        <w:t>Date: August 8, 2025</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/s/ E. Allen Nicholson</w:t>
      </w:r>
    </w:p>
    <w:p>
      <w:pPr>
        <w:spacing w:after="0" w:line="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E. Allen Nicholson</w:t>
      </w:r>
    </w:p>
    <w:p>
      <w:pPr>
        <w:ind w:left="5540"/>
        <w:spacing w:after="0" w:line="234" w:lineRule="auto"/>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534035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80"/>
          </w:cols>
          <w:pgMar w:left="580" w:top="1419" w:right="10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David A. Brager, certify that:</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1.I have reviewed this quarterly report on Form 10-Q of CVB Financial Corp.;</w:t>
      </w:r>
    </w:p>
    <w:p>
      <w:pPr>
        <w:spacing w:after="0" w:line="188" w:lineRule="exact"/>
        <w:rPr>
          <w:sz w:val="20"/>
          <w:szCs w:val="20"/>
          <w:color w:val="auto"/>
        </w:rPr>
      </w:pPr>
    </w:p>
    <w:p>
      <w:pPr>
        <w:ind w:left="360" w:right="36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left="360" w:right="44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sz w:val="20"/>
          <w:szCs w:val="20"/>
          <w:color w:val="auto"/>
        </w:rPr>
      </w:pPr>
    </w:p>
    <w:p>
      <w:pPr>
        <w:ind w:left="36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sz w:val="20"/>
          <w:szCs w:val="20"/>
          <w:color w:val="auto"/>
        </w:rPr>
      </w:pPr>
    </w:p>
    <w:p>
      <w:pPr>
        <w:ind w:left="1060" w:right="12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1060" w:right="10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left="1060" w:right="16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jc w:val="both"/>
        <w:ind w:left="1060" w:right="14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left="360" w:right="26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left="1060" w:right="8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sz w:val="20"/>
          <w:szCs w:val="20"/>
          <w:color w:val="auto"/>
        </w:rPr>
      </w:pPr>
    </w:p>
    <w:p>
      <w:pPr>
        <w:ind w:left="1060" w:right="14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August 8, 2025</w:t>
            </w:r>
          </w:p>
        </w:tc>
        <w:tc>
          <w:tcPr>
            <w:tcW w:w="250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By:</w:t>
            </w: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 David A. Brager</w:t>
            </w:r>
          </w:p>
        </w:tc>
      </w:tr>
      <w:tr>
        <w:trPr>
          <w:trHeight w:val="180"/>
        </w:trPr>
        <w:tc>
          <w:tcPr>
            <w:tcW w:w="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3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David A. Brager</w:t>
            </w:r>
          </w:p>
        </w:tc>
      </w:tr>
      <w:tr>
        <w:trPr>
          <w:trHeight w:val="203"/>
        </w:trPr>
        <w:tc>
          <w:tcPr>
            <w:tcW w:w="4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034"/>
        </w:trPr>
        <w:tc>
          <w:tcPr>
            <w:tcW w:w="480" w:type="dxa"/>
            <w:vAlign w:val="bottom"/>
            <w:tcBorders>
              <w:bottom w:val="single" w:sz="8" w:color="EEEEEE"/>
            </w:tcBorders>
          </w:tcPr>
          <w:p>
            <w:pPr>
              <w:spacing w:after="0"/>
              <w:rPr>
                <w:sz w:val="24"/>
                <w:szCs w:val="24"/>
                <w:color w:val="auto"/>
              </w:rPr>
            </w:pPr>
          </w:p>
        </w:tc>
        <w:tc>
          <w:tcPr>
            <w:tcW w:w="324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4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59" w:right="6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 Allen Nicholson, certify that:</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1.I have reviewed this quarterly report on Form 10-Q of CVB Financial Corp.;</w:t>
      </w:r>
    </w:p>
    <w:p>
      <w:pPr>
        <w:spacing w:after="0" w:line="188" w:lineRule="exact"/>
        <w:rPr>
          <w:sz w:val="20"/>
          <w:szCs w:val="20"/>
          <w:color w:val="auto"/>
        </w:rPr>
      </w:pPr>
    </w:p>
    <w:p>
      <w:pPr>
        <w:ind w:left="360" w:right="36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left="360" w:right="44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sz w:val="20"/>
          <w:szCs w:val="20"/>
          <w:color w:val="auto"/>
        </w:rPr>
      </w:pPr>
    </w:p>
    <w:p>
      <w:pPr>
        <w:ind w:left="36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sz w:val="20"/>
          <w:szCs w:val="20"/>
          <w:color w:val="auto"/>
        </w:rPr>
      </w:pPr>
    </w:p>
    <w:p>
      <w:pPr>
        <w:ind w:left="1060" w:right="12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1060" w:right="10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left="1060" w:right="16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jc w:val="both"/>
        <w:ind w:left="1060" w:right="14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left="360" w:right="26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sz w:val="20"/>
          <w:szCs w:val="20"/>
          <w:color w:val="auto"/>
        </w:rPr>
      </w:pPr>
    </w:p>
    <w:p>
      <w:pPr>
        <w:ind w:left="1060" w:right="8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sz w:val="20"/>
          <w:szCs w:val="20"/>
          <w:color w:val="auto"/>
        </w:rPr>
      </w:pPr>
    </w:p>
    <w:p>
      <w:pPr>
        <w:ind w:left="1060" w:right="14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August 8, 2025</w:t>
            </w:r>
          </w:p>
        </w:tc>
        <w:tc>
          <w:tcPr>
            <w:tcW w:w="250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By:</w:t>
            </w: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 E. Allen Nicholson</w:t>
            </w:r>
          </w:p>
        </w:tc>
      </w:tr>
      <w:tr>
        <w:trPr>
          <w:trHeight w:val="180"/>
        </w:trPr>
        <w:tc>
          <w:tcPr>
            <w:tcW w:w="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3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E. Allen Nicholson</w:t>
            </w:r>
          </w:p>
        </w:tc>
      </w:tr>
      <w:tr>
        <w:trPr>
          <w:trHeight w:val="203"/>
        </w:trPr>
        <w:tc>
          <w:tcPr>
            <w:tcW w:w="4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034"/>
        </w:trPr>
        <w:tc>
          <w:tcPr>
            <w:tcW w:w="480" w:type="dxa"/>
            <w:vAlign w:val="bottom"/>
            <w:tcBorders>
              <w:bottom w:val="single" w:sz="8" w:color="EEEEEE"/>
            </w:tcBorders>
          </w:tcPr>
          <w:p>
            <w:pPr>
              <w:spacing w:after="0"/>
              <w:rPr>
                <w:sz w:val="24"/>
                <w:szCs w:val="24"/>
                <w:color w:val="auto"/>
              </w:rPr>
            </w:pPr>
          </w:p>
        </w:tc>
        <w:tc>
          <w:tcPr>
            <w:tcW w:w="324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4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59" w:right="6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234" w:lineRule="auto"/>
        <w:rPr>
          <w:sz w:val="20"/>
          <w:szCs w:val="20"/>
          <w:color w:val="auto"/>
        </w:rPr>
      </w:pPr>
      <w:r>
        <w:rPr>
          <w:rFonts w:ascii="Times New Roman" w:cs="Times New Roman" w:eastAsia="Times New Roman" w:hAnsi="Times New Roman"/>
          <w:sz w:val="16"/>
          <w:szCs w:val="16"/>
          <w:color w:val="auto"/>
        </w:rPr>
        <w:t>AS ADOPTED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158" w:lineRule="exact"/>
        <w:rPr>
          <w:sz w:val="20"/>
          <w:szCs w:val="20"/>
          <w:color w:val="auto"/>
        </w:rPr>
      </w:pPr>
    </w:p>
    <w:p>
      <w:pPr>
        <w:ind w:right="180" w:firstLine="348"/>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CVB Financial Corp. (the “Company”) on Form 10-Q for the period ended June 30, 2025, as filed with the Securities and Exchange Commission on the date hereof (the “Report”), I, David A. Brager, Chief Executive Officer of the Company, certify, pursuant to 18 U.S.C. § 1350, as adopted pursuant to § 906 of the Sarbanes-Oxley Act of 2002, to the best of my knowledge that:</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August 8, 2025</w:t>
            </w:r>
          </w:p>
        </w:tc>
        <w:tc>
          <w:tcPr>
            <w:tcW w:w="250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By:</w:t>
            </w: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 David A. Brager</w:t>
            </w:r>
          </w:p>
        </w:tc>
      </w:tr>
      <w:tr>
        <w:trPr>
          <w:trHeight w:val="180"/>
        </w:trPr>
        <w:tc>
          <w:tcPr>
            <w:tcW w:w="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3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David A. Brager</w:t>
            </w:r>
          </w:p>
        </w:tc>
      </w:tr>
      <w:tr>
        <w:trPr>
          <w:trHeight w:val="203"/>
        </w:trPr>
        <w:tc>
          <w:tcPr>
            <w:tcW w:w="4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034"/>
        </w:trPr>
        <w:tc>
          <w:tcPr>
            <w:tcW w:w="480" w:type="dxa"/>
            <w:vAlign w:val="bottom"/>
            <w:tcBorders>
              <w:bottom w:val="single" w:sz="8" w:color="EEEEEE"/>
            </w:tcBorders>
          </w:tcPr>
          <w:p>
            <w:pPr>
              <w:spacing w:after="0"/>
              <w:rPr>
                <w:sz w:val="24"/>
                <w:szCs w:val="24"/>
                <w:color w:val="auto"/>
              </w:rPr>
            </w:pPr>
          </w:p>
        </w:tc>
        <w:tc>
          <w:tcPr>
            <w:tcW w:w="324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4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234" w:lineRule="auto"/>
        <w:rPr>
          <w:sz w:val="20"/>
          <w:szCs w:val="20"/>
          <w:color w:val="auto"/>
        </w:rPr>
      </w:pPr>
      <w:r>
        <w:rPr>
          <w:rFonts w:ascii="Times New Roman" w:cs="Times New Roman" w:eastAsia="Times New Roman" w:hAnsi="Times New Roman"/>
          <w:sz w:val="16"/>
          <w:szCs w:val="16"/>
          <w:color w:val="auto"/>
        </w:rPr>
        <w:t>AS ADOPTED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158" w:lineRule="exact"/>
        <w:rPr>
          <w:sz w:val="20"/>
          <w:szCs w:val="20"/>
          <w:color w:val="auto"/>
        </w:rPr>
      </w:pPr>
    </w:p>
    <w:p>
      <w:pPr>
        <w:jc w:val="both"/>
        <w:ind w:right="180" w:firstLine="348"/>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CVB Financial Corp. (the “Company”) on Form 10 -Q for the period ended June 30, 2025,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August 8, 2025</w:t>
            </w:r>
          </w:p>
        </w:tc>
        <w:tc>
          <w:tcPr>
            <w:tcW w:w="250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By:</w:t>
            </w: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 E. Allen Nicholson</w:t>
            </w:r>
          </w:p>
        </w:tc>
      </w:tr>
      <w:tr>
        <w:trPr>
          <w:trHeight w:val="180"/>
        </w:trPr>
        <w:tc>
          <w:tcPr>
            <w:tcW w:w="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3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E. Allen Nicholson</w:t>
            </w:r>
          </w:p>
        </w:tc>
      </w:tr>
      <w:tr>
        <w:trPr>
          <w:trHeight w:val="203"/>
        </w:trPr>
        <w:tc>
          <w:tcPr>
            <w:tcW w:w="4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034"/>
        </w:trPr>
        <w:tc>
          <w:tcPr>
            <w:tcW w:w="480" w:type="dxa"/>
            <w:vAlign w:val="bottom"/>
            <w:tcBorders>
              <w:bottom w:val="single" w:sz="8" w:color="EEEEEE"/>
            </w:tcBorders>
          </w:tcPr>
          <w:p>
            <w:pPr>
              <w:spacing w:after="0"/>
              <w:rPr>
                <w:sz w:val="24"/>
                <w:szCs w:val="24"/>
                <w:color w:val="auto"/>
              </w:rPr>
            </w:pPr>
          </w:p>
        </w:tc>
        <w:tc>
          <w:tcPr>
            <w:tcW w:w="324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4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81" w:name="page82"/>
    <w:bookmarkEnd w:id="81"/>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6"/>
    </w:lvl>
  </w:abstractNum>
  <w:abstractNum w:abstractNumId="6">
    <w:nsid w:val="12200854"/>
    <w:multiLevelType w:val="hybridMultilevel"/>
    <w:lvl w:ilvl="0">
      <w:lvlJc w:val="left"/>
      <w:lvlText w:val="%1."/>
      <w:numFmt w:val="decimal"/>
      <w:start w:val="7"/>
    </w:lvl>
  </w:abstractNum>
  <w:abstractNum w:abstractNumId="7">
    <w:nsid w:val="4DB127F8"/>
    <w:multiLevelType w:val="hybridMultilevel"/>
    <w:lvl w:ilvl="0">
      <w:lvlJc w:val="left"/>
      <w:lvlText w:val="%1."/>
      <w:numFmt w:val="decimal"/>
      <w:start w:val="8"/>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decimal"/>
      <w:start w:val="10"/>
    </w:lvl>
  </w:abstractNum>
  <w:abstractNum w:abstractNumId="10">
    <w:nsid w:val="1190CDE7"/>
    <w:multiLevelType w:val="hybridMultilevel"/>
    <w:lvl w:ilvl="0">
      <w:lvlJc w:val="left"/>
      <w:lvlText w:val="*"/>
      <w:numFmt w:val="bullet"/>
      <w:start w:val="1"/>
    </w:lvl>
    <w:lvl w:ilvl="1">
      <w:lvlJc w:val="left"/>
      <w:lvlText w:val="%2"/>
      <w:numFmt w:val="decimal"/>
      <w:start w:val="104"/>
    </w:lvl>
  </w:abstractNum>
  <w:abstractNum w:abstractNumId="11">
    <w:nsid w:val="66EF438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2025-08-08T14:18:37Z</dcterms:created>
  <dcterms:modified xsi:type="dcterms:W3CDTF">2025-08-08T14:18:37Z</dcterms:modified>
</cp:coreProperties>
</file>